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5AD46" w14:textId="4F908DD9" w:rsidR="009A11DF" w:rsidRDefault="009A11DF">
      <w:pPr>
        <w:rPr>
          <w:rFonts w:asciiTheme="majorHAnsi" w:eastAsiaTheme="majorEastAsia" w:hAnsiTheme="majorHAnsi" w:cstheme="majorBidi"/>
          <w:color w:val="2E74B5" w:themeColor="accent1" w:themeShade="BF"/>
          <w:sz w:val="32"/>
          <w:szCs w:val="32"/>
          <w:shd w:val="clear" w:color="auto" w:fill="FFFFFF"/>
        </w:rPr>
      </w:pPr>
      <w:r w:rsidRPr="009A11DF">
        <w:rPr>
          <w:u w:val="single"/>
          <w:shd w:val="clear" w:color="auto" w:fill="FFFFFF"/>
        </w:rPr>
        <w:t>This manuscript is a pre-print</w:t>
      </w:r>
      <w:r>
        <w:rPr>
          <w:shd w:val="clear" w:color="auto" w:fill="FFFFFF"/>
        </w:rPr>
        <w:t xml:space="preserve"> that was submitted and, after review</w:t>
      </w:r>
      <w:r w:rsidR="002B6EBB">
        <w:rPr>
          <w:shd w:val="clear" w:color="auto" w:fill="FFFFFF"/>
        </w:rPr>
        <w:t xml:space="preserve"> and revisions</w:t>
      </w:r>
      <w:r>
        <w:rPr>
          <w:shd w:val="clear" w:color="auto" w:fill="FFFFFF"/>
        </w:rPr>
        <w:t xml:space="preserve">, accepted by </w:t>
      </w:r>
      <w:r w:rsidRPr="009A11DF">
        <w:rPr>
          <w:i/>
          <w:shd w:val="clear" w:color="auto" w:fill="FFFFFF"/>
        </w:rPr>
        <w:t>Tectonophysics</w:t>
      </w:r>
      <w:r>
        <w:rPr>
          <w:shd w:val="clear" w:color="auto" w:fill="FFFFFF"/>
        </w:rPr>
        <w:t xml:space="preserve">. Subsequent versions of this manuscript have different content. The final version of this manuscript is available via the following link: </w:t>
      </w:r>
      <w:r w:rsidRPr="009A11DF">
        <w:rPr>
          <w:shd w:val="clear" w:color="auto" w:fill="FFFFFF"/>
        </w:rPr>
        <w:t>https://doi.org/10.1016/j.tecto.2019.02.008</w:t>
      </w:r>
      <w:r>
        <w:rPr>
          <w:shd w:val="clear" w:color="auto" w:fill="FFFFFF"/>
        </w:rPr>
        <w:t>.</w:t>
      </w:r>
      <w:bookmarkStart w:id="0" w:name="_GoBack"/>
      <w:bookmarkEnd w:id="0"/>
      <w:r>
        <w:rPr>
          <w:shd w:val="clear" w:color="auto" w:fill="FFFFFF"/>
        </w:rPr>
        <w:br w:type="page"/>
      </w:r>
    </w:p>
    <w:p w14:paraId="73E5F95B" w14:textId="05A0E31E" w:rsidR="00564257" w:rsidRPr="008D7BAA" w:rsidRDefault="002650F0" w:rsidP="008D7BAA">
      <w:pPr>
        <w:pStyle w:val="Heading1"/>
        <w:spacing w:line="360" w:lineRule="auto"/>
        <w:rPr>
          <w:shd w:val="clear" w:color="auto" w:fill="FFFFFF"/>
        </w:rPr>
      </w:pPr>
      <w:r>
        <w:rPr>
          <w:shd w:val="clear" w:color="auto" w:fill="FFFFFF"/>
        </w:rPr>
        <w:lastRenderedPageBreak/>
        <w:t>Structural and geodynamic modelling of the influence of g</w:t>
      </w:r>
      <w:r w:rsidR="000A1EC6">
        <w:rPr>
          <w:shd w:val="clear" w:color="auto" w:fill="FFFFFF"/>
        </w:rPr>
        <w:t>ranite bodies during lithospheric</w:t>
      </w:r>
      <w:r>
        <w:rPr>
          <w:shd w:val="clear" w:color="auto" w:fill="FFFFFF"/>
        </w:rPr>
        <w:t xml:space="preserve"> extension: application to the Carbonife</w:t>
      </w:r>
      <w:r w:rsidR="0046525D">
        <w:rPr>
          <w:shd w:val="clear" w:color="auto" w:fill="FFFFFF"/>
        </w:rPr>
        <w:t>rous basins of northern England</w:t>
      </w:r>
    </w:p>
    <w:p w14:paraId="73BB1DC8" w14:textId="5380041D" w:rsidR="00564257" w:rsidRPr="004463BE" w:rsidRDefault="00C7467C" w:rsidP="009E071D">
      <w:pPr>
        <w:pStyle w:val="Heading2"/>
        <w:spacing w:line="360" w:lineRule="auto"/>
      </w:pPr>
      <w:r>
        <w:t>Louis Howell</w:t>
      </w:r>
      <w:r w:rsidRPr="00D61601">
        <w:rPr>
          <w:vertAlign w:val="superscript"/>
        </w:rPr>
        <w:t>1</w:t>
      </w:r>
      <w:r w:rsidR="00863830">
        <w:t>*</w:t>
      </w:r>
      <w:r>
        <w:t>, Stuart Egan</w:t>
      </w:r>
      <w:r w:rsidRPr="00D61601">
        <w:rPr>
          <w:vertAlign w:val="superscript"/>
        </w:rPr>
        <w:t>1</w:t>
      </w:r>
      <w:r>
        <w:t>, Graham Leslie</w:t>
      </w:r>
      <w:r w:rsidRPr="00D61601">
        <w:rPr>
          <w:vertAlign w:val="superscript"/>
        </w:rPr>
        <w:t>2</w:t>
      </w:r>
      <w:r>
        <w:t xml:space="preserve"> and Stuart Clarke</w:t>
      </w:r>
      <w:r w:rsidRPr="00D61601">
        <w:rPr>
          <w:vertAlign w:val="superscript"/>
        </w:rPr>
        <w:t>1</w:t>
      </w:r>
      <w:r w:rsidR="004463BE">
        <w:rPr>
          <w:vertAlign w:val="superscript"/>
        </w:rPr>
        <w:t xml:space="preserve"> </w:t>
      </w:r>
    </w:p>
    <w:p w14:paraId="25D466AA" w14:textId="5E6ECF30" w:rsidR="00C7467C" w:rsidRDefault="00C7467C" w:rsidP="009E071D">
      <w:pPr>
        <w:spacing w:line="360" w:lineRule="auto"/>
      </w:pPr>
      <w:r w:rsidRPr="00D61601">
        <w:rPr>
          <w:vertAlign w:val="superscript"/>
        </w:rPr>
        <w:t>1</w:t>
      </w:r>
      <w:r w:rsidRPr="00C7467C">
        <w:t xml:space="preserve"> School of Geography, Geology and the Environment, William Smi</w:t>
      </w:r>
      <w:r w:rsidR="00DD60D9">
        <w:t xml:space="preserve">th Building, </w:t>
      </w:r>
      <w:proofErr w:type="spellStart"/>
      <w:r w:rsidR="00DD60D9">
        <w:t>Keele</w:t>
      </w:r>
      <w:proofErr w:type="spellEnd"/>
      <w:r w:rsidR="00DD60D9">
        <w:t xml:space="preserve"> University, </w:t>
      </w:r>
      <w:proofErr w:type="spellStart"/>
      <w:r w:rsidR="00DD60D9">
        <w:t>K</w:t>
      </w:r>
      <w:r w:rsidRPr="00C7467C">
        <w:t>eele</w:t>
      </w:r>
      <w:proofErr w:type="spellEnd"/>
      <w:r w:rsidRPr="00C7467C">
        <w:t>, Staffordshire, ST5 5BG, UK.</w:t>
      </w:r>
    </w:p>
    <w:p w14:paraId="53B0946B" w14:textId="46D34620" w:rsidR="00C7467C" w:rsidRDefault="00C7467C" w:rsidP="009E071D">
      <w:pPr>
        <w:spacing w:line="360" w:lineRule="auto"/>
      </w:pPr>
      <w:r w:rsidRPr="00D61601">
        <w:rPr>
          <w:vertAlign w:val="superscript"/>
        </w:rPr>
        <w:t>2</w:t>
      </w:r>
      <w:r>
        <w:t>BGS Scotland, Lyell Centre, Research Avenue South, Edinburgh, EH14 4AP, UK.</w:t>
      </w:r>
    </w:p>
    <w:p w14:paraId="32360441" w14:textId="0FA1A991" w:rsidR="00863830" w:rsidRDefault="00863830" w:rsidP="009E071D">
      <w:pPr>
        <w:spacing w:line="360" w:lineRule="auto"/>
      </w:pPr>
      <w:r>
        <w:t xml:space="preserve">*Corresponding author: </w:t>
      </w:r>
      <w:hyperlink r:id="rId8" w:history="1">
        <w:r w:rsidR="00EA052C" w:rsidRPr="00B209E5">
          <w:rPr>
            <w:rStyle w:val="Hyperlink"/>
          </w:rPr>
          <w:t>l.p.howell@keele.ac.uk</w:t>
        </w:r>
      </w:hyperlink>
      <w:r w:rsidR="004568F1">
        <w:t>.</w:t>
      </w:r>
    </w:p>
    <w:p w14:paraId="59590655" w14:textId="256C176C" w:rsidR="00452C64" w:rsidRDefault="00452C64" w:rsidP="009E071D">
      <w:pPr>
        <w:spacing w:line="360" w:lineRule="auto"/>
      </w:pPr>
      <w:r>
        <w:t>Word Count (not including abstract</w:t>
      </w:r>
      <w:r w:rsidR="00F35AA4">
        <w:t>, figure captions, tables</w:t>
      </w:r>
      <w:r w:rsidR="008D5A49">
        <w:t xml:space="preserve"> or references): 7,550</w:t>
      </w:r>
      <w:r>
        <w:t>.</w:t>
      </w:r>
    </w:p>
    <w:p w14:paraId="33BE5422" w14:textId="07B85073" w:rsidR="00C7467C" w:rsidRDefault="00C7467C" w:rsidP="009E071D">
      <w:pPr>
        <w:pStyle w:val="Heading1"/>
        <w:spacing w:line="360" w:lineRule="auto"/>
      </w:pPr>
      <w:r>
        <w:t>Abstract</w:t>
      </w:r>
    </w:p>
    <w:p w14:paraId="44F2F91C" w14:textId="6B8A8CFB" w:rsidR="00715C28" w:rsidRDefault="00715C28" w:rsidP="009E071D">
      <w:pPr>
        <w:spacing w:line="360" w:lineRule="auto"/>
      </w:pPr>
      <w:r>
        <w:rPr>
          <w:rFonts w:cstheme="minorHAnsi"/>
        </w:rPr>
        <w:t>Intra-</w:t>
      </w:r>
      <w:proofErr w:type="spellStart"/>
      <w:r>
        <w:rPr>
          <w:rFonts w:cstheme="minorHAnsi"/>
        </w:rPr>
        <w:t>basinal</w:t>
      </w:r>
      <w:proofErr w:type="spellEnd"/>
      <w:r>
        <w:rPr>
          <w:rFonts w:cstheme="minorHAnsi"/>
        </w:rPr>
        <w:t xml:space="preserve"> highs within classic ‘block and basin’ style tectonic frameworks, in areas such as northern England, are underpinned by large granite bodies. </w:t>
      </w:r>
      <w:r w:rsidRPr="00060CBE">
        <w:rPr>
          <w:rFonts w:cstheme="minorHAnsi"/>
        </w:rPr>
        <w:t xml:space="preserve">This is widely believed to relate to the </w:t>
      </w:r>
      <w:r>
        <w:rPr>
          <w:rFonts w:cstheme="minorHAnsi"/>
        </w:rPr>
        <w:t xml:space="preserve">relative </w:t>
      </w:r>
      <w:r w:rsidRPr="00060CBE">
        <w:rPr>
          <w:rFonts w:cstheme="minorHAnsi"/>
        </w:rPr>
        <w:t xml:space="preserve">‘rigidity’ and ‘buoyancy’ of granite in relation to accommodating basement. It has been suggested that during periods of tectonic extension, normal faulting around the peripheral regions of granite batholiths permits </w:t>
      </w:r>
      <w:r>
        <w:rPr>
          <w:rFonts w:cstheme="minorHAnsi"/>
        </w:rPr>
        <w:t>granite-cored</w:t>
      </w:r>
      <w:r w:rsidRPr="00060CBE">
        <w:rPr>
          <w:rFonts w:cstheme="minorHAnsi"/>
        </w:rPr>
        <w:t xml:space="preserve"> blocks to resist subsidence, thus forming stable areas during periods of widespread faulting</w:t>
      </w:r>
      <w:r w:rsidR="0036753F">
        <w:rPr>
          <w:rFonts w:cstheme="minorHAnsi"/>
        </w:rPr>
        <w:t>-</w:t>
      </w:r>
      <w:r w:rsidRPr="00060CBE">
        <w:rPr>
          <w:rFonts w:cstheme="minorHAnsi"/>
        </w:rPr>
        <w:t xml:space="preserve">induced subsidence. However, </w:t>
      </w:r>
      <w:r>
        <w:rPr>
          <w:rFonts w:cstheme="minorHAnsi"/>
        </w:rPr>
        <w:t>one-dimensional modelling indicates that relatively less dense crust is incapable of resisting subsidence in this way.</w:t>
      </w:r>
      <w:r w:rsidRPr="00060CBE">
        <w:rPr>
          <w:rFonts w:cstheme="minorHAnsi"/>
        </w:rPr>
        <w:t xml:space="preserve"> </w:t>
      </w:r>
      <w:r>
        <w:rPr>
          <w:rFonts w:cstheme="minorHAnsi"/>
        </w:rPr>
        <w:t>Instead, when local isostasy is assumed,</w:t>
      </w:r>
      <w:r w:rsidRPr="00060CBE">
        <w:rPr>
          <w:rFonts w:cstheme="minorHAnsi"/>
        </w:rPr>
        <w:t xml:space="preserve"> the occurrence of granite-cored, intra-</w:t>
      </w:r>
      <w:proofErr w:type="spellStart"/>
      <w:r w:rsidRPr="00060CBE">
        <w:rPr>
          <w:rFonts w:cstheme="minorHAnsi"/>
        </w:rPr>
        <w:t>basinal</w:t>
      </w:r>
      <w:proofErr w:type="spellEnd"/>
      <w:r w:rsidRPr="00060CBE">
        <w:rPr>
          <w:rFonts w:cstheme="minorHAnsi"/>
        </w:rPr>
        <w:t xml:space="preserve"> highs relates to initial isostatic compensation following granite emplacement</w:t>
      </w:r>
      <w:r>
        <w:rPr>
          <w:rFonts w:cstheme="minorHAnsi"/>
        </w:rPr>
        <w:t>.</w:t>
      </w:r>
      <w:r w:rsidRPr="00060CBE">
        <w:rPr>
          <w:rFonts w:cstheme="minorHAnsi"/>
        </w:rPr>
        <w:t xml:space="preserve"> </w:t>
      </w:r>
      <w:r>
        <w:rPr>
          <w:rFonts w:cstheme="minorHAnsi"/>
        </w:rPr>
        <w:t>D</w:t>
      </w:r>
      <w:r w:rsidRPr="00060CBE">
        <w:rPr>
          <w:rFonts w:cstheme="minorHAnsi"/>
        </w:rPr>
        <w:t>ifferential sediment loading during extensional tectonism</w:t>
      </w:r>
      <w:r>
        <w:rPr>
          <w:rFonts w:cstheme="minorHAnsi"/>
        </w:rPr>
        <w:t xml:space="preserve"> exaggerates this profile</w:t>
      </w:r>
      <w:r w:rsidRPr="00060CBE">
        <w:rPr>
          <w:rFonts w:cstheme="minorHAnsi"/>
        </w:rPr>
        <w:t>. An integr</w:t>
      </w:r>
      <w:r w:rsidR="000A1EC6">
        <w:rPr>
          <w:rFonts w:cstheme="minorHAnsi"/>
        </w:rPr>
        <w:t>ated two-dimensional lithospheric</w:t>
      </w:r>
      <w:r w:rsidRPr="00060CBE">
        <w:rPr>
          <w:rFonts w:cstheme="minorHAnsi"/>
        </w:rPr>
        <w:t xml:space="preserve"> numerical modelling approach highlights the role of flexural rigidity in limiting the amplitude whilst increasing the wavelength</w:t>
      </w:r>
      <w:r w:rsidRPr="00C160B3">
        <w:rPr>
          <w:rFonts w:cstheme="minorHAnsi"/>
        </w:rPr>
        <w:t xml:space="preserve"> </w:t>
      </w:r>
      <w:r w:rsidRPr="00060CBE">
        <w:rPr>
          <w:rFonts w:cstheme="minorHAnsi"/>
        </w:rPr>
        <w:t>of isostatic deflection</w:t>
      </w:r>
      <w:r>
        <w:rPr>
          <w:rFonts w:cstheme="minorHAnsi"/>
        </w:rPr>
        <w:t>. In light of these models, it is suggested that such a response leaves residual second-order stresses associated with the under-compensated buoyancy of the granite body and flexural tension.</w:t>
      </w:r>
      <w:r w:rsidRPr="00060CBE">
        <w:rPr>
          <w:rFonts w:cstheme="minorHAnsi"/>
        </w:rPr>
        <w:t xml:space="preserve"> The observed basin geometries of the Carboniferous North Pennine Basin can be replicated by incorporating a density deficiency within the crust, flexural rigidity, simple shear deformation within the shallower subsurface and pure shear deformation within the deeper subsurface.</w:t>
      </w:r>
      <w:r>
        <w:rPr>
          <w:rFonts w:cstheme="minorHAnsi"/>
        </w:rPr>
        <w:t xml:space="preserve"> In adopting this technique, the regional flexural profile in response to underlying granite bodies and large extensional faults can be reproduced and thus, to an extent, validated.</w:t>
      </w:r>
      <w:r w:rsidRPr="00C87657">
        <w:t xml:space="preserve"> </w:t>
      </w:r>
      <w:r>
        <w:t>It is proposed that the interaction of three factors dictate the tectonic framework within a partially grani</w:t>
      </w:r>
      <w:r w:rsidR="000A1EC6">
        <w:t>tic, brittle-ductile l</w:t>
      </w:r>
      <w:r w:rsidR="00C004B6">
        <w:t>ithosphere</w:t>
      </w:r>
      <w:r>
        <w:t xml:space="preserve"> and the occurrence of inter-</w:t>
      </w:r>
      <w:proofErr w:type="spellStart"/>
      <w:r>
        <w:t>basinal</w:t>
      </w:r>
      <w:proofErr w:type="spellEnd"/>
      <w:r>
        <w:t xml:space="preserve"> highs: 1) non-tectonic, ‘second-order’ stresses such as the flex</w:t>
      </w:r>
      <w:r w:rsidR="000A1EC6">
        <w:t>ural response of the lithosphere</w:t>
      </w:r>
      <w:r>
        <w:t xml:space="preserve"> and residual, </w:t>
      </w:r>
      <w:r>
        <w:lastRenderedPageBreak/>
        <w:t>under-compensated</w:t>
      </w:r>
      <w:r w:rsidR="004568F1">
        <w:t xml:space="preserve"> </w:t>
      </w:r>
      <w:r>
        <w:t>buoyancy forces in relation to granite bodies; 2) extensional tectonic stress and importantly; 3)</w:t>
      </w:r>
      <w:r w:rsidRPr="003B7A2E">
        <w:t xml:space="preserve"> </w:t>
      </w:r>
      <w:r>
        <w:t>inherited basement fabric.</w:t>
      </w:r>
    </w:p>
    <w:p w14:paraId="17672D8A" w14:textId="487CCF9D" w:rsidR="009A78B0" w:rsidRDefault="009A78B0" w:rsidP="009A78B0">
      <w:pPr>
        <w:pStyle w:val="Heading1"/>
      </w:pPr>
      <w:r>
        <w:t>Keywords</w:t>
      </w:r>
    </w:p>
    <w:p w14:paraId="77359346" w14:textId="0E840D62" w:rsidR="009A78B0" w:rsidRPr="009A78B0" w:rsidRDefault="001117D4" w:rsidP="009A78B0">
      <w:r>
        <w:t>Extensional basin, flexural isostasy, lithosphere, granite, block.</w:t>
      </w:r>
    </w:p>
    <w:p w14:paraId="7244246F" w14:textId="71F5E8AC" w:rsidR="00B13E0E" w:rsidRDefault="00B13E0E" w:rsidP="009E071D">
      <w:pPr>
        <w:pStyle w:val="Heading1"/>
        <w:numPr>
          <w:ilvl w:val="0"/>
          <w:numId w:val="9"/>
        </w:numPr>
        <w:spacing w:line="360" w:lineRule="auto"/>
      </w:pPr>
      <w:r>
        <w:t>Introduction</w:t>
      </w:r>
    </w:p>
    <w:p w14:paraId="3B36B4CE" w14:textId="6753003C" w:rsidR="00B13E0E" w:rsidRPr="00D70F36" w:rsidRDefault="00B13E0E" w:rsidP="009E071D">
      <w:pPr>
        <w:spacing w:line="360" w:lineRule="auto"/>
      </w:pPr>
      <w:r>
        <w:tab/>
      </w:r>
      <w:r w:rsidRPr="00D70F36">
        <w:t xml:space="preserve">There has been a longstanding consensus that </w:t>
      </w:r>
      <w:r w:rsidR="00345000">
        <w:t>the relative</w:t>
      </w:r>
      <w:r w:rsidRPr="00D70F36">
        <w:t xml:space="preserve"> </w:t>
      </w:r>
      <w:r w:rsidR="00345000">
        <w:t>‘</w:t>
      </w:r>
      <w:r w:rsidRPr="00D70F36">
        <w:t>buoyancy and rigidity</w:t>
      </w:r>
      <w:r w:rsidR="00345000">
        <w:t>’</w:t>
      </w:r>
      <w:r w:rsidRPr="00D70F36">
        <w:t xml:space="preserve"> of granite </w:t>
      </w:r>
      <w:r w:rsidR="00345000">
        <w:t>bodies</w:t>
      </w:r>
      <w:r w:rsidRPr="00D70F36">
        <w:t xml:space="preserve"> promotes </w:t>
      </w:r>
      <w:r w:rsidR="00345000">
        <w:t xml:space="preserve">the </w:t>
      </w:r>
      <w:r w:rsidRPr="00D70F36">
        <w:t>stability and relative uplift</w:t>
      </w:r>
      <w:r w:rsidR="00345000">
        <w:t xml:space="preserve"> of the accommodating basement</w:t>
      </w:r>
      <w:r w:rsidRPr="00D70F36">
        <w:t xml:space="preserve"> during lithospheric extension (</w:t>
      </w:r>
      <w:proofErr w:type="spellStart"/>
      <w:r w:rsidRPr="00D70F36">
        <w:t>Bott</w:t>
      </w:r>
      <w:proofErr w:type="spellEnd"/>
      <w:r w:rsidRPr="00D70F36">
        <w:t xml:space="preserve"> et al., 1967; Donato et al., 1983; </w:t>
      </w:r>
      <w:proofErr w:type="spellStart"/>
      <w:r w:rsidRPr="00D70F36">
        <w:t>Haszeldine</w:t>
      </w:r>
      <w:proofErr w:type="spellEnd"/>
      <w:r w:rsidRPr="00D70F36">
        <w:t>, 1984; Chadwick et al., 1995). This is generally in response to a plethora of examples where large granite batholiths, identified predominantly by gravity and magnetic surveys (e</w:t>
      </w:r>
      <w:r w:rsidR="00B05165">
        <w:t>.</w:t>
      </w:r>
      <w:r w:rsidRPr="00D70F36">
        <w:t xml:space="preserve">g. </w:t>
      </w:r>
      <w:proofErr w:type="spellStart"/>
      <w:r w:rsidRPr="00D70F36">
        <w:t>Kimbell</w:t>
      </w:r>
      <w:proofErr w:type="spellEnd"/>
      <w:r w:rsidRPr="00D70F36">
        <w:t xml:space="preserve"> et al., 2010; </w:t>
      </w:r>
      <w:proofErr w:type="spellStart"/>
      <w:r w:rsidRPr="00D70F36">
        <w:t>Kimbell</w:t>
      </w:r>
      <w:proofErr w:type="spellEnd"/>
      <w:r w:rsidRPr="00D70F36">
        <w:t xml:space="preserve"> and Williams</w:t>
      </w:r>
      <w:r w:rsidR="00CF30EA">
        <w:t>on, 2015; De Castro et al., 2008</w:t>
      </w:r>
      <w:r w:rsidRPr="00D70F36">
        <w:t xml:space="preserve">), </w:t>
      </w:r>
      <w:r w:rsidR="0036753F">
        <w:t>have</w:t>
      </w:r>
      <w:r w:rsidR="0036753F" w:rsidRPr="00D70F36">
        <w:t xml:space="preserve"> </w:t>
      </w:r>
      <w:r w:rsidRPr="00D70F36">
        <w:t xml:space="preserve">been found to </w:t>
      </w:r>
      <w:r w:rsidR="003A54E6">
        <w:t xml:space="preserve">spatially </w:t>
      </w:r>
      <w:r w:rsidRPr="00D70F36">
        <w:t>correlate strongly with basement highs or horst structures. Whilst the recurrence of t</w:t>
      </w:r>
      <w:r w:rsidR="003A54E6">
        <w:t xml:space="preserve">his relationship suggests </w:t>
      </w:r>
      <w:r w:rsidRPr="00D70F36">
        <w:t>granite batholiths have a significant influence upo</w:t>
      </w:r>
      <w:r w:rsidR="003A54E6">
        <w:t>n post-emplacement structural development</w:t>
      </w:r>
      <w:r w:rsidR="00FC6B64">
        <w:t>,</w:t>
      </w:r>
      <w:r w:rsidRPr="00D70F36">
        <w:t xml:space="preserve"> the lack of a convincing forward model accounting for this relationship warrants further investigation.</w:t>
      </w:r>
    </w:p>
    <w:p w14:paraId="3CC30DB1" w14:textId="7203A578" w:rsidR="00B13E0E" w:rsidRPr="00D70F36" w:rsidRDefault="00B13E0E" w:rsidP="009E071D">
      <w:pPr>
        <w:spacing w:line="360" w:lineRule="auto"/>
      </w:pPr>
      <w:r>
        <w:tab/>
      </w:r>
      <w:r w:rsidRPr="00D70F36">
        <w:t xml:space="preserve">Northern England provides an excellent case study as it </w:t>
      </w:r>
      <w:r w:rsidR="003A54E6">
        <w:t>hosts</w:t>
      </w:r>
      <w:r w:rsidRPr="00D70F36">
        <w:t xml:space="preserve"> a series of large basement granite intrusions</w:t>
      </w:r>
      <w:r w:rsidR="00FC6B64">
        <w:t xml:space="preserve"> proven</w:t>
      </w:r>
      <w:r w:rsidRPr="00D70F36">
        <w:t xml:space="preserve"> from geophysical surveys, surface exposure and boreholes as well as </w:t>
      </w:r>
      <w:r w:rsidR="008F69FE">
        <w:t xml:space="preserve">an </w:t>
      </w:r>
      <w:r w:rsidRPr="00D70F36">
        <w:t xml:space="preserve">extensively studied </w:t>
      </w:r>
      <w:r w:rsidR="003A54E6">
        <w:t xml:space="preserve">Carboniferous </w:t>
      </w:r>
      <w:r w:rsidRPr="00D70F36">
        <w:t xml:space="preserve">sedimentary cover </w:t>
      </w:r>
      <w:r w:rsidR="003A54E6">
        <w:t>which followed</w:t>
      </w:r>
      <w:r w:rsidRPr="00D70F36">
        <w:t xml:space="preserve"> Ordovician to early Devonian granite </w:t>
      </w:r>
      <w:r w:rsidR="00DF17BD">
        <w:t>emplacement (Dunham et al., 1965</w:t>
      </w:r>
      <w:r w:rsidR="008F39FD">
        <w:t>; Lee, 1986</w:t>
      </w:r>
      <w:r w:rsidRPr="00D70F36">
        <w:t>). Chadwick et al</w:t>
      </w:r>
      <w:r w:rsidR="0036753F">
        <w:t>.</w:t>
      </w:r>
      <w:r w:rsidRPr="00D70F36">
        <w:t xml:space="preserve"> (1995) state that all Carboniferous structur</w:t>
      </w:r>
      <w:r w:rsidR="00E164AF">
        <w:t>al highs in northern England</w:t>
      </w:r>
      <w:r w:rsidRPr="00D70F36">
        <w:t xml:space="preserve"> can be related to basement granites</w:t>
      </w:r>
      <w:r w:rsidR="00FC6B64">
        <w:t xml:space="preserve">, </w:t>
      </w:r>
      <w:r w:rsidRPr="00D70F36">
        <w:t>as can many major depocentre</w:t>
      </w:r>
      <w:r w:rsidR="0036753F">
        <w:t>-</w:t>
      </w:r>
      <w:r w:rsidRPr="00D70F36">
        <w:t xml:space="preserve">controlling faults </w:t>
      </w:r>
      <w:r w:rsidR="0036753F">
        <w:t>that</w:t>
      </w:r>
      <w:r w:rsidR="0036753F" w:rsidRPr="00D70F36">
        <w:t xml:space="preserve"> </w:t>
      </w:r>
      <w:r w:rsidRPr="00D70F36">
        <w:t>bound these high</w:t>
      </w:r>
      <w:r w:rsidR="0045284C">
        <w:t>s (</w:t>
      </w:r>
      <w:r w:rsidR="00E164AF">
        <w:t>Fig. 1</w:t>
      </w:r>
      <w:r w:rsidRPr="00D70F36">
        <w:t xml:space="preserve">). Various interpretations of the positions of granites underlying </w:t>
      </w:r>
      <w:r w:rsidR="00414294">
        <w:t>basement highs have also been reported for</w:t>
      </w:r>
      <w:r w:rsidRPr="00D70F36">
        <w:t xml:space="preserve"> the immediately adjacent offshore oil and gas provinces (Donato et al., 1983; Donato and </w:t>
      </w:r>
      <w:proofErr w:type="spellStart"/>
      <w:r w:rsidRPr="00D70F36">
        <w:t>Megson</w:t>
      </w:r>
      <w:proofErr w:type="spellEnd"/>
      <w:r w:rsidRPr="00D70F36">
        <w:t>, 1</w:t>
      </w:r>
      <w:r w:rsidR="00414294">
        <w:t>990; Donato, 1993). I</w:t>
      </w:r>
      <w:r w:rsidRPr="00D70F36">
        <w:t xml:space="preserve">n </w:t>
      </w:r>
      <w:r w:rsidR="00414294">
        <w:t xml:space="preserve">the </w:t>
      </w:r>
      <w:r w:rsidRPr="00D70F36">
        <w:t>light of recent</w:t>
      </w:r>
      <w:r w:rsidR="00414294">
        <w:t>ly</w:t>
      </w:r>
      <w:r w:rsidRPr="00D70F36">
        <w:t xml:space="preserve"> rejuvenated interest into the UK’s Carboniferous hydrocarbon system (e</w:t>
      </w:r>
      <w:r w:rsidR="00B05165">
        <w:t>.</w:t>
      </w:r>
      <w:r w:rsidRPr="00D70F36">
        <w:t>g. Monagh</w:t>
      </w:r>
      <w:r w:rsidR="00D70F36">
        <w:t xml:space="preserve">an et al., 2016; </w:t>
      </w:r>
      <w:proofErr w:type="spellStart"/>
      <w:r w:rsidR="00D70F36">
        <w:t>Besly</w:t>
      </w:r>
      <w:proofErr w:type="spellEnd"/>
      <w:r w:rsidR="00D70F36">
        <w:t>, 2018</w:t>
      </w:r>
      <w:r w:rsidRPr="00D70F36">
        <w:t>)</w:t>
      </w:r>
      <w:r w:rsidR="00DB2139">
        <w:t>,</w:t>
      </w:r>
      <w:r w:rsidRPr="00D70F36">
        <w:t xml:space="preserve"> revived structural and geodynamic studies </w:t>
      </w:r>
      <w:r w:rsidR="00414294">
        <w:t>can provide a timely</w:t>
      </w:r>
      <w:r w:rsidRPr="00D70F36">
        <w:t xml:space="preserve"> aid</w:t>
      </w:r>
      <w:r w:rsidR="00414294">
        <w:t xml:space="preserve"> to an improved</w:t>
      </w:r>
      <w:r w:rsidR="004E0F99">
        <w:t xml:space="preserve"> understanding of the C</w:t>
      </w:r>
      <w:r w:rsidRPr="00D70F36">
        <w:t>arboniferous basin architecture.</w:t>
      </w:r>
    </w:p>
    <w:p w14:paraId="21F10463" w14:textId="3D753613" w:rsidR="00B13E0E" w:rsidRDefault="00B13E0E" w:rsidP="009E071D">
      <w:pPr>
        <w:spacing w:line="360" w:lineRule="auto"/>
      </w:pPr>
      <w:r>
        <w:tab/>
      </w:r>
      <w:r w:rsidR="00414294">
        <w:t>In this paper</w:t>
      </w:r>
      <w:r w:rsidR="008B1B5D">
        <w:t>,</w:t>
      </w:r>
      <w:r w:rsidR="00414294">
        <w:t xml:space="preserve"> we aim to provide</w:t>
      </w:r>
      <w:r>
        <w:t xml:space="preserve"> a </w:t>
      </w:r>
      <w:r w:rsidR="00345000">
        <w:t xml:space="preserve">series of </w:t>
      </w:r>
      <w:r>
        <w:t>viable structural and geodynamic model</w:t>
      </w:r>
      <w:r w:rsidR="003C690F">
        <w:t>s</w:t>
      </w:r>
      <w:r>
        <w:t xml:space="preserve"> </w:t>
      </w:r>
      <w:r w:rsidR="00E63583">
        <w:t xml:space="preserve">that </w:t>
      </w:r>
      <w:r w:rsidR="00345000">
        <w:t>help</w:t>
      </w:r>
      <w:r w:rsidR="00E63583">
        <w:t xml:space="preserve"> to</w:t>
      </w:r>
      <w:r w:rsidR="00345000">
        <w:t xml:space="preserve"> explain</w:t>
      </w:r>
      <w:r>
        <w:t xml:space="preserve"> why large granitic bodies so often occur in the core of relatively uplift</w:t>
      </w:r>
      <w:r w:rsidR="000A1EC6">
        <w:t xml:space="preserve">ed basement highs. A lithospheric </w:t>
      </w:r>
      <w:r>
        <w:t>scale numerical modelling approach is adopted in order to replicate</w:t>
      </w:r>
      <w:r w:rsidR="00FC6BBE">
        <w:t xml:space="preserve"> </w:t>
      </w:r>
      <w:r>
        <w:t>granite emplacement</w:t>
      </w:r>
      <w:r w:rsidR="00E63583">
        <w:t>,</w:t>
      </w:r>
      <w:r w:rsidR="00FC6BBE">
        <w:t xml:space="preserve"> </w:t>
      </w:r>
      <w:r>
        <w:t>extensional tectonism</w:t>
      </w:r>
      <w:r w:rsidR="00E63583">
        <w:t>,</w:t>
      </w:r>
      <w:r>
        <w:t xml:space="preserve"> and </w:t>
      </w:r>
      <w:r w:rsidR="004B257D">
        <w:t>any changes in</w:t>
      </w:r>
      <w:r>
        <w:t xml:space="preserve"> the</w:t>
      </w:r>
      <w:r w:rsidR="004B257D">
        <w:t xml:space="preserve"> physical</w:t>
      </w:r>
      <w:r>
        <w:t xml:space="preserve"> state of the lithosphere and basin architecture these processes</w:t>
      </w:r>
      <w:r w:rsidR="004B257D">
        <w:t xml:space="preserve"> are likely to</w:t>
      </w:r>
      <w:r>
        <w:t xml:space="preserve"> incur</w:t>
      </w:r>
      <w:r w:rsidR="00C03EFC">
        <w:t xml:space="preserve"> </w:t>
      </w:r>
      <w:r w:rsidR="00E564A3">
        <w:t>in order to</w:t>
      </w:r>
      <w:r w:rsidR="00FC6BBE">
        <w:t xml:space="preserve"> </w:t>
      </w:r>
      <w:r w:rsidR="00122F3B">
        <w:t xml:space="preserve">validate this unique structural and geodynamic relationship. Our northern England Carboniferous case study is used as both a means of scrutinising </w:t>
      </w:r>
      <w:r>
        <w:t xml:space="preserve">the proposed model and as a </w:t>
      </w:r>
      <w:r w:rsidR="00F85C26">
        <w:t>tool to help analyse</w:t>
      </w:r>
      <w:r>
        <w:t xml:space="preserve"> the structural trends associated with </w:t>
      </w:r>
      <w:r>
        <w:lastRenderedPageBreak/>
        <w:t xml:space="preserve">deeper granite bodies. Finally, the model and case study are placed within a broader </w:t>
      </w:r>
      <w:r w:rsidR="004B257D">
        <w:t>Palaeozoic</w:t>
      </w:r>
      <w:r>
        <w:t xml:space="preserve"> tectonic framework in the hope that they can help contribute to </w:t>
      </w:r>
      <w:r w:rsidR="00A341E6">
        <w:t>the</w:t>
      </w:r>
      <w:r>
        <w:t xml:space="preserve"> understanding of the structural and geodynamic controls on the Carboniferous succession and hydrocarbon system.</w:t>
      </w:r>
    </w:p>
    <w:p w14:paraId="36420F93" w14:textId="71B827F9" w:rsidR="00B13E0E" w:rsidRDefault="00C517FF" w:rsidP="009E071D">
      <w:pPr>
        <w:pStyle w:val="Heading1"/>
        <w:numPr>
          <w:ilvl w:val="0"/>
          <w:numId w:val="9"/>
        </w:numPr>
        <w:spacing w:line="360" w:lineRule="auto"/>
      </w:pPr>
      <w:r>
        <w:t>Critical review of literature concerning the effects of g</w:t>
      </w:r>
      <w:r w:rsidR="000A1EC6">
        <w:t>ranite on lithospheric</w:t>
      </w:r>
      <w:r w:rsidR="0046525D">
        <w:t xml:space="preserve"> extension</w:t>
      </w:r>
    </w:p>
    <w:p w14:paraId="1F5C4A6E" w14:textId="13ABB685" w:rsidR="00B13E0E" w:rsidRDefault="00B13E0E" w:rsidP="009E071D">
      <w:pPr>
        <w:spacing w:line="360" w:lineRule="auto"/>
        <w:ind w:firstLine="720"/>
      </w:pPr>
      <w:proofErr w:type="spellStart"/>
      <w:r w:rsidRPr="00B3058B">
        <w:t>Bott</w:t>
      </w:r>
      <w:proofErr w:type="spellEnd"/>
      <w:r w:rsidRPr="00B3058B">
        <w:t xml:space="preserve"> et al. (1958)</w:t>
      </w:r>
      <w:r>
        <w:t xml:space="preserve"> were first to propose the possible tectonic influence</w:t>
      </w:r>
      <w:r w:rsidR="008F69FE">
        <w:t>s</w:t>
      </w:r>
      <w:r>
        <w:t xml:space="preserve"> of large granite bodies. </w:t>
      </w:r>
      <w:r w:rsidR="00E63583">
        <w:t>They and others</w:t>
      </w:r>
      <w:r>
        <w:t xml:space="preserve"> suggested that during </w:t>
      </w:r>
      <w:r w:rsidR="00C01154">
        <w:t>periods of tectonic extension</w:t>
      </w:r>
      <w:r>
        <w:t>, normal faulting around</w:t>
      </w:r>
      <w:r w:rsidR="008239F7">
        <w:t xml:space="preserve"> the peripheral regions of</w:t>
      </w:r>
      <w:r>
        <w:t xml:space="preserve"> </w:t>
      </w:r>
      <w:r w:rsidR="008239F7">
        <w:t>granite batholiths</w:t>
      </w:r>
      <w:r>
        <w:t xml:space="preserve"> permits relatively buoyant and rigid blocks to </w:t>
      </w:r>
      <w:r w:rsidRPr="00576BD8">
        <w:t>maintain</w:t>
      </w:r>
      <w:r>
        <w:t xml:space="preserve"> isostatic equilibrium and </w:t>
      </w:r>
      <w:r w:rsidRPr="00576BD8">
        <w:t xml:space="preserve">resist </w:t>
      </w:r>
      <w:r>
        <w:t>subsidence</w:t>
      </w:r>
      <w:r w:rsidR="003C690F">
        <w:t>,</w:t>
      </w:r>
      <w:r w:rsidR="008239F7">
        <w:t xml:space="preserve"> thus</w:t>
      </w:r>
      <w:r>
        <w:t xml:space="preserve"> forming stable areas during periods of widespread faulting </w:t>
      </w:r>
      <w:r w:rsidRPr="00B3058B">
        <w:t>induced subsidence (Donat</w:t>
      </w:r>
      <w:r w:rsidRPr="009538B2">
        <w:t xml:space="preserve">o and </w:t>
      </w:r>
      <w:proofErr w:type="spellStart"/>
      <w:r w:rsidRPr="009538B2">
        <w:t>Megson</w:t>
      </w:r>
      <w:proofErr w:type="spellEnd"/>
      <w:r w:rsidRPr="009538B2">
        <w:t>, 1990).</w:t>
      </w:r>
      <w:r w:rsidR="00EC5F46">
        <w:t xml:space="preserve"> </w:t>
      </w:r>
      <w:r>
        <w:t>There are now numerous further publications documenting the</w:t>
      </w:r>
      <w:r w:rsidR="00C01154">
        <w:t xml:space="preserve"> possible</w:t>
      </w:r>
      <w:r>
        <w:t xml:space="preserve"> tectonic influence</w:t>
      </w:r>
      <w:r w:rsidR="00C01154">
        <w:t>s</w:t>
      </w:r>
      <w:r>
        <w:t xml:space="preserve"> of granites</w:t>
      </w:r>
      <w:r w:rsidR="00E63583">
        <w:t>, all of</w:t>
      </w:r>
      <w:r>
        <w:t xml:space="preserve"> </w:t>
      </w:r>
      <w:r w:rsidR="00345000">
        <w:t>which broadly agree w</w:t>
      </w:r>
      <w:r w:rsidR="008239F7">
        <w:t>ith those seminal</w:t>
      </w:r>
      <w:r w:rsidR="00345000">
        <w:t xml:space="preserve"> ideas</w:t>
      </w:r>
      <w:r w:rsidR="00345000" w:rsidRPr="00B3058B">
        <w:t xml:space="preserve"> </w:t>
      </w:r>
      <w:r w:rsidRPr="00B3058B">
        <w:t xml:space="preserve">(e.g. </w:t>
      </w:r>
      <w:proofErr w:type="spellStart"/>
      <w:r w:rsidRPr="00B3058B">
        <w:t>Bott</w:t>
      </w:r>
      <w:proofErr w:type="spellEnd"/>
      <w:r w:rsidRPr="00B3058B">
        <w:t xml:space="preserve"> 1987</w:t>
      </w:r>
      <w:r w:rsidRPr="009538B2">
        <w:t xml:space="preserve">; </w:t>
      </w:r>
      <w:proofErr w:type="spellStart"/>
      <w:r w:rsidRPr="009538B2">
        <w:t>Bott</w:t>
      </w:r>
      <w:proofErr w:type="spellEnd"/>
      <w:r w:rsidRPr="009538B2">
        <w:t xml:space="preserve"> et al. 1978; </w:t>
      </w:r>
      <w:proofErr w:type="spellStart"/>
      <w:r w:rsidRPr="00E84BAC">
        <w:t>Chroston</w:t>
      </w:r>
      <w:proofErr w:type="spellEnd"/>
      <w:r w:rsidRPr="00E84BAC">
        <w:t xml:space="preserve"> et al. 1987; </w:t>
      </w:r>
      <w:proofErr w:type="spellStart"/>
      <w:r w:rsidRPr="00E84BAC">
        <w:t>Dimitropoulos</w:t>
      </w:r>
      <w:proofErr w:type="spellEnd"/>
      <w:r w:rsidRPr="00E84BAC">
        <w:t xml:space="preserve"> &amp; Donato 1981; Donato et al. 1983; Donato et al., 1981</w:t>
      </w:r>
      <w:r w:rsidRPr="00B3058B">
        <w:t>; Dona</w:t>
      </w:r>
      <w:r w:rsidRPr="009538B2">
        <w:t xml:space="preserve">to and </w:t>
      </w:r>
      <w:proofErr w:type="spellStart"/>
      <w:r w:rsidRPr="009538B2">
        <w:t>Megson</w:t>
      </w:r>
      <w:proofErr w:type="spellEnd"/>
      <w:r w:rsidRPr="009538B2">
        <w:t>, 1990; de Castro et al.,</w:t>
      </w:r>
      <w:r w:rsidR="006918ED">
        <w:t xml:space="preserve"> 2008</w:t>
      </w:r>
      <w:r w:rsidRPr="009538B2">
        <w:t xml:space="preserve">; </w:t>
      </w:r>
      <w:proofErr w:type="spellStart"/>
      <w:r w:rsidRPr="00E84BAC">
        <w:t>Kimbell</w:t>
      </w:r>
      <w:proofErr w:type="spellEnd"/>
      <w:r w:rsidRPr="00E84BAC">
        <w:t xml:space="preserve"> and Williamson, 2015</w:t>
      </w:r>
      <w:r w:rsidRPr="009538B2">
        <w:t xml:space="preserve">; </w:t>
      </w:r>
      <w:proofErr w:type="spellStart"/>
      <w:r w:rsidRPr="009538B2">
        <w:t>Arsenikos</w:t>
      </w:r>
      <w:proofErr w:type="spellEnd"/>
      <w:r w:rsidRPr="009538B2">
        <w:t xml:space="preserve"> et al., 2018)</w:t>
      </w:r>
      <w:r w:rsidR="00345000">
        <w:t>.</w:t>
      </w:r>
    </w:p>
    <w:p w14:paraId="32A01123" w14:textId="7B8F9692" w:rsidR="00B13E0E" w:rsidRPr="001E100C" w:rsidRDefault="00B13E0E" w:rsidP="009E071D">
      <w:pPr>
        <w:spacing w:line="360" w:lineRule="auto"/>
        <w:ind w:firstLine="720"/>
      </w:pPr>
      <w:r>
        <w:t>The portrayal of a ‘</w:t>
      </w:r>
      <w:r w:rsidRPr="00E84BAC">
        <w:t>buoyant</w:t>
      </w:r>
      <w:r>
        <w:t>’</w:t>
      </w:r>
      <w:r w:rsidRPr="001E7CA7">
        <w:t xml:space="preserve"> </w:t>
      </w:r>
      <w:r>
        <w:t>and ‘</w:t>
      </w:r>
      <w:r w:rsidRPr="00E84BAC">
        <w:t>rigid</w:t>
      </w:r>
      <w:r>
        <w:t>’</w:t>
      </w:r>
      <w:r w:rsidRPr="001E7CA7">
        <w:t xml:space="preserve"> </w:t>
      </w:r>
      <w:r>
        <w:t xml:space="preserve">granite body appears to have somewhat over-simplified a more complex process. </w:t>
      </w:r>
      <w:r w:rsidRPr="00E84BAC">
        <w:t>Buoyancy</w:t>
      </w:r>
      <w:r w:rsidR="0002221E">
        <w:t>,</w:t>
      </w:r>
      <w:r>
        <w:t xml:space="preserve"> in this instance, refers to the density deficiency </w:t>
      </w:r>
      <w:r w:rsidRPr="00D70F36">
        <w:t xml:space="preserve">associated with crystalline granite </w:t>
      </w:r>
      <w:r w:rsidR="0002221E">
        <w:t>by</w:t>
      </w:r>
      <w:r w:rsidR="0002221E" w:rsidRPr="00D70F36">
        <w:t xml:space="preserve"> </w:t>
      </w:r>
      <w:r w:rsidRPr="00D70F36">
        <w:t xml:space="preserve">comparison with typical, often </w:t>
      </w:r>
      <w:proofErr w:type="spellStart"/>
      <w:r w:rsidRPr="00D70F36">
        <w:t>pelitic</w:t>
      </w:r>
      <w:proofErr w:type="spellEnd"/>
      <w:r w:rsidRPr="00D70F36">
        <w:t xml:space="preserve">, </w:t>
      </w:r>
      <w:r w:rsidR="00AE3EE6">
        <w:t xml:space="preserve">variably </w:t>
      </w:r>
      <w:r w:rsidRPr="00D70F36">
        <w:t>metamorphosed basement (Lee, 1986).</w:t>
      </w:r>
      <w:r w:rsidR="00D70F36" w:rsidRPr="00D70F36">
        <w:t xml:space="preserve"> The term </w:t>
      </w:r>
      <w:r w:rsidR="0002221E">
        <w:t>‘</w:t>
      </w:r>
      <w:r w:rsidR="00D70F36" w:rsidRPr="00D70F36">
        <w:t>buoyancy</w:t>
      </w:r>
      <w:r w:rsidR="0002221E">
        <w:t>’</w:t>
      </w:r>
      <w:r w:rsidR="00D70F36" w:rsidRPr="00D70F36">
        <w:t xml:space="preserve"> however, perhaps inadvertently invokes similarities between rather more dynamic salt bodies, which are known to actively resist subsidence </w:t>
      </w:r>
      <w:r w:rsidR="00A87786">
        <w:t>via halokinesis</w:t>
      </w:r>
      <w:r w:rsidR="00D70F36" w:rsidRPr="00D70F36">
        <w:t>.</w:t>
      </w:r>
      <w:r w:rsidRPr="00D70F36">
        <w:t xml:space="preserve"> ‘</w:t>
      </w:r>
      <w:r w:rsidR="00D70F36" w:rsidRPr="00D70F36">
        <w:t>O</w:t>
      </w:r>
      <w:r w:rsidRPr="00D70F36">
        <w:t xml:space="preserve">ld and cold’ granite batholiths are </w:t>
      </w:r>
      <w:r w:rsidR="00A87786">
        <w:t>instead</w:t>
      </w:r>
      <w:r w:rsidRPr="00D70F36">
        <w:t xml:space="preserve"> fixed entities </w:t>
      </w:r>
      <w:r w:rsidR="00CA429C">
        <w:t>within a heterogeneous basement</w:t>
      </w:r>
      <w:r w:rsidRPr="00D70F36">
        <w:t xml:space="preserve"> which reduce the overall bulk density of the crust. </w:t>
      </w:r>
      <w:r w:rsidR="00F33175">
        <w:t>Likewise, r</w:t>
      </w:r>
      <w:r w:rsidRPr="00D70F36">
        <w:t xml:space="preserve">igidity </w:t>
      </w:r>
      <w:r w:rsidR="00F33175">
        <w:t>could also</w:t>
      </w:r>
      <w:r w:rsidRPr="00D70F36">
        <w:t xml:space="preserve"> perceivably imply brittleness; increasing the likelihood of fracture nucleation and fault p</w:t>
      </w:r>
      <w:r w:rsidR="00A87786">
        <w:t>ropagation. Perhaps describing younger granite bodies</w:t>
      </w:r>
      <w:r w:rsidRPr="00D70F36">
        <w:t xml:space="preserve"> as lacking the same internal heterogeneities and inherited weaknesses as older deformed continental c</w:t>
      </w:r>
      <w:r w:rsidR="00A87786">
        <w:t>rust (e</w:t>
      </w:r>
      <w:r w:rsidR="00B05165">
        <w:t>.</w:t>
      </w:r>
      <w:r w:rsidR="00A87786">
        <w:t>g. Chadwick et al., 1989</w:t>
      </w:r>
      <w:r w:rsidRPr="00D70F36">
        <w:t>) would be</w:t>
      </w:r>
      <w:r w:rsidR="00F742FC">
        <w:t xml:space="preserve"> a</w:t>
      </w:r>
      <w:r w:rsidRPr="00D70F36">
        <w:t xml:space="preserve"> more </w:t>
      </w:r>
      <w:r w:rsidR="00A87786">
        <w:t>plausible</w:t>
      </w:r>
      <w:r w:rsidRPr="00D70F36">
        <w:t xml:space="preserve"> way of accounting for the general absence of significant through</w:t>
      </w:r>
      <w:r w:rsidR="00F742FC">
        <w:t>-</w:t>
      </w:r>
      <w:r w:rsidRPr="00D70F36">
        <w:t>going faults within granite-cored basement</w:t>
      </w:r>
      <w:r w:rsidR="003C690F">
        <w:t>,</w:t>
      </w:r>
      <w:r w:rsidRPr="00D70F36">
        <w:t xml:space="preserve"> albeit another over-simplification (</w:t>
      </w:r>
      <w:proofErr w:type="spellStart"/>
      <w:r w:rsidRPr="00D70F36">
        <w:t>Bouchez</w:t>
      </w:r>
      <w:proofErr w:type="spellEnd"/>
      <w:r w:rsidRPr="00D70F36">
        <w:t>, 1997; de Saint-</w:t>
      </w:r>
      <w:proofErr w:type="spellStart"/>
      <w:r w:rsidRPr="00D70F36">
        <w:t>Blanquat</w:t>
      </w:r>
      <w:proofErr w:type="spellEnd"/>
      <w:r w:rsidRPr="00D70F36">
        <w:t xml:space="preserve"> et al., 2001). However, this alone does not </w:t>
      </w:r>
      <w:r w:rsidR="0002221E">
        <w:t xml:space="preserve">account </w:t>
      </w:r>
      <w:r w:rsidR="00F742FC">
        <w:t>in</w:t>
      </w:r>
      <w:r w:rsidR="00AE3EE6">
        <w:t xml:space="preserve"> itself for the numerous </w:t>
      </w:r>
      <w:r w:rsidRPr="00D70F36">
        <w:t>occurrence</w:t>
      </w:r>
      <w:r w:rsidR="00AE3EE6">
        <w:t>s</w:t>
      </w:r>
      <w:r w:rsidRPr="00D70F36">
        <w:t xml:space="preserve"> of granite bodies within the cores of basement highs.</w:t>
      </w:r>
    </w:p>
    <w:p w14:paraId="3BD84640" w14:textId="769EE3ED" w:rsidR="00B13E0E" w:rsidRDefault="00B13E0E" w:rsidP="009E071D">
      <w:pPr>
        <w:spacing w:after="0" w:line="360" w:lineRule="auto"/>
        <w:ind w:firstLine="720"/>
        <w:textAlignment w:val="baseline"/>
        <w:rPr>
          <w:rFonts w:eastAsia="Times New Roman" w:cstheme="minorHAnsi"/>
          <w:color w:val="000000"/>
          <w:lang w:eastAsia="en-GB"/>
        </w:rPr>
      </w:pPr>
      <w:r w:rsidRPr="00D70F36">
        <w:rPr>
          <w:rFonts w:eastAsia="Times New Roman" w:cstheme="minorHAnsi"/>
          <w:color w:val="000000"/>
          <w:lang w:eastAsia="en-GB"/>
        </w:rPr>
        <w:t xml:space="preserve">The assumption that a density deficiency within </w:t>
      </w:r>
      <w:r w:rsidR="00EC4E6B">
        <w:rPr>
          <w:rFonts w:eastAsia="Times New Roman" w:cstheme="minorHAnsi"/>
          <w:color w:val="000000"/>
          <w:lang w:eastAsia="en-GB"/>
        </w:rPr>
        <w:t xml:space="preserve">a defined volume of </w:t>
      </w:r>
      <w:r w:rsidRPr="00D70F36">
        <w:rPr>
          <w:rFonts w:eastAsia="Times New Roman" w:cstheme="minorHAnsi"/>
          <w:color w:val="000000"/>
          <w:lang w:eastAsia="en-GB"/>
        </w:rPr>
        <w:t>the crust can promote stability compared with adjacent crust and</w:t>
      </w:r>
      <w:r w:rsidR="00EC4E6B">
        <w:rPr>
          <w:rFonts w:eastAsia="Times New Roman" w:cstheme="minorHAnsi"/>
          <w:color w:val="000000"/>
          <w:lang w:eastAsia="en-GB"/>
        </w:rPr>
        <w:t xml:space="preserve"> an inherent ability to</w:t>
      </w:r>
      <w:r w:rsidRPr="00D70F36">
        <w:rPr>
          <w:rFonts w:eastAsia="Times New Roman" w:cstheme="minorHAnsi"/>
          <w:color w:val="000000"/>
          <w:lang w:eastAsia="en-GB"/>
        </w:rPr>
        <w:t xml:space="preserve"> resi</w:t>
      </w:r>
      <w:r w:rsidR="000A1EC6">
        <w:rPr>
          <w:rFonts w:eastAsia="Times New Roman" w:cstheme="minorHAnsi"/>
          <w:color w:val="000000"/>
          <w:lang w:eastAsia="en-GB"/>
        </w:rPr>
        <w:t>st subsidence during lithospheric</w:t>
      </w:r>
      <w:r w:rsidRPr="00D70F36">
        <w:rPr>
          <w:rFonts w:eastAsia="Times New Roman" w:cstheme="minorHAnsi"/>
          <w:color w:val="000000"/>
          <w:lang w:eastAsia="en-GB"/>
        </w:rPr>
        <w:t xml:space="preserve"> extension contradicts some of the fundamentals of mantle and lithosphere dynamics. </w:t>
      </w:r>
      <w:r w:rsidR="000A1EC6">
        <w:rPr>
          <w:rFonts w:eastAsia="Times New Roman" w:cstheme="minorHAnsi"/>
          <w:color w:val="000000"/>
          <w:lang w:eastAsia="en-GB"/>
        </w:rPr>
        <w:t>During lithospheric</w:t>
      </w:r>
      <w:r w:rsidRPr="00D70F36">
        <w:rPr>
          <w:rFonts w:eastAsia="Times New Roman" w:cstheme="minorHAnsi"/>
          <w:color w:val="000000"/>
          <w:lang w:eastAsia="en-GB"/>
        </w:rPr>
        <w:t xml:space="preserve"> extension, regional</w:t>
      </w:r>
      <w:r w:rsidR="0002221E">
        <w:rPr>
          <w:rFonts w:eastAsia="Times New Roman" w:cstheme="minorHAnsi"/>
          <w:color w:val="000000"/>
          <w:lang w:eastAsia="en-GB"/>
        </w:rPr>
        <w:t>-</w:t>
      </w:r>
      <w:r w:rsidRPr="00D70F36">
        <w:rPr>
          <w:rFonts w:eastAsia="Times New Roman" w:cstheme="minorHAnsi"/>
          <w:color w:val="000000"/>
          <w:lang w:eastAsia="en-GB"/>
        </w:rPr>
        <w:t xml:space="preserve">scale subsidence occurs in response to net density changes </w:t>
      </w:r>
      <w:r w:rsidRPr="00D70F36">
        <w:rPr>
          <w:rFonts w:eastAsia="Times New Roman" w:cstheme="minorHAnsi"/>
          <w:color w:val="000000"/>
          <w:lang w:eastAsia="en-GB"/>
        </w:rPr>
        <w:lastRenderedPageBreak/>
        <w:t xml:space="preserve">resulting from crustal thinning as well as from thermal re-equilibration (McKenzie, 1978). </w:t>
      </w:r>
      <w:r w:rsidR="00FC6BBE">
        <w:rPr>
          <w:rFonts w:eastAsia="Times New Roman" w:cstheme="minorHAnsi"/>
          <w:color w:val="000000"/>
          <w:lang w:eastAsia="en-GB"/>
        </w:rPr>
        <w:t>Fundamental</w:t>
      </w:r>
      <w:r w:rsidR="00FC6BBE" w:rsidRPr="00D70F36">
        <w:rPr>
          <w:rFonts w:eastAsia="Times New Roman" w:cstheme="minorHAnsi"/>
          <w:color w:val="000000"/>
          <w:lang w:eastAsia="en-GB"/>
        </w:rPr>
        <w:t xml:space="preserve"> </w:t>
      </w:r>
      <w:r w:rsidRPr="00D70F36">
        <w:rPr>
          <w:rFonts w:eastAsia="Times New Roman" w:cstheme="minorHAnsi"/>
          <w:color w:val="000000"/>
          <w:lang w:eastAsia="en-GB"/>
        </w:rPr>
        <w:t xml:space="preserve">principles of isostasy imply that in order to maintain equal pressure </w:t>
      </w:r>
      <w:r w:rsidR="00EC4E6B">
        <w:rPr>
          <w:rFonts w:eastAsia="Times New Roman" w:cstheme="minorHAnsi"/>
          <w:color w:val="000000"/>
          <w:lang w:eastAsia="en-GB"/>
        </w:rPr>
        <w:t>at a depth of compensation, at</w:t>
      </w:r>
      <w:r w:rsidRPr="00D70F36">
        <w:rPr>
          <w:rFonts w:eastAsia="Times New Roman" w:cstheme="minorHAnsi"/>
          <w:color w:val="000000"/>
          <w:lang w:eastAsia="en-GB"/>
        </w:rPr>
        <w:t xml:space="preserve"> and below which the pressures generated from the overlying rock are equal, </w:t>
      </w:r>
      <w:r w:rsidR="00EC5F46">
        <w:rPr>
          <w:rFonts w:eastAsia="Times New Roman" w:cstheme="minorHAnsi"/>
          <w:color w:val="000000"/>
          <w:lang w:eastAsia="en-GB"/>
        </w:rPr>
        <w:t>upwelling</w:t>
      </w:r>
      <w:r w:rsidR="00FC6BBE" w:rsidRPr="00D70F36">
        <w:rPr>
          <w:rFonts w:eastAsia="Times New Roman" w:cstheme="minorHAnsi"/>
          <w:color w:val="000000"/>
          <w:lang w:eastAsia="en-GB"/>
        </w:rPr>
        <w:t xml:space="preserve"> </w:t>
      </w:r>
      <w:r w:rsidRPr="00D70F36">
        <w:rPr>
          <w:rFonts w:eastAsia="Times New Roman" w:cstheme="minorHAnsi"/>
          <w:color w:val="000000"/>
          <w:lang w:eastAsia="en-GB"/>
        </w:rPr>
        <w:t xml:space="preserve">asthenosphere compensates for the loss of </w:t>
      </w:r>
      <w:r w:rsidR="00FC6BBE" w:rsidRPr="00D70F36">
        <w:rPr>
          <w:rFonts w:eastAsia="Times New Roman" w:cstheme="minorHAnsi"/>
          <w:color w:val="000000"/>
          <w:lang w:eastAsia="en-GB"/>
        </w:rPr>
        <w:t>lithospher</w:t>
      </w:r>
      <w:r w:rsidR="00FC6BBE">
        <w:rPr>
          <w:rFonts w:eastAsia="Times New Roman" w:cstheme="minorHAnsi"/>
          <w:color w:val="000000"/>
          <w:lang w:eastAsia="en-GB"/>
        </w:rPr>
        <w:t>ic</w:t>
      </w:r>
      <w:r w:rsidR="00FC6BBE" w:rsidRPr="00D70F36">
        <w:rPr>
          <w:rFonts w:eastAsia="Times New Roman" w:cstheme="minorHAnsi"/>
          <w:color w:val="000000"/>
          <w:lang w:eastAsia="en-GB"/>
        </w:rPr>
        <w:t xml:space="preserve"> </w:t>
      </w:r>
      <w:r w:rsidRPr="00D70F36">
        <w:rPr>
          <w:rFonts w:eastAsia="Times New Roman" w:cstheme="minorHAnsi"/>
          <w:color w:val="000000"/>
          <w:lang w:eastAsia="en-GB"/>
        </w:rPr>
        <w:t>mass due to stretching</w:t>
      </w:r>
      <w:r w:rsidR="00FC6BBE">
        <w:rPr>
          <w:rFonts w:eastAsia="Times New Roman" w:cstheme="minorHAnsi"/>
          <w:color w:val="000000"/>
          <w:lang w:eastAsia="en-GB"/>
        </w:rPr>
        <w:t xml:space="preserve"> and thinning</w:t>
      </w:r>
      <w:r w:rsidRPr="00D70F36">
        <w:rPr>
          <w:rFonts w:eastAsia="Times New Roman" w:cstheme="minorHAnsi"/>
          <w:color w:val="000000"/>
          <w:lang w:eastAsia="en-GB"/>
        </w:rPr>
        <w:t xml:space="preserve"> (</w:t>
      </w:r>
      <w:proofErr w:type="spellStart"/>
      <w:r w:rsidRPr="00D70F36">
        <w:rPr>
          <w:rFonts w:eastAsia="Times New Roman" w:cstheme="minorHAnsi"/>
          <w:color w:val="000000"/>
          <w:lang w:eastAsia="en-GB"/>
        </w:rPr>
        <w:t>Karner</w:t>
      </w:r>
      <w:proofErr w:type="spellEnd"/>
      <w:r w:rsidRPr="00D70F36">
        <w:rPr>
          <w:rFonts w:eastAsia="Times New Roman" w:cstheme="minorHAnsi"/>
          <w:color w:val="000000"/>
          <w:lang w:eastAsia="en-GB"/>
        </w:rPr>
        <w:t xml:space="preserve"> and Watts, 1982). As the compensating asthenosphere is denser than the crust, this results in a negative deflection in surface elevation (e</w:t>
      </w:r>
      <w:r w:rsidR="00B05165">
        <w:rPr>
          <w:rFonts w:eastAsia="Times New Roman" w:cstheme="minorHAnsi"/>
          <w:color w:val="000000"/>
          <w:lang w:eastAsia="en-GB"/>
        </w:rPr>
        <w:t>.</w:t>
      </w:r>
      <w:r w:rsidRPr="00D70F36">
        <w:rPr>
          <w:rFonts w:eastAsia="Times New Roman" w:cstheme="minorHAnsi"/>
          <w:color w:val="000000"/>
          <w:lang w:eastAsia="en-GB"/>
        </w:rPr>
        <w:t xml:space="preserve">g. </w:t>
      </w:r>
      <w:proofErr w:type="spellStart"/>
      <w:r w:rsidRPr="00D70F36">
        <w:rPr>
          <w:rFonts w:eastAsia="Times New Roman" w:cstheme="minorHAnsi"/>
          <w:color w:val="000000"/>
          <w:lang w:eastAsia="en-GB"/>
        </w:rPr>
        <w:t>Kooi</w:t>
      </w:r>
      <w:proofErr w:type="spellEnd"/>
      <w:r w:rsidRPr="00D70F36">
        <w:rPr>
          <w:rFonts w:eastAsia="Times New Roman" w:cstheme="minorHAnsi"/>
          <w:color w:val="000000"/>
          <w:lang w:eastAsia="en-GB"/>
        </w:rPr>
        <w:t xml:space="preserve"> et al., 1992). </w:t>
      </w:r>
      <w:r w:rsidR="0002221E">
        <w:rPr>
          <w:rFonts w:eastAsia="Times New Roman" w:cstheme="minorHAnsi"/>
          <w:color w:val="000000"/>
          <w:lang w:eastAsia="en-GB"/>
        </w:rPr>
        <w:t>Put simply</w:t>
      </w:r>
      <w:r w:rsidR="00BB607C">
        <w:rPr>
          <w:rFonts w:eastAsia="Times New Roman" w:cstheme="minorHAnsi"/>
          <w:color w:val="000000"/>
          <w:lang w:eastAsia="en-GB"/>
        </w:rPr>
        <w:t>,</w:t>
      </w:r>
      <w:r w:rsidRPr="00D70F36">
        <w:rPr>
          <w:rFonts w:eastAsia="Times New Roman" w:cstheme="minorHAnsi"/>
          <w:color w:val="000000"/>
          <w:lang w:eastAsia="en-GB"/>
        </w:rPr>
        <w:t xml:space="preserve"> this negative deflection</w:t>
      </w:r>
      <w:r w:rsidR="00A86F46">
        <w:rPr>
          <w:rFonts w:eastAsia="Times New Roman" w:cstheme="minorHAnsi"/>
          <w:color w:val="000000"/>
          <w:lang w:eastAsia="en-GB"/>
        </w:rPr>
        <w:t>, S,</w:t>
      </w:r>
      <w:r w:rsidRPr="00D70F36">
        <w:rPr>
          <w:rFonts w:eastAsia="Times New Roman" w:cstheme="minorHAnsi"/>
          <w:color w:val="000000"/>
          <w:lang w:eastAsia="en-GB"/>
        </w:rPr>
        <w:t xml:space="preserve"> can be </w:t>
      </w:r>
      <w:r w:rsidR="00EC4E6B">
        <w:rPr>
          <w:rFonts w:eastAsia="Times New Roman" w:cstheme="minorHAnsi"/>
          <w:color w:val="000000"/>
          <w:lang w:eastAsia="en-GB"/>
        </w:rPr>
        <w:t>calculated using</w:t>
      </w:r>
      <w:r w:rsidRPr="00D70F36">
        <w:rPr>
          <w:rFonts w:eastAsia="Times New Roman" w:cstheme="minorHAnsi"/>
          <w:color w:val="000000"/>
          <w:lang w:eastAsia="en-GB"/>
        </w:rPr>
        <w:t xml:space="preserve"> either equation 2.1 or 2.2 (see tables 1 and 2 for abbreviations). </w:t>
      </w:r>
      <w:r w:rsidR="002848CC">
        <w:rPr>
          <w:rFonts w:eastAsia="Times New Roman" w:cstheme="minorHAnsi"/>
          <w:color w:val="000000"/>
          <w:lang w:eastAsia="en-GB"/>
        </w:rPr>
        <w:t xml:space="preserve"> In this instance, subsidence is proportional to the original thickness of the crust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oMath>
      <w:r w:rsidR="002848CC">
        <w:rPr>
          <w:rFonts w:eastAsia="Times New Roman" w:cstheme="minorHAnsi"/>
          <w:color w:val="000000"/>
          <w:lang w:eastAsia="en-GB"/>
        </w:rPr>
        <w:t>)</w:t>
      </w:r>
      <w:r w:rsidR="0002221E">
        <w:rPr>
          <w:rFonts w:eastAsia="Times New Roman" w:cstheme="minorHAnsi"/>
          <w:color w:val="000000"/>
          <w:lang w:eastAsia="en-GB"/>
        </w:rPr>
        <w:t xml:space="preserve"> and</w:t>
      </w:r>
      <w:r w:rsidR="002848CC">
        <w:rPr>
          <w:rFonts w:eastAsia="Times New Roman" w:cstheme="minorHAnsi"/>
          <w:color w:val="000000"/>
          <w:lang w:eastAsia="en-GB"/>
        </w:rPr>
        <w:t xml:space="preserve"> the magnitude of extension (</w:t>
      </w:r>
      <m:oMath>
        <m:r>
          <w:rPr>
            <w:rFonts w:ascii="Cambria Math" w:eastAsia="Times New Roman" w:hAnsi="Cambria Math" w:cstheme="minorHAnsi"/>
            <w:color w:val="000000"/>
            <w:lang w:eastAsia="en-GB"/>
          </w:rPr>
          <m:t>β</m:t>
        </m:r>
      </m:oMath>
      <w:r w:rsidR="002848CC">
        <w:rPr>
          <w:rFonts w:eastAsia="Times New Roman" w:cstheme="minorHAnsi"/>
          <w:color w:val="000000"/>
          <w:lang w:eastAsia="en-GB"/>
        </w:rPr>
        <w:t>)</w:t>
      </w:r>
      <w:r w:rsidR="0002221E">
        <w:rPr>
          <w:rFonts w:eastAsia="Times New Roman" w:cstheme="minorHAnsi"/>
          <w:color w:val="000000"/>
          <w:lang w:eastAsia="en-GB"/>
        </w:rPr>
        <w:t>,</w:t>
      </w:r>
      <w:r w:rsidR="002848CC">
        <w:rPr>
          <w:rFonts w:eastAsia="Times New Roman" w:cstheme="minorHAnsi"/>
          <w:color w:val="000000"/>
          <w:lang w:eastAsia="en-GB"/>
        </w:rPr>
        <w:t xml:space="preserve"> as well as the density of the crust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oMath>
      <w:r w:rsidR="002848CC">
        <w:rPr>
          <w:rFonts w:eastAsia="Times New Roman" w:cstheme="minorHAnsi"/>
          <w:color w:val="000000"/>
          <w:lang w:eastAsia="en-GB"/>
        </w:rPr>
        <w:t xml:space="preserve">) and </w:t>
      </w:r>
      <w:r w:rsidR="0002221E">
        <w:rPr>
          <w:rFonts w:eastAsia="Times New Roman" w:cstheme="minorHAnsi"/>
          <w:color w:val="000000"/>
          <w:lang w:eastAsia="en-GB"/>
        </w:rPr>
        <w:t xml:space="preserve">that of the </w:t>
      </w:r>
      <w:r w:rsidR="002848CC">
        <w:rPr>
          <w:rFonts w:eastAsia="Times New Roman" w:cstheme="minorHAnsi"/>
          <w:color w:val="000000"/>
          <w:lang w:eastAsia="en-GB"/>
        </w:rPr>
        <w:t>mantle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oMath>
      <w:r w:rsidR="002848CC">
        <w:rPr>
          <w:rFonts w:eastAsia="Times New Roman" w:cstheme="minorHAnsi"/>
          <w:color w:val="000000"/>
          <w:lang w:eastAsia="en-GB"/>
        </w:rPr>
        <w:t>).</w:t>
      </w:r>
      <w:r w:rsidR="002848CC" w:rsidRPr="00D70F36">
        <w:rPr>
          <w:rFonts w:eastAsia="Times New Roman" w:cstheme="minorHAnsi"/>
          <w:color w:val="000000"/>
          <w:lang w:eastAsia="en-GB"/>
        </w:rPr>
        <w:t xml:space="preserve"> </w:t>
      </w:r>
      <w:r w:rsidRPr="00D70F36">
        <w:rPr>
          <w:rFonts w:eastAsia="Times New Roman" w:cstheme="minorHAnsi"/>
          <w:color w:val="000000"/>
          <w:lang w:eastAsia="en-GB"/>
        </w:rPr>
        <w:t>Note that whilst this calculation applies only to thinning of the crustal lithosphere, it remains valid providing the density of the asthenosphere and mantle lithosphere are assumed equal</w:t>
      </w:r>
      <w:r w:rsidR="00A87786">
        <w:rPr>
          <w:rFonts w:eastAsia="Times New Roman" w:cstheme="minorHAnsi"/>
          <w:color w:val="000000"/>
          <w:lang w:eastAsia="en-GB"/>
        </w:rPr>
        <w:t xml:space="preserve">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oMath>
      <w:r w:rsidR="00A87786">
        <w:rPr>
          <w:rFonts w:eastAsia="Times New Roman" w:cstheme="minorHAnsi"/>
          <w:color w:val="000000"/>
          <w:lang w:eastAsia="en-GB"/>
        </w:rPr>
        <w:t>)</w:t>
      </w:r>
      <w:r w:rsidRPr="00D70F36">
        <w:rPr>
          <w:rFonts w:eastAsia="Times New Roman" w:cstheme="minorHAnsi"/>
          <w:color w:val="000000"/>
          <w:lang w:eastAsia="en-GB"/>
        </w:rPr>
        <w:t>.</w:t>
      </w:r>
    </w:p>
    <w:p w14:paraId="730BD1F9" w14:textId="458D4E18" w:rsidR="00B13E0E" w:rsidRDefault="00B13E0E" w:rsidP="009E071D">
      <w:pPr>
        <w:spacing w:after="0" w:line="360" w:lineRule="auto"/>
        <w:jc w:val="center"/>
        <w:textAlignment w:val="baseline"/>
        <w:rPr>
          <w:rFonts w:eastAsia="Times New Roman" w:cstheme="minorHAnsi"/>
          <w:color w:val="000000"/>
          <w:lang w:eastAsia="en-GB"/>
        </w:rPr>
      </w:pPr>
      <m:oMathPara>
        <m:oMath>
          <m:r>
            <w:rPr>
              <w:rFonts w:ascii="Cambria Math" w:eastAsia="Times New Roman" w:hAnsi="Cambria Math" w:cstheme="minorHAnsi"/>
              <w:color w:val="000000"/>
              <w:lang w:eastAsia="en-GB"/>
            </w:rPr>
            <m:t>S=</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e>
          </m:d>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oMath>
      </m:oMathPara>
    </w:p>
    <w:p w14:paraId="70E14E23" w14:textId="7CB0E9FF" w:rsidR="00B13E0E"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2.1</w:t>
      </w:r>
    </w:p>
    <w:p w14:paraId="0E7F9B70" w14:textId="58F9CBB4" w:rsidR="00B13E0E"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 xml:space="preserve">Or </w:t>
      </w:r>
      <w:r w:rsidRPr="008A025A">
        <w:rPr>
          <w:rFonts w:eastAsia="Times New Roman" w:cstheme="minorHAnsi"/>
          <w:color w:val="000000"/>
          <w:lang w:eastAsia="en-GB"/>
        </w:rPr>
        <w:t xml:space="preserve"> </w:t>
      </w:r>
      <m:oMath>
        <m:r>
          <w:rPr>
            <w:rFonts w:ascii="Cambria Math" w:eastAsia="Times New Roman" w:hAnsi="Cambria Math" w:cstheme="minorHAnsi"/>
            <w:color w:val="000000"/>
            <w:lang w:eastAsia="en-GB"/>
          </w:rPr>
          <m:t>S=</m:t>
        </m:r>
        <m:d>
          <m:dPr>
            <m:ctrlPr>
              <w:rPr>
                <w:rFonts w:ascii="Cambria Math" w:eastAsia="Times New Roman" w:hAnsi="Cambria Math" w:cstheme="minorHAnsi"/>
                <w:i/>
                <w:color w:val="000000"/>
                <w:lang w:eastAsia="en-GB"/>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e>
        </m:d>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r>
              <w:rPr>
                <w:rFonts w:ascii="Cambria Math" w:eastAsia="Times New Roman" w:hAnsi="Cambria Math" w:cstheme="minorHAnsi"/>
                <w:color w:val="000000"/>
                <w:lang w:eastAsia="en-GB"/>
              </w:rPr>
              <m:t>1-</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e>
        </m:d>
      </m:oMath>
    </w:p>
    <w:p w14:paraId="153AB49E" w14:textId="7F84E629" w:rsidR="00B13E0E" w:rsidRPr="009E071D"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2.2</w:t>
      </w:r>
    </w:p>
    <w:p w14:paraId="082FD19E" w14:textId="19BC9AB2" w:rsidR="00B13E0E" w:rsidRDefault="00B13E0E" w:rsidP="009E071D">
      <w:pPr>
        <w:spacing w:after="0" w:line="360" w:lineRule="auto"/>
        <w:jc w:val="center"/>
        <w:textAlignment w:val="baseline"/>
        <w:rPr>
          <w:rFonts w:eastAsia="Times New Roman" w:cstheme="minorHAnsi"/>
          <w:color w:val="000000"/>
          <w:lang w:eastAsia="en-GB"/>
        </w:rPr>
      </w:pPr>
      <w:r w:rsidRPr="00A15973">
        <w:rPr>
          <w:rFonts w:eastAsia="Times New Roman" w:cstheme="minorHAnsi"/>
          <w:color w:val="000000"/>
          <w:lang w:eastAsia="en-GB"/>
        </w:rPr>
        <w:t>Given that crustal thickness lost due to thinning</w:t>
      </w:r>
      <w:r>
        <w:rPr>
          <w:rFonts w:eastAsia="Times New Roman" w:cstheme="minorHAnsi"/>
          <w:color w:val="000000"/>
          <w:lang w:eastAsia="en-GB"/>
        </w:rPr>
        <w:t xml:space="preserve"> =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oMath>
    </w:p>
    <w:p w14:paraId="0591D22A" w14:textId="1F0F6DAF" w:rsidR="00B13E0E"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2.3</w:t>
      </w:r>
    </w:p>
    <w:p w14:paraId="46385672" w14:textId="0208A232" w:rsidR="00B13E0E" w:rsidRDefault="00B13E0E" w:rsidP="009E071D">
      <w:pPr>
        <w:spacing w:after="0" w:line="360" w:lineRule="auto"/>
        <w:jc w:val="center"/>
        <w:textAlignment w:val="baseline"/>
        <w:rPr>
          <w:rFonts w:eastAsia="Times New Roman" w:cstheme="minorHAnsi"/>
          <w:color w:val="000000"/>
          <w:lang w:eastAsia="en-GB"/>
        </w:rPr>
      </w:pPr>
      <w:r w:rsidRPr="00A15973">
        <w:rPr>
          <w:rFonts w:eastAsia="Times New Roman" w:cstheme="minorHAnsi"/>
          <w:color w:val="000000"/>
          <w:lang w:eastAsia="en-GB"/>
        </w:rPr>
        <w:t xml:space="preserve">And the isostatic response to this thinning </w:t>
      </w:r>
      <w:r>
        <w:rPr>
          <w:rFonts w:eastAsia="Times New Roman" w:cstheme="minorHAnsi"/>
          <w:color w:val="000000"/>
          <w:lang w:eastAsia="en-GB"/>
        </w:rPr>
        <w:t xml:space="preserve">=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oMath>
    </w:p>
    <w:p w14:paraId="4A522679" w14:textId="5E01BBE5" w:rsidR="00B13E0E"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2.4</w:t>
      </w:r>
    </w:p>
    <w:p w14:paraId="4C9ADC61" w14:textId="71A60112" w:rsidR="00B13E0E" w:rsidRDefault="00E164AF" w:rsidP="009E071D">
      <w:pPr>
        <w:spacing w:after="100" w:afterAutospacing="1" w:line="360" w:lineRule="auto"/>
        <w:textAlignment w:val="baseline"/>
        <w:rPr>
          <w:rFonts w:eastAsia="Times New Roman" w:cstheme="minorHAnsi"/>
          <w:color w:val="000000"/>
          <w:lang w:eastAsia="en-GB"/>
        </w:rPr>
      </w:pPr>
      <w:r>
        <w:rPr>
          <w:rFonts w:eastAsia="Times New Roman" w:cstheme="minorHAnsi"/>
          <w:color w:val="000000"/>
          <w:lang w:eastAsia="en-GB"/>
        </w:rPr>
        <w:tab/>
        <w:t>Figure 2</w:t>
      </w:r>
      <w:r w:rsidR="00B13E0E">
        <w:rPr>
          <w:rFonts w:eastAsia="Times New Roman" w:cstheme="minorHAnsi"/>
          <w:color w:val="000000"/>
          <w:lang w:eastAsia="en-GB"/>
        </w:rPr>
        <w:t xml:space="preserve"> </w:t>
      </w:r>
      <w:r w:rsidR="0002221E">
        <w:rPr>
          <w:rFonts w:eastAsia="Times New Roman" w:cstheme="minorHAnsi"/>
          <w:color w:val="000000"/>
          <w:lang w:eastAsia="en-GB"/>
        </w:rPr>
        <w:t xml:space="preserve">predicts </w:t>
      </w:r>
      <w:r w:rsidR="00B13E0E">
        <w:rPr>
          <w:rFonts w:eastAsia="Times New Roman" w:cstheme="minorHAnsi"/>
          <w:color w:val="000000"/>
          <w:lang w:eastAsia="en-GB"/>
        </w:rPr>
        <w:t xml:space="preserve">the depth of two basins in granitic and non-granitic crust when the lithosphere is stretched to twice its </w:t>
      </w:r>
      <w:r w:rsidR="00EC4E6B">
        <w:rPr>
          <w:rFonts w:eastAsia="Times New Roman" w:cstheme="minorHAnsi"/>
          <w:color w:val="000000"/>
          <w:lang w:eastAsia="en-GB"/>
        </w:rPr>
        <w:t xml:space="preserve">original </w:t>
      </w:r>
      <w:r w:rsidR="00B13E0E">
        <w:rPr>
          <w:rFonts w:eastAsia="Times New Roman" w:cstheme="minorHAnsi"/>
          <w:color w:val="000000"/>
          <w:lang w:eastAsia="en-GB"/>
        </w:rPr>
        <w:t>horizontal extent</w:t>
      </w:r>
      <w:r w:rsidR="00C86E38">
        <w:rPr>
          <w:rFonts w:eastAsia="Times New Roman" w:cstheme="minorHAnsi"/>
          <w:color w:val="000000"/>
          <w:lang w:eastAsia="en-GB"/>
        </w:rPr>
        <w:t xml:space="preserve">, representing a </w:t>
      </w:r>
      <w:r w:rsidR="00B81254">
        <w:rPr>
          <w:rFonts w:eastAsia="Times New Roman" w:cstheme="minorHAnsi"/>
          <w:color w:val="000000"/>
          <w:lang w:eastAsia="en-GB"/>
        </w:rPr>
        <w:t>magnitude of extension</w:t>
      </w:r>
      <w:r w:rsidR="00C86E38">
        <w:rPr>
          <w:rFonts w:eastAsia="Times New Roman" w:cstheme="minorHAnsi"/>
          <w:color w:val="000000"/>
          <w:lang w:eastAsia="en-GB"/>
        </w:rPr>
        <w:t xml:space="preserve"> </w:t>
      </w:r>
      <w:r w:rsidR="0002221E">
        <w:rPr>
          <w:rFonts w:eastAsia="Times New Roman" w:cstheme="minorHAnsi"/>
          <w:color w:val="000000"/>
          <w:lang w:eastAsia="en-GB"/>
        </w:rPr>
        <w:t>(</w:t>
      </w:r>
      <m:oMath>
        <m:r>
          <w:rPr>
            <w:rFonts w:ascii="Cambria Math" w:eastAsia="Times New Roman" w:hAnsi="Cambria Math" w:cstheme="minorHAnsi"/>
            <w:color w:val="000000"/>
            <w:lang w:eastAsia="en-GB"/>
          </w:rPr>
          <m:t>β</m:t>
        </m:r>
      </m:oMath>
      <w:r w:rsidR="0002221E">
        <w:rPr>
          <w:rFonts w:eastAsia="Times New Roman" w:cstheme="minorHAnsi"/>
          <w:color w:val="000000"/>
          <w:lang w:eastAsia="en-GB"/>
        </w:rPr>
        <w:t xml:space="preserve">) </w:t>
      </w:r>
      <w:r w:rsidR="00B81254">
        <w:rPr>
          <w:rFonts w:eastAsia="Times New Roman" w:cstheme="minorHAnsi"/>
          <w:color w:val="000000"/>
          <w:lang w:eastAsia="en-GB"/>
        </w:rPr>
        <w:t>of 2</w:t>
      </w:r>
      <w:r w:rsidR="00B13E0E">
        <w:rPr>
          <w:rFonts w:eastAsia="Times New Roman" w:cstheme="minorHAnsi"/>
          <w:color w:val="000000"/>
          <w:lang w:eastAsia="en-GB"/>
        </w:rPr>
        <w:t>. Using the parameters displayed in table 2, the subsidence produced from extending non-granitic crust</w:t>
      </w:r>
      <w:r w:rsidR="00FC080E">
        <w:rPr>
          <w:rFonts w:eastAsia="Times New Roman" w:cstheme="minorHAnsi"/>
          <w:color w:val="000000"/>
          <w:lang w:eastAsia="en-GB"/>
        </w:rPr>
        <w:t xml:space="preserve">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oMath>
      <w:r w:rsidR="00FC080E">
        <w:rPr>
          <w:rFonts w:eastAsia="Times New Roman" w:cstheme="minorHAnsi"/>
          <w:color w:val="000000"/>
          <w:lang w:eastAsia="en-GB"/>
        </w:rPr>
        <w:t>)</w:t>
      </w:r>
      <w:r w:rsidR="00B13E0E">
        <w:rPr>
          <w:rFonts w:eastAsia="Times New Roman" w:cstheme="minorHAnsi"/>
          <w:color w:val="000000"/>
          <w:lang w:eastAsia="en-GB"/>
        </w:rPr>
        <w:t xml:space="preserve"> is 2.66</w:t>
      </w:r>
      <w:r w:rsidR="00A97408">
        <w:rPr>
          <w:rFonts w:eastAsia="Times New Roman" w:cstheme="minorHAnsi"/>
          <w:color w:val="000000"/>
          <w:lang w:eastAsia="en-GB"/>
        </w:rPr>
        <w:t xml:space="preserve"> </w:t>
      </w:r>
      <w:r w:rsidR="00B13E0E">
        <w:rPr>
          <w:rFonts w:eastAsia="Times New Roman" w:cstheme="minorHAnsi"/>
          <w:color w:val="000000"/>
          <w:lang w:eastAsia="en-GB"/>
        </w:rPr>
        <w:t>km</w:t>
      </w:r>
      <w:r w:rsidR="0002221E">
        <w:rPr>
          <w:rFonts w:eastAsia="Times New Roman" w:cstheme="minorHAnsi"/>
          <w:color w:val="000000"/>
          <w:lang w:eastAsia="en-GB"/>
        </w:rPr>
        <w:t>, compared with 3.55 km</w:t>
      </w:r>
      <w:r w:rsidR="00B13E0E">
        <w:rPr>
          <w:rFonts w:eastAsia="Times New Roman" w:cstheme="minorHAnsi"/>
          <w:color w:val="000000"/>
          <w:lang w:eastAsia="en-GB"/>
        </w:rPr>
        <w:t xml:space="preserve"> for a cr</w:t>
      </w:r>
      <w:r w:rsidR="00EC4E6B">
        <w:rPr>
          <w:rFonts w:eastAsia="Times New Roman" w:cstheme="minorHAnsi"/>
          <w:color w:val="000000"/>
          <w:lang w:eastAsia="en-GB"/>
        </w:rPr>
        <w:t>ust composed entirely of granitic material</w:t>
      </w:r>
      <w:r w:rsidR="00FC080E">
        <w:rPr>
          <w:rFonts w:eastAsia="Times New Roman" w:cstheme="minorHAnsi"/>
          <w:color w:val="000000"/>
          <w:lang w:eastAsia="en-GB"/>
        </w:rPr>
        <w:t xml:space="preserve">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m:t>
            </m:r>
          </m:sub>
        </m:sSub>
      </m:oMath>
      <w:r w:rsidR="00FC080E">
        <w:rPr>
          <w:rFonts w:eastAsia="Times New Roman" w:cstheme="minorHAnsi"/>
          <w:color w:val="000000"/>
          <w:lang w:eastAsia="en-GB"/>
        </w:rPr>
        <w:t>)</w:t>
      </w:r>
      <w:r w:rsidR="00B13E0E">
        <w:rPr>
          <w:rFonts w:eastAsia="Times New Roman" w:cstheme="minorHAnsi"/>
          <w:color w:val="000000"/>
          <w:lang w:eastAsia="en-GB"/>
        </w:rPr>
        <w:t xml:space="preserve">. Net subsidence </w:t>
      </w:r>
      <w:r w:rsidR="00FC080E">
        <w:rPr>
          <w:rFonts w:eastAsia="Times New Roman" w:cstheme="minorHAnsi"/>
          <w:color w:val="000000"/>
          <w:lang w:eastAsia="en-GB"/>
        </w:rPr>
        <w:t xml:space="preserve">during extension </w:t>
      </w:r>
      <w:r w:rsidR="00B13E0E">
        <w:rPr>
          <w:rFonts w:eastAsia="Times New Roman" w:cstheme="minorHAnsi"/>
          <w:color w:val="000000"/>
          <w:lang w:eastAsia="en-GB"/>
        </w:rPr>
        <w:t>for</w:t>
      </w:r>
      <w:r w:rsidR="002B14A9">
        <w:rPr>
          <w:rFonts w:eastAsia="Times New Roman" w:cstheme="minorHAnsi"/>
          <w:color w:val="000000"/>
          <w:lang w:eastAsia="en-GB"/>
        </w:rPr>
        <w:t xml:space="preserve"> less</w:t>
      </w:r>
      <w:r w:rsidR="002D63EE">
        <w:rPr>
          <w:rFonts w:eastAsia="Times New Roman" w:cstheme="minorHAnsi"/>
          <w:color w:val="000000"/>
          <w:lang w:eastAsia="en-GB"/>
        </w:rPr>
        <w:t xml:space="preserve"> </w:t>
      </w:r>
      <w:r w:rsidR="002B14A9">
        <w:rPr>
          <w:rFonts w:eastAsia="Times New Roman" w:cstheme="minorHAnsi"/>
          <w:color w:val="000000"/>
          <w:lang w:eastAsia="en-GB"/>
        </w:rPr>
        <w:t xml:space="preserve">dense crust is </w:t>
      </w:r>
      <w:r w:rsidR="00B13E0E">
        <w:rPr>
          <w:rFonts w:eastAsia="Times New Roman" w:cstheme="minorHAnsi"/>
          <w:color w:val="000000"/>
          <w:lang w:eastAsia="en-GB"/>
        </w:rPr>
        <w:t>greater</w:t>
      </w:r>
      <w:r w:rsidR="00C86E38">
        <w:rPr>
          <w:rFonts w:eastAsia="Times New Roman" w:cstheme="minorHAnsi"/>
          <w:color w:val="000000"/>
          <w:lang w:eastAsia="en-GB"/>
        </w:rPr>
        <w:t xml:space="preserve"> due to </w:t>
      </w:r>
      <w:r w:rsidR="00AC6AFC">
        <w:rPr>
          <w:rFonts w:eastAsia="Times New Roman" w:cstheme="minorHAnsi"/>
          <w:color w:val="000000"/>
          <w:lang w:eastAsia="en-GB"/>
        </w:rPr>
        <w:t xml:space="preserve">a </w:t>
      </w:r>
      <w:r w:rsidR="00C86E38">
        <w:rPr>
          <w:rFonts w:eastAsia="Times New Roman" w:cstheme="minorHAnsi"/>
          <w:color w:val="000000"/>
          <w:lang w:eastAsia="en-GB"/>
        </w:rPr>
        <w:t>less</w:t>
      </w:r>
      <w:r w:rsidR="00AC6AFC">
        <w:rPr>
          <w:rFonts w:eastAsia="Times New Roman" w:cstheme="minorHAnsi"/>
          <w:color w:val="000000"/>
          <w:lang w:eastAsia="en-GB"/>
        </w:rPr>
        <w:t>er magnitude of</w:t>
      </w:r>
      <w:r w:rsidR="00C86E38">
        <w:rPr>
          <w:rFonts w:eastAsia="Times New Roman" w:cstheme="minorHAnsi"/>
          <w:color w:val="000000"/>
          <w:lang w:eastAsia="en-GB"/>
        </w:rPr>
        <w:t xml:space="preserve"> isostatic rebound </w:t>
      </w:r>
      <w:r w:rsidR="00FC6BBE">
        <w:rPr>
          <w:rFonts w:eastAsia="Times New Roman" w:cstheme="minorHAnsi"/>
          <w:color w:val="000000"/>
          <w:lang w:eastAsia="en-GB"/>
        </w:rPr>
        <w:t xml:space="preserve">being </w:t>
      </w:r>
      <w:r w:rsidR="00C86E38">
        <w:rPr>
          <w:rFonts w:eastAsia="Times New Roman" w:cstheme="minorHAnsi"/>
          <w:color w:val="000000"/>
          <w:lang w:eastAsia="en-GB"/>
        </w:rPr>
        <w:t xml:space="preserve">required to compensate for thinning of a crust with </w:t>
      </w:r>
      <w:r w:rsidR="00AC6AFC">
        <w:rPr>
          <w:rFonts w:eastAsia="Times New Roman" w:cstheme="minorHAnsi"/>
          <w:color w:val="000000"/>
          <w:lang w:eastAsia="en-GB"/>
        </w:rPr>
        <w:t xml:space="preserve">comparatively </w:t>
      </w:r>
      <w:r w:rsidR="00C86E38">
        <w:rPr>
          <w:rFonts w:eastAsia="Times New Roman" w:cstheme="minorHAnsi"/>
          <w:color w:val="000000"/>
          <w:lang w:eastAsia="en-GB"/>
        </w:rPr>
        <w:t>low</w:t>
      </w:r>
      <w:r w:rsidR="00FC6BBE">
        <w:rPr>
          <w:rFonts w:eastAsia="Times New Roman" w:cstheme="minorHAnsi"/>
          <w:color w:val="000000"/>
          <w:lang w:eastAsia="en-GB"/>
        </w:rPr>
        <w:t>er</w:t>
      </w:r>
      <w:r w:rsidR="00C86E38">
        <w:rPr>
          <w:rFonts w:eastAsia="Times New Roman" w:cstheme="minorHAnsi"/>
          <w:color w:val="000000"/>
          <w:lang w:eastAsia="en-GB"/>
        </w:rPr>
        <w:t xml:space="preserve"> density</w:t>
      </w:r>
      <w:r w:rsidR="00B13E0E">
        <w:rPr>
          <w:rFonts w:eastAsia="Times New Roman" w:cstheme="minorHAnsi"/>
          <w:color w:val="000000"/>
          <w:lang w:eastAsia="en-GB"/>
        </w:rPr>
        <w:t>.</w:t>
      </w:r>
    </w:p>
    <w:p w14:paraId="21C32EEF" w14:textId="3E882487" w:rsidR="00B13E0E" w:rsidRDefault="00B13E0E" w:rsidP="009E071D">
      <w:pPr>
        <w:spacing w:after="0" w:line="360" w:lineRule="auto"/>
        <w:ind w:firstLine="720"/>
        <w:textAlignment w:val="baseline"/>
        <w:rPr>
          <w:rFonts w:eastAsia="Times New Roman" w:cstheme="minorHAnsi"/>
          <w:color w:val="000000"/>
          <w:lang w:eastAsia="en-GB"/>
        </w:rPr>
      </w:pPr>
      <w:r>
        <w:rPr>
          <w:rFonts w:eastAsia="Times New Roman" w:cstheme="minorHAnsi"/>
          <w:color w:val="000000"/>
          <w:lang w:eastAsia="en-GB"/>
        </w:rPr>
        <w:t>An alteration in overall bulk crustal density however causes a separate isostatic adjustment. In the case of density deficiency due to granite em</w:t>
      </w:r>
      <w:r w:rsidR="00182431">
        <w:rPr>
          <w:rFonts w:eastAsia="Times New Roman" w:cstheme="minorHAnsi"/>
          <w:color w:val="000000"/>
          <w:lang w:eastAsia="en-GB"/>
        </w:rPr>
        <w:t xml:space="preserve">placement, this implies uplift. </w:t>
      </w:r>
      <w:r>
        <w:rPr>
          <w:rFonts w:eastAsia="Times New Roman" w:cstheme="minorHAnsi"/>
          <w:color w:val="000000"/>
          <w:lang w:eastAsia="en-GB"/>
        </w:rPr>
        <w:t>When the complete substitution of crustal rock with a granite body of the same volume is assumed</w:t>
      </w:r>
      <w:r w:rsidR="00977372">
        <w:rPr>
          <w:rFonts w:eastAsia="Times New Roman" w:cstheme="minorHAnsi"/>
          <w:color w:val="000000"/>
          <w:lang w:eastAsia="en-GB"/>
        </w:rPr>
        <w:t xml:space="preserve"> (rather than addition to the crust)</w:t>
      </w:r>
      <w:r>
        <w:rPr>
          <w:rFonts w:eastAsia="Times New Roman" w:cstheme="minorHAnsi"/>
          <w:color w:val="000000"/>
          <w:lang w:eastAsia="en-GB"/>
        </w:rPr>
        <w:t xml:space="preserve">, </w:t>
      </w:r>
      <w:r w:rsidR="00C86E38">
        <w:rPr>
          <w:rFonts w:eastAsia="Times New Roman" w:cstheme="minorHAnsi"/>
          <w:color w:val="000000"/>
          <w:lang w:eastAsia="en-GB"/>
        </w:rPr>
        <w:t xml:space="preserve">the uplift, IR, </w:t>
      </w:r>
      <w:r>
        <w:rPr>
          <w:rFonts w:eastAsia="Times New Roman" w:cstheme="minorHAnsi"/>
          <w:color w:val="000000"/>
          <w:lang w:eastAsia="en-GB"/>
        </w:rPr>
        <w:t>can be given by:</w:t>
      </w:r>
    </w:p>
    <w:p w14:paraId="57EC3EF2" w14:textId="77777777" w:rsidR="00B13E0E" w:rsidRDefault="00B13E0E" w:rsidP="009E071D">
      <w:pPr>
        <w:spacing w:after="0" w:line="360" w:lineRule="auto"/>
        <w:jc w:val="center"/>
        <w:textAlignment w:val="baseline"/>
        <w:rPr>
          <w:rFonts w:eastAsia="Times New Roman" w:cstheme="minorHAnsi"/>
          <w:color w:val="000000"/>
          <w:lang w:eastAsia="en-GB"/>
        </w:rPr>
      </w:pPr>
      <m:oMathPara>
        <m:oMath>
          <m:r>
            <w:rPr>
              <w:rFonts w:ascii="Cambria Math" w:eastAsia="Times New Roman" w:hAnsi="Cambria Math" w:cstheme="minorHAnsi"/>
              <w:color w:val="000000"/>
              <w:lang w:eastAsia="en-GB"/>
            </w:rPr>
            <m:t>IR=</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GR</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r>
                <w:rPr>
                  <w:rFonts w:ascii="Cambria Math" w:eastAsia="Times New Roman" w:hAnsi="Cambria Math" w:cstheme="minorHAnsi"/>
                  <w:color w:val="000000"/>
                  <w:lang w:eastAsia="en-GB"/>
                </w:rPr>
                <m:t>-</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oMath>
      </m:oMathPara>
    </w:p>
    <w:p w14:paraId="7AD9D18C" w14:textId="07963344" w:rsidR="00B13E0E" w:rsidRDefault="00B13E0E" w:rsidP="009E071D">
      <w:pPr>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lastRenderedPageBreak/>
        <w:t>2.5</w:t>
      </w:r>
    </w:p>
    <w:p w14:paraId="1148F3AE" w14:textId="011EF557" w:rsidR="00B13E0E" w:rsidRDefault="00B13E0E" w:rsidP="009E071D">
      <w:pPr>
        <w:spacing w:after="0" w:line="360" w:lineRule="auto"/>
        <w:ind w:firstLine="720"/>
        <w:textAlignment w:val="baseline"/>
        <w:rPr>
          <w:rFonts w:eastAsia="Times New Roman" w:cstheme="minorHAnsi"/>
          <w:color w:val="000000"/>
          <w:lang w:eastAsia="en-GB"/>
        </w:rPr>
      </w:pPr>
      <w:r w:rsidRPr="00A06618">
        <w:rPr>
          <w:rFonts w:eastAsia="Times New Roman" w:cstheme="minorHAnsi"/>
          <w:color w:val="000000"/>
          <w:lang w:eastAsia="en-GB"/>
        </w:rPr>
        <w:t>Examples of the isostatic responses to magmatic emplacement are common (</w:t>
      </w:r>
      <w:r w:rsidRPr="00A3529C">
        <w:rPr>
          <w:rFonts w:eastAsia="Times New Roman" w:cstheme="minorHAnsi"/>
          <w:color w:val="000000"/>
          <w:lang w:eastAsia="en-GB"/>
        </w:rPr>
        <w:t>e</w:t>
      </w:r>
      <w:r w:rsidR="00B05165">
        <w:rPr>
          <w:rFonts w:eastAsia="Times New Roman" w:cstheme="minorHAnsi"/>
          <w:color w:val="000000"/>
          <w:lang w:eastAsia="en-GB"/>
        </w:rPr>
        <w:t>.</w:t>
      </w:r>
      <w:r w:rsidRPr="00A3529C">
        <w:rPr>
          <w:rFonts w:eastAsia="Times New Roman" w:cstheme="minorHAnsi"/>
          <w:color w:val="000000"/>
          <w:lang w:eastAsia="en-GB"/>
        </w:rPr>
        <w:t xml:space="preserve">g. Brodie and White, 1994; </w:t>
      </w:r>
      <w:proofErr w:type="spellStart"/>
      <w:r w:rsidRPr="00A3529C">
        <w:t>Maclennan</w:t>
      </w:r>
      <w:proofErr w:type="spellEnd"/>
      <w:r w:rsidRPr="00A3529C">
        <w:t xml:space="preserve"> and Lovell, 2002</w:t>
      </w:r>
      <w:r w:rsidRPr="00A06618">
        <w:rPr>
          <w:rFonts w:eastAsia="Times New Roman" w:cstheme="minorHAnsi"/>
          <w:color w:val="000000"/>
          <w:lang w:eastAsia="en-GB"/>
        </w:rPr>
        <w:t>). Where granite bodies have been inferred on the basis of gravity anomalies, the defici</w:t>
      </w:r>
      <w:r>
        <w:rPr>
          <w:rFonts w:eastAsia="Times New Roman" w:cstheme="minorHAnsi"/>
          <w:color w:val="000000"/>
          <w:lang w:eastAsia="en-GB"/>
        </w:rPr>
        <w:t>ency in the gravitational field</w:t>
      </w:r>
      <w:r w:rsidRPr="00A06618">
        <w:rPr>
          <w:rFonts w:eastAsia="Times New Roman" w:cstheme="minorHAnsi"/>
          <w:color w:val="000000"/>
          <w:lang w:eastAsia="en-GB"/>
        </w:rPr>
        <w:t xml:space="preserve"> </w:t>
      </w:r>
      <w:r>
        <w:rPr>
          <w:rFonts w:eastAsia="Times New Roman" w:cstheme="minorHAnsi"/>
          <w:color w:val="000000"/>
          <w:lang w:eastAsia="en-GB"/>
        </w:rPr>
        <w:t>compared with background values</w:t>
      </w:r>
      <w:r w:rsidRPr="00A06618">
        <w:rPr>
          <w:rFonts w:eastAsia="Times New Roman" w:cstheme="minorHAnsi"/>
          <w:color w:val="000000"/>
          <w:lang w:eastAsia="en-GB"/>
        </w:rPr>
        <w:t xml:space="preserve"> has been </w:t>
      </w:r>
      <w:r>
        <w:rPr>
          <w:rFonts w:eastAsia="Times New Roman" w:cstheme="minorHAnsi"/>
          <w:color w:val="000000"/>
          <w:lang w:eastAsia="en-GB"/>
        </w:rPr>
        <w:t>used to calculate</w:t>
      </w:r>
      <w:r w:rsidRPr="00A06618">
        <w:rPr>
          <w:rFonts w:eastAsia="Times New Roman" w:cstheme="minorHAnsi"/>
          <w:color w:val="000000"/>
          <w:lang w:eastAsia="en-GB"/>
        </w:rPr>
        <w:t xml:space="preserve"> </w:t>
      </w:r>
      <w:r>
        <w:rPr>
          <w:rFonts w:eastAsia="Times New Roman" w:cstheme="minorHAnsi"/>
          <w:color w:val="000000"/>
          <w:lang w:eastAsia="en-GB"/>
        </w:rPr>
        <w:t xml:space="preserve">localised </w:t>
      </w:r>
      <w:r w:rsidRPr="00A06618">
        <w:rPr>
          <w:rFonts w:eastAsia="Times New Roman" w:cstheme="minorHAnsi"/>
          <w:color w:val="000000"/>
          <w:lang w:eastAsia="en-GB"/>
        </w:rPr>
        <w:t>isostatic rebound (</w:t>
      </w:r>
      <w:r w:rsidRPr="00A3529C">
        <w:rPr>
          <w:rFonts w:eastAsia="Times New Roman" w:cstheme="minorHAnsi"/>
          <w:color w:val="000000"/>
          <w:lang w:eastAsia="en-GB"/>
        </w:rPr>
        <w:t>e</w:t>
      </w:r>
      <w:r w:rsidR="00896FD3">
        <w:rPr>
          <w:rFonts w:eastAsia="Times New Roman" w:cstheme="minorHAnsi"/>
          <w:color w:val="000000"/>
          <w:lang w:eastAsia="en-GB"/>
        </w:rPr>
        <w:t>.</w:t>
      </w:r>
      <w:r w:rsidRPr="00A3529C">
        <w:rPr>
          <w:rFonts w:eastAsia="Times New Roman" w:cstheme="minorHAnsi"/>
          <w:color w:val="000000"/>
          <w:lang w:eastAsia="en-GB"/>
        </w:rPr>
        <w:t>g. Donato et al., 1983</w:t>
      </w:r>
      <w:r w:rsidRPr="00A06618">
        <w:rPr>
          <w:rFonts w:eastAsia="Times New Roman" w:cstheme="minorHAnsi"/>
          <w:color w:val="000000"/>
          <w:lang w:eastAsia="en-GB"/>
        </w:rPr>
        <w:t>). Nonetheless, fully integrated numerical modelling of the influences of granite induced crustal heterogeneities on lithosphere</w:t>
      </w:r>
      <w:r w:rsidR="00EC4E6B">
        <w:rPr>
          <w:rFonts w:eastAsia="Times New Roman" w:cstheme="minorHAnsi"/>
          <w:color w:val="000000"/>
          <w:lang w:eastAsia="en-GB"/>
        </w:rPr>
        <w:t xml:space="preserve"> behaviour</w:t>
      </w:r>
      <w:r w:rsidRPr="00A06618">
        <w:rPr>
          <w:rFonts w:eastAsia="Times New Roman" w:cstheme="minorHAnsi"/>
          <w:color w:val="000000"/>
          <w:lang w:eastAsia="en-GB"/>
        </w:rPr>
        <w:t xml:space="preserve"> and</w:t>
      </w:r>
      <w:r w:rsidR="00EC4E6B">
        <w:rPr>
          <w:rFonts w:eastAsia="Times New Roman" w:cstheme="minorHAnsi"/>
          <w:color w:val="000000"/>
          <w:lang w:eastAsia="en-GB"/>
        </w:rPr>
        <w:t xml:space="preserve"> any resultant</w:t>
      </w:r>
      <w:r w:rsidRPr="00A06618">
        <w:rPr>
          <w:rFonts w:eastAsia="Times New Roman" w:cstheme="minorHAnsi"/>
          <w:color w:val="000000"/>
          <w:lang w:eastAsia="en-GB"/>
        </w:rPr>
        <w:t xml:space="preserve"> basin architecture are lacking</w:t>
      </w:r>
      <w:r w:rsidR="00E50C38">
        <w:rPr>
          <w:rFonts w:eastAsia="Times New Roman" w:cstheme="minorHAnsi"/>
          <w:color w:val="000000"/>
          <w:lang w:eastAsia="en-GB"/>
        </w:rPr>
        <w:t>.</w:t>
      </w:r>
    </w:p>
    <w:p w14:paraId="36B90B97" w14:textId="36D82905" w:rsidR="00B13E0E" w:rsidRDefault="00B13E0E" w:rsidP="009E071D">
      <w:pPr>
        <w:pStyle w:val="Heading1"/>
        <w:spacing w:line="360" w:lineRule="auto"/>
      </w:pPr>
      <w:r>
        <w:t>3.0 Revised 1D model</w:t>
      </w:r>
      <w:r w:rsidR="000A1EC6">
        <w:t xml:space="preserve"> of lithospheric</w:t>
      </w:r>
      <w:r w:rsidR="00A90F7F">
        <w:t xml:space="preserve"> ex</w:t>
      </w:r>
      <w:r w:rsidR="0046525D">
        <w:t>tension and granite emplacement</w:t>
      </w:r>
    </w:p>
    <w:p w14:paraId="73FE6E3A" w14:textId="128D0426" w:rsidR="00B13E0E" w:rsidRPr="00E74D98" w:rsidRDefault="00B13E0E" w:rsidP="009E071D">
      <w:pPr>
        <w:spacing w:line="360" w:lineRule="auto"/>
      </w:pPr>
      <w:r>
        <w:tab/>
        <w:t xml:space="preserve">Ultimately, </w:t>
      </w:r>
      <w:r w:rsidR="00A90F7F">
        <w:t>we develop a</w:t>
      </w:r>
      <w:r>
        <w:t xml:space="preserve"> fu</w:t>
      </w:r>
      <w:r w:rsidR="000A1EC6">
        <w:t>lly integrated 2D lithospheric</w:t>
      </w:r>
      <w:r>
        <w:t xml:space="preserve"> scale model </w:t>
      </w:r>
      <w:r w:rsidR="00A90F7F">
        <w:t xml:space="preserve">that </w:t>
      </w:r>
      <w:r>
        <w:t xml:space="preserve">accounts for depth-dependent </w:t>
      </w:r>
      <w:r w:rsidR="00A90F7F">
        <w:t xml:space="preserve">extension by </w:t>
      </w:r>
      <w:r>
        <w:t>compound simple shear and pure shear, flexural isostasy and the thermal perturbat</w:t>
      </w:r>
      <w:r w:rsidR="000A1EC6">
        <w:t>ions associated with lithospheric</w:t>
      </w:r>
      <w:r>
        <w:t xml:space="preserve"> deformation</w:t>
      </w:r>
      <w:r w:rsidR="00DA134F">
        <w:t xml:space="preserve"> (e</w:t>
      </w:r>
      <w:r w:rsidR="00DE74F9">
        <w:t>.</w:t>
      </w:r>
      <w:r w:rsidR="00DA134F">
        <w:t xml:space="preserve">g. </w:t>
      </w:r>
      <w:proofErr w:type="spellStart"/>
      <w:r w:rsidR="00DA134F">
        <w:t>Kusznir</w:t>
      </w:r>
      <w:proofErr w:type="spellEnd"/>
      <w:r w:rsidR="00DA134F">
        <w:t xml:space="preserve"> and Egan, 1989</w:t>
      </w:r>
      <w:r w:rsidR="00DA611B">
        <w:t>; Meredith and Egan, 2002</w:t>
      </w:r>
      <w:r w:rsidR="00DA134F">
        <w:t>)</w:t>
      </w:r>
      <w:r w:rsidR="00977372">
        <w:t>,</w:t>
      </w:r>
      <w:r>
        <w:t xml:space="preserve"> as well as the isostatic influence of granite. However, </w:t>
      </w:r>
      <w:r w:rsidR="004E48B2">
        <w:t xml:space="preserve">this section describes a </w:t>
      </w:r>
      <w:r>
        <w:t>1D model</w:t>
      </w:r>
      <w:r w:rsidR="004E48B2">
        <w:t>ling approach, assuming local isostasy (</w:t>
      </w:r>
      <w:r w:rsidR="004E48B2" w:rsidRPr="00DA611B">
        <w:t>e</w:t>
      </w:r>
      <w:r w:rsidR="00DE74F9">
        <w:t>.</w:t>
      </w:r>
      <w:r w:rsidR="004E48B2" w:rsidRPr="00DA611B">
        <w:t>g. Airy, 1855; Pratt, 1858</w:t>
      </w:r>
      <w:r w:rsidR="00F117EC">
        <w:t>),</w:t>
      </w:r>
      <w:r>
        <w:t xml:space="preserve"> </w:t>
      </w:r>
      <w:r w:rsidR="004E48B2">
        <w:t xml:space="preserve">in order to provide </w:t>
      </w:r>
      <w:r>
        <w:t>useful approximations for subsidence behaviour</w:t>
      </w:r>
      <w:r w:rsidR="004E48B2">
        <w:t xml:space="preserve"> in response to extensional tectonics</w:t>
      </w:r>
      <w:r>
        <w:t xml:space="preserve"> (</w:t>
      </w:r>
      <w:r w:rsidRPr="00DA611B">
        <w:t>e</w:t>
      </w:r>
      <w:r w:rsidR="00E50C38">
        <w:t>.</w:t>
      </w:r>
      <w:r w:rsidRPr="00DA611B">
        <w:t>g. McKenzie, 1978</w:t>
      </w:r>
      <w:r>
        <w:t xml:space="preserve">). </w:t>
      </w:r>
      <w:r w:rsidR="004E48B2">
        <w:t xml:space="preserve">Readers should </w:t>
      </w:r>
      <w:r>
        <w:t xml:space="preserve">refer to table 2 for </w:t>
      </w:r>
      <w:r w:rsidR="004E48B2">
        <w:t xml:space="preserve">a summary of </w:t>
      </w:r>
      <w:r>
        <w:t>model</w:t>
      </w:r>
      <w:r w:rsidR="00857551">
        <w:t xml:space="preserve"> parameters.</w:t>
      </w:r>
    </w:p>
    <w:p w14:paraId="02D7A720" w14:textId="7778B9A7" w:rsidR="00B13E0E" w:rsidRDefault="00B13E0E" w:rsidP="009E071D">
      <w:pPr>
        <w:pStyle w:val="Heading3"/>
        <w:spacing w:line="360" w:lineRule="auto"/>
      </w:pPr>
      <w:r w:rsidRPr="004559DF">
        <w:t xml:space="preserve">3.1 </w:t>
      </w:r>
      <w:r w:rsidR="00EC6A96">
        <w:t>Numerical replication of g</w:t>
      </w:r>
      <w:r>
        <w:t>ranite emplacement</w:t>
      </w:r>
    </w:p>
    <w:p w14:paraId="26333A70" w14:textId="01943703" w:rsidR="00B13E0E" w:rsidRDefault="00B13E0E" w:rsidP="009E071D">
      <w:pPr>
        <w:spacing w:line="360" w:lineRule="auto"/>
        <w:ind w:firstLine="720"/>
      </w:pPr>
      <w:r>
        <w:t>Replicating granitic emplacement in order to quantify isostatic uplift can be performed in a number of ways. Equation 2.5 assumes the complete substitution of crustal rock with less dense granitic rock and no thermal expansion (</w:t>
      </w:r>
      <w:r w:rsidRPr="00A3529C">
        <w:t>e</w:t>
      </w:r>
      <w:r w:rsidR="00E50C38">
        <w:t>.</w:t>
      </w:r>
      <w:r w:rsidRPr="00A3529C">
        <w:t>g. Donato et al</w:t>
      </w:r>
      <w:r w:rsidR="00B27BD6">
        <w:t>., 1983</w:t>
      </w:r>
      <w:r>
        <w:t xml:space="preserve">). However, a more accurate portrayal of isostatic uplift due to magmatic emplacement is perhaps achieved by the </w:t>
      </w:r>
      <w:r w:rsidRPr="005255AB">
        <w:rPr>
          <w:i/>
        </w:rPr>
        <w:t>addition</w:t>
      </w:r>
      <w:r>
        <w:t xml:space="preserve"> of less dense material to the crust; an approach </w:t>
      </w:r>
      <w:r w:rsidR="00F670E4">
        <w:t xml:space="preserve">that is </w:t>
      </w:r>
      <w:r>
        <w:t>simila</w:t>
      </w:r>
      <w:r w:rsidR="00F670E4">
        <w:t>r to that</w:t>
      </w:r>
      <w:r>
        <w:t xml:space="preserve"> adopted in the numerical modelling of magmatic </w:t>
      </w:r>
      <w:proofErr w:type="spellStart"/>
      <w:r>
        <w:t>underplating</w:t>
      </w:r>
      <w:proofErr w:type="spellEnd"/>
      <w:r>
        <w:t xml:space="preserve"> (e</w:t>
      </w:r>
      <w:r w:rsidR="00E50C38">
        <w:t>.</w:t>
      </w:r>
      <w:r>
        <w:t xml:space="preserve">g. </w:t>
      </w:r>
      <w:proofErr w:type="spellStart"/>
      <w:r>
        <w:t>Maclennon</w:t>
      </w:r>
      <w:proofErr w:type="spellEnd"/>
      <w:r>
        <w:t xml:space="preserve"> and Lovell, 2002):</w:t>
      </w:r>
    </w:p>
    <w:p w14:paraId="16559CEE" w14:textId="77777777" w:rsidR="00B13E0E" w:rsidRDefault="00B13E0E" w:rsidP="009E071D">
      <w:pPr>
        <w:spacing w:line="360" w:lineRule="auto"/>
        <w:jc w:val="center"/>
        <w:rPr>
          <w:rFonts w:eastAsiaTheme="minorEastAsia"/>
          <w:color w:val="000000"/>
          <w:lang w:eastAsia="en-GB"/>
        </w:rPr>
      </w:pPr>
      <m:oMathPara>
        <m:oMath>
          <m:r>
            <w:rPr>
              <w:rFonts w:ascii="Cambria Math" w:eastAsia="Times New Roman" w:hAnsi="Cambria Math" w:cstheme="minorHAnsi"/>
              <w:color w:val="000000"/>
              <w:lang w:eastAsia="en-GB"/>
            </w:rPr>
            <m:t>IR=</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GR</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GR</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r>
                <w:rPr>
                  <w:rFonts w:ascii="Cambria Math" w:eastAsia="Times New Roman" w:hAnsi="Cambria Math" w:cstheme="minorHAnsi"/>
                  <w:color w:val="000000"/>
                  <w:lang w:eastAsia="en-GB"/>
                </w:rPr>
                <m:t>-</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oMath>
      </m:oMathPara>
    </w:p>
    <w:p w14:paraId="6D721074" w14:textId="77777777" w:rsidR="00B13E0E" w:rsidRDefault="00B13E0E" w:rsidP="009E071D">
      <w:pPr>
        <w:spacing w:line="360" w:lineRule="auto"/>
        <w:jc w:val="center"/>
        <w:rPr>
          <w:rFonts w:eastAsiaTheme="minorEastAsia"/>
          <w:color w:val="000000"/>
          <w:lang w:eastAsia="en-GB"/>
        </w:rPr>
      </w:pPr>
      <w:r>
        <w:rPr>
          <w:rFonts w:eastAsiaTheme="minorEastAsia"/>
          <w:color w:val="000000"/>
          <w:lang w:eastAsia="en-GB"/>
        </w:rPr>
        <w:t>3.1</w:t>
      </w:r>
    </w:p>
    <w:p w14:paraId="4BEE229C" w14:textId="28E675DC" w:rsidR="00B13E0E" w:rsidRDefault="00B13E0E" w:rsidP="009E071D">
      <w:pPr>
        <w:spacing w:line="360" w:lineRule="auto"/>
        <w:rPr>
          <w:rFonts w:eastAsiaTheme="minorEastAsia"/>
          <w:color w:val="000000"/>
          <w:lang w:eastAsia="en-GB"/>
        </w:rPr>
      </w:pPr>
      <w:r>
        <w:rPr>
          <w:rFonts w:eastAsiaTheme="minorEastAsia"/>
          <w:color w:val="000000"/>
          <w:lang w:eastAsia="en-GB"/>
        </w:rPr>
        <w:tab/>
        <w:t xml:space="preserve">Both calculations </w:t>
      </w:r>
      <w:r w:rsidR="00E02BEB">
        <w:rPr>
          <w:rFonts w:eastAsiaTheme="minorEastAsia"/>
          <w:color w:val="000000"/>
          <w:lang w:eastAsia="en-GB"/>
        </w:rPr>
        <w:t>are approximations of</w:t>
      </w:r>
      <w:r>
        <w:rPr>
          <w:rFonts w:eastAsiaTheme="minorEastAsia"/>
          <w:color w:val="000000"/>
          <w:lang w:eastAsia="en-GB"/>
        </w:rPr>
        <w:t xml:space="preserve"> the local isostatic adjustment </w:t>
      </w:r>
      <w:r w:rsidR="00977372">
        <w:rPr>
          <w:rFonts w:eastAsiaTheme="minorEastAsia"/>
          <w:color w:val="000000"/>
          <w:lang w:eastAsia="en-GB"/>
        </w:rPr>
        <w:t xml:space="preserve">to one of </w:t>
      </w:r>
      <w:r>
        <w:rPr>
          <w:rFonts w:eastAsiaTheme="minorEastAsia"/>
          <w:color w:val="000000"/>
          <w:lang w:eastAsia="en-GB"/>
        </w:rPr>
        <w:t>two simplified, end-member magmatic bodies; one derived entirely from partial melting of the crust (equation 2.5)</w:t>
      </w:r>
      <w:r w:rsidR="00F670E4">
        <w:rPr>
          <w:rFonts w:eastAsiaTheme="minorEastAsia"/>
          <w:color w:val="000000"/>
          <w:lang w:eastAsia="en-GB"/>
        </w:rPr>
        <w:t>,</w:t>
      </w:r>
      <w:r>
        <w:rPr>
          <w:rFonts w:eastAsiaTheme="minorEastAsia"/>
          <w:color w:val="000000"/>
          <w:lang w:eastAsia="en-GB"/>
        </w:rPr>
        <w:t xml:space="preserve"> and </w:t>
      </w:r>
      <w:r w:rsidR="00F670E4">
        <w:rPr>
          <w:rFonts w:eastAsiaTheme="minorEastAsia"/>
          <w:color w:val="000000"/>
          <w:lang w:eastAsia="en-GB"/>
        </w:rPr>
        <w:t xml:space="preserve">the </w:t>
      </w:r>
      <w:r>
        <w:rPr>
          <w:rFonts w:eastAsiaTheme="minorEastAsia"/>
          <w:color w:val="000000"/>
          <w:lang w:eastAsia="en-GB"/>
        </w:rPr>
        <w:t>other derived entirely from the mantle</w:t>
      </w:r>
      <w:r w:rsidR="008553B7">
        <w:rPr>
          <w:rFonts w:eastAsiaTheme="minorEastAsia"/>
          <w:color w:val="000000"/>
          <w:lang w:eastAsia="en-GB"/>
        </w:rPr>
        <w:t xml:space="preserve"> that eventually adds material to the crust</w:t>
      </w:r>
      <w:r>
        <w:rPr>
          <w:rFonts w:eastAsiaTheme="minorEastAsia"/>
          <w:color w:val="000000"/>
          <w:lang w:eastAsia="en-GB"/>
        </w:rPr>
        <w:t xml:space="preserve"> (equation 3.1). </w:t>
      </w:r>
      <w:r w:rsidR="008156C6">
        <w:rPr>
          <w:rFonts w:eastAsiaTheme="minorEastAsia"/>
          <w:color w:val="000000"/>
          <w:lang w:eastAsia="en-GB"/>
        </w:rPr>
        <w:t>Although t</w:t>
      </w:r>
      <w:r>
        <w:rPr>
          <w:rFonts w:eastAsiaTheme="minorEastAsia"/>
          <w:color w:val="000000"/>
          <w:lang w:eastAsia="en-GB"/>
        </w:rPr>
        <w:t>he addition of material produces a significantly greater isostatic response</w:t>
      </w:r>
      <w:r w:rsidR="008156C6">
        <w:rPr>
          <w:rFonts w:eastAsiaTheme="minorEastAsia"/>
          <w:color w:val="000000"/>
          <w:lang w:eastAsia="en-GB"/>
        </w:rPr>
        <w:t>,</w:t>
      </w:r>
      <w:r>
        <w:rPr>
          <w:rFonts w:eastAsiaTheme="minorEastAsia"/>
          <w:color w:val="000000"/>
          <w:lang w:eastAsia="en-GB"/>
        </w:rPr>
        <w:t xml:space="preserve"> the initial calculation (equation 2.5) is deemed more appropriate</w:t>
      </w:r>
      <w:r w:rsidR="008156C6">
        <w:rPr>
          <w:rFonts w:eastAsiaTheme="minorEastAsia"/>
          <w:color w:val="000000"/>
          <w:lang w:eastAsia="en-GB"/>
        </w:rPr>
        <w:t xml:space="preserve"> to our case study of northern England</w:t>
      </w:r>
      <w:r>
        <w:rPr>
          <w:rFonts w:eastAsiaTheme="minorEastAsia"/>
          <w:color w:val="000000"/>
          <w:lang w:eastAsia="en-GB"/>
        </w:rPr>
        <w:t xml:space="preserve">. Highly acidic, S-type granites such as the </w:t>
      </w:r>
      <w:r w:rsidR="00B24D91">
        <w:rPr>
          <w:rFonts w:eastAsiaTheme="minorEastAsia"/>
          <w:color w:val="000000"/>
          <w:lang w:eastAsia="en-GB"/>
        </w:rPr>
        <w:t xml:space="preserve">North Pennine </w:t>
      </w:r>
      <w:r w:rsidR="00F670E4">
        <w:rPr>
          <w:rFonts w:eastAsiaTheme="minorEastAsia"/>
          <w:color w:val="000000"/>
          <w:lang w:eastAsia="en-GB"/>
        </w:rPr>
        <w:t xml:space="preserve">Batholith </w:t>
      </w:r>
      <w:r>
        <w:rPr>
          <w:rFonts w:eastAsiaTheme="minorEastAsia"/>
          <w:color w:val="000000"/>
          <w:lang w:eastAsia="en-GB"/>
        </w:rPr>
        <w:t xml:space="preserve">typically involve </w:t>
      </w:r>
      <w:r>
        <w:rPr>
          <w:rFonts w:eastAsiaTheme="minorEastAsia"/>
          <w:color w:val="000000"/>
          <w:lang w:eastAsia="en-GB"/>
        </w:rPr>
        <w:lastRenderedPageBreak/>
        <w:t xml:space="preserve">the assimilation of considerable </w:t>
      </w:r>
      <w:r w:rsidR="008156C6">
        <w:rPr>
          <w:rFonts w:eastAsiaTheme="minorEastAsia"/>
          <w:color w:val="000000"/>
          <w:lang w:eastAsia="en-GB"/>
        </w:rPr>
        <w:t xml:space="preserve">amounts of </w:t>
      </w:r>
      <w:r>
        <w:rPr>
          <w:rFonts w:eastAsiaTheme="minorEastAsia"/>
          <w:color w:val="000000"/>
          <w:lang w:eastAsia="en-GB"/>
        </w:rPr>
        <w:t>crustal material</w:t>
      </w:r>
      <w:r w:rsidR="00977372">
        <w:rPr>
          <w:rFonts w:eastAsiaTheme="minorEastAsia"/>
          <w:color w:val="000000"/>
          <w:lang w:eastAsia="en-GB"/>
        </w:rPr>
        <w:t xml:space="preserve"> (</w:t>
      </w:r>
      <w:proofErr w:type="spellStart"/>
      <w:r w:rsidR="00977372" w:rsidRPr="00F65F9B">
        <w:rPr>
          <w:rFonts w:eastAsiaTheme="minorEastAsia"/>
          <w:color w:val="000000"/>
          <w:lang w:eastAsia="en-GB"/>
        </w:rPr>
        <w:t>Allsop</w:t>
      </w:r>
      <w:proofErr w:type="spellEnd"/>
      <w:r w:rsidR="00977372" w:rsidRPr="00F65F9B">
        <w:rPr>
          <w:rFonts w:eastAsiaTheme="minorEastAsia"/>
          <w:color w:val="000000"/>
          <w:lang w:eastAsia="en-GB"/>
        </w:rPr>
        <w:t>, 1987</w:t>
      </w:r>
      <w:r w:rsidR="00977372">
        <w:rPr>
          <w:rFonts w:eastAsiaTheme="minorEastAsia"/>
          <w:color w:val="000000"/>
          <w:lang w:eastAsia="en-GB"/>
        </w:rPr>
        <w:t>)</w:t>
      </w:r>
      <w:r>
        <w:rPr>
          <w:rFonts w:eastAsiaTheme="minorEastAsia"/>
          <w:color w:val="000000"/>
          <w:lang w:eastAsia="en-GB"/>
        </w:rPr>
        <w:t xml:space="preserve">. Although </w:t>
      </w:r>
      <w:r w:rsidR="008156C6">
        <w:rPr>
          <w:rFonts w:eastAsiaTheme="minorEastAsia"/>
          <w:color w:val="000000"/>
          <w:lang w:eastAsia="en-GB"/>
        </w:rPr>
        <w:t xml:space="preserve">the </w:t>
      </w:r>
      <w:r>
        <w:rPr>
          <w:rFonts w:eastAsiaTheme="minorEastAsia"/>
          <w:color w:val="000000"/>
          <w:lang w:eastAsia="en-GB"/>
        </w:rPr>
        <w:t>melting of crustal material</w:t>
      </w:r>
      <w:r w:rsidR="008156C6">
        <w:rPr>
          <w:rFonts w:eastAsiaTheme="minorEastAsia"/>
          <w:color w:val="000000"/>
          <w:lang w:eastAsia="en-GB"/>
        </w:rPr>
        <w:t xml:space="preserve"> along with the assumptions of</w:t>
      </w:r>
      <w:r>
        <w:rPr>
          <w:rFonts w:eastAsiaTheme="minorEastAsia"/>
          <w:color w:val="000000"/>
          <w:lang w:eastAsia="en-GB"/>
        </w:rPr>
        <w:t xml:space="preserve"> retention </w:t>
      </w:r>
      <w:r w:rsidR="008156C6">
        <w:rPr>
          <w:rFonts w:eastAsiaTheme="minorEastAsia"/>
          <w:color w:val="000000"/>
          <w:lang w:eastAsia="en-GB"/>
        </w:rPr>
        <w:t xml:space="preserve">of </w:t>
      </w:r>
      <w:r>
        <w:rPr>
          <w:rFonts w:eastAsiaTheme="minorEastAsia"/>
          <w:color w:val="000000"/>
          <w:lang w:eastAsia="en-GB"/>
        </w:rPr>
        <w:t xml:space="preserve">volume </w:t>
      </w:r>
      <w:r w:rsidR="008156C6">
        <w:rPr>
          <w:rFonts w:eastAsiaTheme="minorEastAsia"/>
          <w:color w:val="000000"/>
          <w:lang w:eastAsia="en-GB"/>
        </w:rPr>
        <w:t xml:space="preserve">combined with </w:t>
      </w:r>
      <w:r>
        <w:rPr>
          <w:rFonts w:eastAsiaTheme="minorEastAsia"/>
          <w:color w:val="000000"/>
          <w:lang w:eastAsia="en-GB"/>
        </w:rPr>
        <w:t xml:space="preserve">an alteration in density is unfeasible, it offers a </w:t>
      </w:r>
      <w:r w:rsidR="00F670E4">
        <w:rPr>
          <w:rFonts w:eastAsiaTheme="minorEastAsia"/>
          <w:color w:val="000000"/>
          <w:lang w:eastAsia="en-GB"/>
        </w:rPr>
        <w:t xml:space="preserve">justifiable </w:t>
      </w:r>
      <w:r>
        <w:rPr>
          <w:rFonts w:eastAsiaTheme="minorEastAsia"/>
          <w:color w:val="000000"/>
          <w:lang w:eastAsia="en-GB"/>
        </w:rPr>
        <w:t>simplification of a f</w:t>
      </w:r>
      <w:r w:rsidR="003E2FC1">
        <w:rPr>
          <w:rFonts w:eastAsiaTheme="minorEastAsia"/>
          <w:color w:val="000000"/>
          <w:lang w:eastAsia="en-GB"/>
        </w:rPr>
        <w:t>ar more complex process</w:t>
      </w:r>
      <w:r>
        <w:rPr>
          <w:rFonts w:eastAsiaTheme="minorEastAsia"/>
          <w:color w:val="000000"/>
          <w:lang w:eastAsia="en-GB"/>
        </w:rPr>
        <w:t xml:space="preserve">. In addition, </w:t>
      </w:r>
      <w:r w:rsidR="008156C6">
        <w:rPr>
          <w:rFonts w:eastAsiaTheme="minorEastAsia"/>
          <w:color w:val="000000"/>
          <w:lang w:eastAsia="en-GB"/>
        </w:rPr>
        <w:t xml:space="preserve">a model based on the </w:t>
      </w:r>
      <w:proofErr w:type="spellStart"/>
      <w:r w:rsidR="008156C6">
        <w:rPr>
          <w:rFonts w:eastAsiaTheme="minorEastAsia"/>
          <w:color w:val="000000"/>
          <w:lang w:eastAsia="en-GB"/>
        </w:rPr>
        <w:t>granitization</w:t>
      </w:r>
      <w:proofErr w:type="spellEnd"/>
      <w:r w:rsidR="008156C6">
        <w:rPr>
          <w:rFonts w:eastAsiaTheme="minorEastAsia"/>
          <w:color w:val="000000"/>
          <w:lang w:eastAsia="en-GB"/>
        </w:rPr>
        <w:t xml:space="preserve"> of the crust is more compatible with </w:t>
      </w:r>
      <w:r>
        <w:rPr>
          <w:rFonts w:eastAsiaTheme="minorEastAsia"/>
          <w:color w:val="000000"/>
          <w:lang w:eastAsia="en-GB"/>
        </w:rPr>
        <w:t>the interp</w:t>
      </w:r>
      <w:r w:rsidR="002D63EE">
        <w:rPr>
          <w:rFonts w:eastAsiaTheme="minorEastAsia"/>
          <w:color w:val="000000"/>
          <w:lang w:eastAsia="en-GB"/>
        </w:rPr>
        <w:t>retations of the North Pennine B</w:t>
      </w:r>
      <w:r>
        <w:rPr>
          <w:rFonts w:eastAsiaTheme="minorEastAsia"/>
          <w:color w:val="000000"/>
          <w:lang w:eastAsia="en-GB"/>
        </w:rPr>
        <w:t xml:space="preserve">atholith </w:t>
      </w:r>
      <w:r w:rsidR="00F670E4">
        <w:rPr>
          <w:rFonts w:eastAsiaTheme="minorEastAsia"/>
          <w:color w:val="000000"/>
          <w:lang w:eastAsia="en-GB"/>
        </w:rPr>
        <w:t xml:space="preserve">from </w:t>
      </w:r>
      <w:r w:rsidRPr="00465026">
        <w:rPr>
          <w:rFonts w:eastAsiaTheme="minorEastAsia"/>
          <w:color w:val="000000"/>
          <w:lang w:eastAsia="en-GB"/>
        </w:rPr>
        <w:t>gravity data</w:t>
      </w:r>
      <w:r w:rsidR="008156C6">
        <w:rPr>
          <w:rFonts w:eastAsiaTheme="minorEastAsia"/>
          <w:color w:val="000000"/>
          <w:lang w:eastAsia="en-GB"/>
        </w:rPr>
        <w:t xml:space="preserve"> and deep seismic imaging,</w:t>
      </w:r>
      <w:r>
        <w:rPr>
          <w:rFonts w:eastAsiaTheme="minorEastAsia"/>
          <w:color w:val="000000"/>
          <w:lang w:eastAsia="en-GB"/>
        </w:rPr>
        <w:t xml:space="preserve"> whereby a roughly uniform crustal thickness is observed</w:t>
      </w:r>
      <w:r w:rsidRPr="00465026">
        <w:rPr>
          <w:rFonts w:eastAsiaTheme="minorEastAsia"/>
          <w:color w:val="000000"/>
          <w:lang w:eastAsia="en-GB"/>
        </w:rPr>
        <w:t xml:space="preserve"> (</w:t>
      </w:r>
      <w:proofErr w:type="spellStart"/>
      <w:r w:rsidRPr="00A3529C">
        <w:rPr>
          <w:rFonts w:eastAsiaTheme="minorEastAsia"/>
          <w:color w:val="000000"/>
          <w:lang w:eastAsia="en-GB"/>
        </w:rPr>
        <w:t>Kimbell</w:t>
      </w:r>
      <w:proofErr w:type="spellEnd"/>
      <w:r w:rsidRPr="00A3529C">
        <w:rPr>
          <w:rFonts w:eastAsiaTheme="minorEastAsia"/>
          <w:color w:val="000000"/>
          <w:lang w:eastAsia="en-GB"/>
        </w:rPr>
        <w:t xml:space="preserve"> et al., 2010</w:t>
      </w:r>
      <w:r w:rsidRPr="00465026">
        <w:rPr>
          <w:rFonts w:eastAsiaTheme="minorEastAsia"/>
          <w:color w:val="000000"/>
          <w:lang w:eastAsia="en-GB"/>
        </w:rPr>
        <w:t>).</w:t>
      </w:r>
    </w:p>
    <w:p w14:paraId="5E26CB05" w14:textId="44D635CA" w:rsidR="00480C32" w:rsidRPr="00480C32" w:rsidRDefault="00480C32" w:rsidP="009E071D">
      <w:pPr>
        <w:spacing w:line="360" w:lineRule="auto"/>
      </w:pPr>
      <w:r>
        <w:tab/>
        <w:t xml:space="preserve">The emplacement of large granite bodies is associated with significant thermal perturbations. These may be in response </w:t>
      </w:r>
      <w:r w:rsidR="00F670E4">
        <w:t xml:space="preserve">to </w:t>
      </w:r>
      <w:r>
        <w:t xml:space="preserve">the initial upwelling of hot magma, </w:t>
      </w:r>
      <w:r w:rsidR="00F670E4">
        <w:t xml:space="preserve">to </w:t>
      </w:r>
      <w:r>
        <w:t>the isostatic compensation of the hotter asthenosphere</w:t>
      </w:r>
      <w:r w:rsidR="00F670E4">
        <w:t>,</w:t>
      </w:r>
      <w:r>
        <w:t xml:space="preserve"> or </w:t>
      </w:r>
      <w:r w:rsidR="00977372">
        <w:t xml:space="preserve">to </w:t>
      </w:r>
      <w:r>
        <w:t xml:space="preserve">the elevated radiogenic heat production associated with </w:t>
      </w:r>
      <w:r w:rsidR="00977372">
        <w:t xml:space="preserve">the resulting </w:t>
      </w:r>
      <w:r>
        <w:t xml:space="preserve">granite. However, </w:t>
      </w:r>
      <w:r w:rsidR="004F7F45">
        <w:t>our</w:t>
      </w:r>
      <w:r>
        <w:t xml:space="preserve"> </w:t>
      </w:r>
      <w:r w:rsidR="004F7F45">
        <w:t xml:space="preserve">one-dimensional </w:t>
      </w:r>
      <w:r>
        <w:t xml:space="preserve">model </w:t>
      </w:r>
      <w:r w:rsidR="00977372">
        <w:t>assumes</w:t>
      </w:r>
      <w:r w:rsidR="00EC5F46">
        <w:t xml:space="preserve"> </w:t>
      </w:r>
      <w:r>
        <w:t xml:space="preserve">no thermal fluctuations </w:t>
      </w:r>
      <w:r w:rsidR="00977372">
        <w:t xml:space="preserve">are </w:t>
      </w:r>
      <w:r>
        <w:t>associated with the granite</w:t>
      </w:r>
      <w:r w:rsidR="00977372">
        <w:t xml:space="preserve"> pluton(s)</w:t>
      </w:r>
      <w:r>
        <w:t>. Essentially, the effects of a thermally re-equilibrated</w:t>
      </w:r>
      <w:r w:rsidR="00C148D3">
        <w:t xml:space="preserve"> </w:t>
      </w:r>
      <w:r>
        <w:t>granite</w:t>
      </w:r>
      <w:r w:rsidR="00C148D3">
        <w:t xml:space="preserve"> body</w:t>
      </w:r>
      <w:r>
        <w:t xml:space="preserve"> are modelled. Changes in the elevation of the lithosphere-asthenosphere boundary, due to isostatic adjustment, are transient and not permanent (McKenzie, 1978), so to replicate a thermally re-equilibrated lithosphere profile, the thickness of the entire lithosphere (i</w:t>
      </w:r>
      <w:r w:rsidR="00977372">
        <w:t>.</w:t>
      </w:r>
      <w:r>
        <w:t>e. the sum of crustal and mantle lithosphere) is adjusted. This can be accounted for by adding the calculated isostatic rebound (</w:t>
      </w:r>
      <w:r w:rsidR="000A1EC6">
        <w:t>equation 2.5) to the lithospheric</w:t>
      </w:r>
      <w:r>
        <w:t xml:space="preserve"> thickness value:</w:t>
      </w:r>
    </w:p>
    <w:p w14:paraId="20ED0ECD" w14:textId="77777777" w:rsidR="00B13E0E" w:rsidRDefault="002B6EBB" w:rsidP="009E071D">
      <w:pPr>
        <w:spacing w:line="36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og</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GR</m:t>
              </m:r>
            </m:e>
            <m:sub>
              <m:r>
                <w:rPr>
                  <w:rFonts w:ascii="Cambria Math" w:hAnsi="Cambria Math"/>
                </w:rPr>
                <m:t>o</m:t>
              </m:r>
            </m:sub>
          </m:sSub>
          <m:r>
            <w:rPr>
              <w:rFonts w:ascii="Cambria Math" w:hAnsi="Cambria Math"/>
            </w:rPr>
            <m:t>×</m:t>
          </m:r>
          <m:f>
            <m:fPr>
              <m:ctrlPr>
                <w:rPr>
                  <w:rFonts w:ascii="Cambria Math" w:hAnsi="Cambria Math"/>
                  <w:i/>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r>
                <w:rPr>
                  <w:rFonts w:ascii="Cambria Math" w:eastAsia="Times New Roman" w:hAnsi="Cambria Math" w:cstheme="minorHAnsi"/>
                  <w:color w:val="000000"/>
                  <w:lang w:eastAsia="en-GB"/>
                </w:rPr>
                <m:t>-</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oMath>
      </m:oMathPara>
    </w:p>
    <w:p w14:paraId="415D96A1" w14:textId="77777777" w:rsidR="00B13E0E" w:rsidRDefault="00B13E0E" w:rsidP="009E071D">
      <w:pPr>
        <w:spacing w:line="360" w:lineRule="auto"/>
        <w:jc w:val="center"/>
      </w:pPr>
      <w:r>
        <w:t>3.2</w:t>
      </w:r>
    </w:p>
    <w:p w14:paraId="3E687541" w14:textId="480642DD" w:rsidR="00B13E0E" w:rsidRDefault="00B13E0E" w:rsidP="009E071D">
      <w:pPr>
        <w:pStyle w:val="Heading3"/>
        <w:spacing w:line="360" w:lineRule="auto"/>
      </w:pPr>
      <w:r>
        <w:t xml:space="preserve">3.2 </w:t>
      </w:r>
      <w:r w:rsidR="00EC6A96">
        <w:t>Numerical replication of l</w:t>
      </w:r>
      <w:r>
        <w:t>ithospher</w:t>
      </w:r>
      <w:r w:rsidR="000A1EC6">
        <w:t>ic</w:t>
      </w:r>
      <w:r>
        <w:t xml:space="preserve"> extension</w:t>
      </w:r>
      <w:r w:rsidR="0004327A">
        <w:t xml:space="preserve"> </w:t>
      </w:r>
    </w:p>
    <w:p w14:paraId="4867257D" w14:textId="2653A2F0" w:rsidR="00B13E0E" w:rsidRDefault="00B13E0E" w:rsidP="009E071D">
      <w:pPr>
        <w:spacing w:line="360" w:lineRule="auto"/>
        <w:ind w:firstLine="720"/>
        <w:rPr>
          <w:rFonts w:eastAsiaTheme="minorEastAsia"/>
          <w:color w:val="000000"/>
          <w:lang w:eastAsia="en-GB"/>
        </w:rPr>
      </w:pPr>
      <w:r w:rsidRPr="00DC5CCA">
        <w:t xml:space="preserve">If </w:t>
      </w:r>
      <w:r w:rsidR="00B24D91">
        <w:t>uniform</w:t>
      </w:r>
      <w:r w:rsidR="000A1EC6">
        <w:t xml:space="preserve"> lithospheric</w:t>
      </w:r>
      <w:r w:rsidR="002D63EE">
        <w:t xml:space="preserve"> extension solely via</w:t>
      </w:r>
      <w:r w:rsidR="002E4E73">
        <w:t xml:space="preserve"> </w:t>
      </w:r>
      <w:r w:rsidRPr="00DC5CCA">
        <w:t>pure shear</w:t>
      </w:r>
      <w:r w:rsidR="002D63EE">
        <w:t xml:space="preserve"> </w:t>
      </w:r>
      <w:r>
        <w:t>is assumed, the original height</w:t>
      </w:r>
      <w:r w:rsidRPr="00DC5CCA">
        <w:t xml:space="preserve"> </w:t>
      </w:r>
      <w:r w:rsidRPr="00DC5CCA">
        <w:rPr>
          <w:rFonts w:eastAsiaTheme="minorEastAsia"/>
          <w:color w:val="000000"/>
          <w:lang w:eastAsia="en-GB"/>
        </w:rPr>
        <w:t xml:space="preserve">and width of the granite body </w:t>
      </w:r>
      <w:r w:rsidR="00977372">
        <w:rPr>
          <w:rFonts w:eastAsiaTheme="minorEastAsia"/>
        </w:rPr>
        <w:t>(</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GR</m:t>
            </m:r>
          </m:e>
          <m:sub>
            <m:r>
              <w:rPr>
                <w:rFonts w:ascii="Cambria Math" w:eastAsia="Times New Roman" w:hAnsi="Cambria Math" w:cstheme="minorHAnsi"/>
                <w:color w:val="000000"/>
                <w:lang w:eastAsia="en-GB"/>
              </w:rPr>
              <m:t>o</m:t>
            </m:r>
          </m:sub>
        </m:sSub>
      </m:oMath>
      <w:r w:rsidR="00977372">
        <w:rPr>
          <w:rFonts w:eastAsiaTheme="minorEastAsia"/>
          <w:color w:val="000000"/>
          <w:lang w:eastAsia="en-GB"/>
        </w:rPr>
        <w:t>)</w:t>
      </w:r>
      <w:r w:rsidR="00977372" w:rsidRPr="00DC5CCA">
        <w:rPr>
          <w:rFonts w:eastAsiaTheme="minorEastAsia"/>
          <w:color w:val="000000"/>
          <w:lang w:eastAsia="en-GB"/>
        </w:rPr>
        <w:t xml:space="preserve"> </w:t>
      </w:r>
      <w:r w:rsidRPr="00DC5CCA">
        <w:rPr>
          <w:rFonts w:eastAsiaTheme="minorEastAsia"/>
          <w:color w:val="000000"/>
          <w:lang w:eastAsia="en-GB"/>
        </w:rPr>
        <w:t xml:space="preserve">are altered according to the </w:t>
      </w:r>
      <w:r w:rsidR="002E4E73">
        <w:rPr>
          <w:rFonts w:eastAsiaTheme="minorEastAsia"/>
          <w:color w:val="000000"/>
          <w:lang w:eastAsia="en-GB"/>
        </w:rPr>
        <w:t xml:space="preserve">magnitude </w:t>
      </w:r>
      <w:r>
        <w:rPr>
          <w:rFonts w:eastAsiaTheme="minorEastAsia"/>
          <w:color w:val="000000"/>
          <w:lang w:eastAsia="en-GB"/>
        </w:rPr>
        <w:t>of extension</w:t>
      </w:r>
      <w:r w:rsidR="00813084">
        <w:rPr>
          <w:rFonts w:eastAsiaTheme="minorEastAsia"/>
          <w:color w:val="000000"/>
          <w:lang w:eastAsia="en-GB"/>
        </w:rPr>
        <w:t xml:space="preserve"> (</w:t>
      </w:r>
      <m:oMath>
        <m:r>
          <w:rPr>
            <w:rFonts w:ascii="Cambria Math" w:eastAsia="Times New Roman" w:hAnsi="Cambria Math" w:cs="Times New Roman"/>
            <w:color w:val="000000"/>
            <w:lang w:eastAsia="en-GB"/>
          </w:rPr>
          <m:t>β</m:t>
        </m:r>
      </m:oMath>
      <w:r w:rsidR="00813084">
        <w:rPr>
          <w:rFonts w:eastAsiaTheme="minorEastAsia"/>
          <w:color w:val="000000"/>
          <w:lang w:eastAsia="en-GB"/>
        </w:rPr>
        <w:t>)</w:t>
      </w:r>
      <w:r w:rsidRPr="00DC5CCA">
        <w:rPr>
          <w:rFonts w:eastAsiaTheme="minorEastAsia"/>
          <w:color w:val="000000"/>
          <w:lang w:eastAsia="en-GB"/>
        </w:rPr>
        <w:t>. Taking this into account, the method for solving the subsidence of granite-cored basement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S</m:t>
            </m:r>
          </m:e>
          <m:sub>
            <m:r>
              <w:rPr>
                <w:rFonts w:ascii="Cambria Math" w:eastAsia="Times New Roman" w:hAnsi="Cambria Math" w:cstheme="minorHAnsi"/>
                <w:color w:val="000000"/>
                <w:lang w:eastAsia="en-GB"/>
              </w:rPr>
              <m:t>g</m:t>
            </m:r>
          </m:sub>
        </m:sSub>
      </m:oMath>
      <w:r w:rsidRPr="00DC5CCA">
        <w:rPr>
          <w:rFonts w:eastAsiaTheme="minorEastAsia"/>
          <w:color w:val="000000"/>
          <w:lang w:eastAsia="en-GB"/>
        </w:rPr>
        <w:t>) can be given one of two ways</w:t>
      </w:r>
      <w:r w:rsidR="002E4E73">
        <w:rPr>
          <w:rFonts w:eastAsiaTheme="minorEastAsia"/>
          <w:color w:val="000000"/>
          <w:lang w:eastAsia="en-GB"/>
        </w:rPr>
        <w:t xml:space="preserve"> (equations 3.3 and 3.4)</w:t>
      </w:r>
      <w:r>
        <w:rPr>
          <w:rFonts w:eastAsiaTheme="minorEastAsia"/>
          <w:color w:val="000000"/>
          <w:lang w:eastAsia="en-GB"/>
        </w:rPr>
        <w:t xml:space="preserve">. Again, the </w:t>
      </w:r>
      <w:r w:rsidR="0043363C">
        <w:rPr>
          <w:rFonts w:eastAsiaTheme="minorEastAsia"/>
          <w:color w:val="000000"/>
          <w:lang w:eastAsia="en-GB"/>
        </w:rPr>
        <w:t>potential implications</w:t>
      </w:r>
      <w:r>
        <w:rPr>
          <w:rFonts w:eastAsiaTheme="minorEastAsia"/>
          <w:color w:val="000000"/>
          <w:lang w:eastAsia="en-GB"/>
        </w:rPr>
        <w:t xml:space="preserve"> of heat flow </w:t>
      </w:r>
      <w:r w:rsidR="00E50C38">
        <w:rPr>
          <w:rFonts w:eastAsiaTheme="minorEastAsia"/>
          <w:color w:val="000000"/>
          <w:lang w:eastAsia="en-GB"/>
        </w:rPr>
        <w:t xml:space="preserve">fluctuations </w:t>
      </w:r>
      <w:r>
        <w:rPr>
          <w:rFonts w:eastAsiaTheme="minorEastAsia"/>
          <w:color w:val="000000"/>
          <w:lang w:eastAsia="en-GB"/>
        </w:rPr>
        <w:t>are ignored</w:t>
      </w:r>
      <w:r w:rsidR="00691752">
        <w:rPr>
          <w:rFonts w:eastAsiaTheme="minorEastAsia"/>
          <w:color w:val="000000"/>
          <w:lang w:eastAsia="en-GB"/>
        </w:rPr>
        <w:t xml:space="preserve"> at this stage</w:t>
      </w:r>
      <w:r>
        <w:rPr>
          <w:rFonts w:eastAsiaTheme="minorEastAsia"/>
          <w:color w:val="000000"/>
          <w:lang w:eastAsia="en-GB"/>
        </w:rPr>
        <w:t>.</w:t>
      </w:r>
    </w:p>
    <w:p w14:paraId="38161550" w14:textId="7937F9DC" w:rsidR="00B13E0E" w:rsidRPr="006B3163" w:rsidRDefault="002B6EBB" w:rsidP="009E071D">
      <w:pPr>
        <w:spacing w:line="360" w:lineRule="auto"/>
        <w:jc w:val="center"/>
        <w:rPr>
          <w:sz w:val="20"/>
          <w:szCs w:val="20"/>
        </w:rPr>
      </w:pPr>
      <m:oMathPara>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S</m:t>
              </m:r>
            </m:e>
            <m:sub>
              <m:r>
                <w:rPr>
                  <w:rFonts w:ascii="Cambria Math" w:eastAsia="Times New Roman" w:hAnsi="Cambria Math" w:cstheme="minorHAnsi"/>
                  <w:color w:val="000000"/>
                  <w:lang w:eastAsia="en-GB"/>
                </w:rPr>
                <m:t>g</m:t>
              </m:r>
            </m:sub>
          </m:sSub>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e>
          </m:d>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r>
                <w:rPr>
                  <w:rFonts w:ascii="Cambria Math" w:eastAsia="Times New Roman" w:hAnsi="Cambria Math" w:cstheme="minorHAnsi"/>
                  <w:color w:val="000000"/>
                  <w:lang w:eastAsia="en-GB"/>
                </w:rPr>
                <m:t>1-</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e>
          </m:d>
          <m:r>
            <w:rPr>
              <w:rFonts w:ascii="Cambria Math" w:eastAsiaTheme="minorEastAsia" w:hAnsi="Cambria Math"/>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GR</m:t>
                  </m:r>
                </m:e>
                <m:sub>
                  <m:r>
                    <w:rPr>
                      <w:rFonts w:ascii="Cambria Math" w:eastAsia="Times New Roman" w:hAnsi="Cambria Math" w:cstheme="minorHAnsi"/>
                      <w:color w:val="000000"/>
                      <w:lang w:eastAsia="en-GB"/>
                    </w:rPr>
                    <m:t>o</m:t>
                  </m:r>
                </m:sub>
              </m:sSub>
            </m:num>
            <m:den>
              <m:r>
                <w:rPr>
                  <w:rFonts w:ascii="Cambria Math" w:eastAsia="Times New Roman" w:hAnsi="Cambria Math" w:cs="Times New Roman"/>
                  <w:color w:val="000000"/>
                  <w:lang w:eastAsia="en-GB"/>
                </w:rPr>
                <m:t>β</m:t>
              </m:r>
            </m:den>
          </m:f>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r>
                <w:rPr>
                  <w:rFonts w:ascii="Cambria Math" w:eastAsia="Times New Roman" w:hAnsi="Cambria Math" w:cstheme="minorHAnsi"/>
                  <w:color w:val="000000"/>
                  <w:lang w:eastAsia="en-GB"/>
                </w:rPr>
                <m:t>-</m:t>
              </m:r>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r>
            <m:rPr>
              <m:sty m:val="p"/>
            </m:rPr>
            <w:rPr>
              <w:rFonts w:ascii="Cambria Math" w:eastAsiaTheme="minorEastAsia" w:hAnsi="Cambria Math"/>
              <w:color w:val="000000"/>
              <w:lang w:eastAsia="en-GB"/>
            </w:rPr>
            <m:t xml:space="preserve"> </m:t>
          </m:r>
        </m:oMath>
      </m:oMathPara>
    </w:p>
    <w:p w14:paraId="423C5CED" w14:textId="7379719E" w:rsidR="00B13E0E" w:rsidRDefault="00B13E0E" w:rsidP="009E071D">
      <w:pPr>
        <w:spacing w:line="360" w:lineRule="auto"/>
        <w:jc w:val="center"/>
        <w:rPr>
          <w:rFonts w:eastAsiaTheme="minorEastAsia"/>
          <w:color w:val="000000"/>
          <w:lang w:eastAsia="en-GB"/>
        </w:rPr>
      </w:pPr>
      <w:r>
        <w:rPr>
          <w:rFonts w:eastAsiaTheme="minorEastAsia"/>
          <w:color w:val="000000"/>
          <w:lang w:eastAsia="en-GB"/>
        </w:rPr>
        <w:t xml:space="preserve">Or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S</m:t>
            </m:r>
          </m:e>
          <m:sub>
            <m:r>
              <w:rPr>
                <w:rFonts w:ascii="Cambria Math" w:eastAsia="Times New Roman" w:hAnsi="Cambria Math" w:cstheme="minorHAnsi"/>
                <w:color w:val="000000"/>
                <w:lang w:eastAsia="en-GB"/>
              </w:rPr>
              <m:t>g</m:t>
            </m:r>
          </m:sub>
        </m:sSub>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heme="minorHAnsi"/>
                    <w:color w:val="000000"/>
                    <w:lang w:eastAsia="en-GB"/>
                  </w:rPr>
                  <m:t>β</m:t>
                </m:r>
              </m:den>
            </m:f>
          </m:e>
        </m:d>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r>
              <w:rPr>
                <w:rFonts w:ascii="Cambria Math" w:eastAsia="Times New Roman" w:hAnsi="Cambria Math" w:cstheme="minorHAnsi"/>
                <w:color w:val="000000"/>
                <w:lang w:eastAsia="en-GB"/>
              </w:rPr>
              <m:t>1-</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e>
        </m:d>
        <m:r>
          <w:rPr>
            <w:rFonts w:ascii="Cambria Math" w:eastAsiaTheme="minorEastAsia" w:hAnsi="Cambria Math"/>
            <w:color w:val="000000"/>
            <w:lang w:eastAsia="en-GB"/>
          </w:rPr>
          <m:t>-</m:t>
        </m:r>
        <m:r>
          <w:rPr>
            <w:rFonts w:ascii="Cambria Math" w:eastAsia="Times New Roman" w:hAnsi="Cambria Math" w:cstheme="minorHAnsi"/>
            <w:color w:val="000000"/>
            <w:lang w:eastAsia="en-GB"/>
          </w:rPr>
          <m:t>IR</m:t>
        </m:r>
      </m:oMath>
    </w:p>
    <w:p w14:paraId="20C5D926" w14:textId="7D74305C" w:rsidR="00B13E0E" w:rsidRPr="00E971C6" w:rsidRDefault="00E971C6" w:rsidP="009E071D">
      <w:pPr>
        <w:spacing w:line="360" w:lineRule="auto"/>
        <w:jc w:val="center"/>
        <w:rPr>
          <w:rFonts w:eastAsiaTheme="minorEastAsia"/>
          <w:color w:val="000000"/>
          <w:lang w:eastAsia="en-GB"/>
        </w:rPr>
      </w:pPr>
      <w:r w:rsidRPr="00E971C6">
        <w:t>3.3</w:t>
      </w:r>
    </w:p>
    <w:p w14:paraId="6128539B" w14:textId="77777777" w:rsidR="00B13E0E" w:rsidRDefault="00B13E0E" w:rsidP="009E071D">
      <w:pPr>
        <w:spacing w:line="360" w:lineRule="auto"/>
        <w:jc w:val="center"/>
        <w:rPr>
          <w:rFonts w:eastAsiaTheme="minorEastAsia"/>
        </w:rPr>
      </w:pPr>
      <w:r>
        <w:rPr>
          <w:rFonts w:eastAsiaTheme="minorEastAsia"/>
          <w:color w:val="000000"/>
          <w:lang w:eastAsia="en-GB"/>
        </w:rPr>
        <w:t xml:space="preserve">Where </w:t>
      </w:r>
      <m:oMath>
        <m:sSub>
          <m:sSubPr>
            <m:ctrlPr>
              <w:rPr>
                <w:rFonts w:ascii="Cambria Math" w:hAnsi="Cambria Math"/>
                <w:i/>
              </w:rPr>
            </m:ctrlPr>
          </m:sSubPr>
          <m:e>
            <m:r>
              <w:rPr>
                <w:rFonts w:ascii="Cambria Math" w:hAnsi="Cambria Math"/>
              </w:rPr>
              <m:t>ρ</m:t>
            </m:r>
          </m:e>
          <m:sub>
            <m:r>
              <w:rPr>
                <w:rFonts w:ascii="Cambria Math" w:hAnsi="Cambria Math"/>
              </w:rPr>
              <m:t>gc</m:t>
            </m:r>
          </m:sub>
        </m:sSub>
        <m:r>
          <w:rPr>
            <w:rFonts w:ascii="Cambria Math" w:hAnsi="Cambria Math"/>
          </w:rPr>
          <m:t xml:space="preserve">= </m:t>
        </m:r>
        <m:sSub>
          <m:sSubPr>
            <m:ctrlPr>
              <w:rPr>
                <w:rFonts w:ascii="Cambria Math" w:hAnsi="Cambria Math"/>
                <w:i/>
              </w:rPr>
            </m:ctrlPr>
          </m:sSubPr>
          <m:e>
            <m:r>
              <w:rPr>
                <w:rFonts w:ascii="Cambria Math" w:hAnsi="Cambria Math"/>
              </w:rPr>
              <m:t>ρ</m:t>
            </m:r>
          </m:e>
          <m:sub>
            <m:r>
              <w:rPr>
                <w:rFonts w:ascii="Cambria Math" w:hAnsi="Cambria Math"/>
              </w:rPr>
              <m:t>c</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GR</m:t>
                </m:r>
              </m:e>
              <m:sub>
                <m:r>
                  <w:rPr>
                    <w:rFonts w:ascii="Cambria Math" w:hAnsi="Cambria Math"/>
                  </w:rPr>
                  <m:t>o</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g</m:t>
                </m:r>
              </m:sub>
            </m:sSub>
          </m:e>
        </m:d>
      </m:oMath>
    </w:p>
    <w:p w14:paraId="631C421D" w14:textId="0E910D7F" w:rsidR="00B13E0E" w:rsidRPr="00E971C6" w:rsidRDefault="00B13E0E" w:rsidP="009E071D">
      <w:pPr>
        <w:spacing w:line="360" w:lineRule="auto"/>
        <w:jc w:val="center"/>
      </w:pPr>
      <w:r w:rsidRPr="00E971C6">
        <w:t>3.4</w:t>
      </w:r>
    </w:p>
    <w:p w14:paraId="4E214673" w14:textId="5BCD3405" w:rsidR="00B13E0E" w:rsidRDefault="00B13E0E" w:rsidP="009E071D">
      <w:pPr>
        <w:spacing w:line="360" w:lineRule="auto"/>
      </w:pPr>
      <w:r>
        <w:lastRenderedPageBreak/>
        <w:tab/>
      </w:r>
      <w:r w:rsidR="00F670E4">
        <w:t>C</w:t>
      </w:r>
      <w:r w:rsidRPr="00233EBF">
        <w:t xml:space="preserve">hanges in the vertical thicknesses of relatively less dense crust due to stretching or compression </w:t>
      </w:r>
      <w:r w:rsidR="00385557">
        <w:t>prompts</w:t>
      </w:r>
      <w:r w:rsidRPr="00233EBF">
        <w:t xml:space="preserve"> relatively less </w:t>
      </w:r>
      <w:r>
        <w:t>isostatic</w:t>
      </w:r>
      <w:r w:rsidRPr="00233EBF">
        <w:t xml:space="preserve"> compensation</w:t>
      </w:r>
      <w:r>
        <w:t xml:space="preserve"> (</w:t>
      </w:r>
      <w:r w:rsidRPr="006C6912">
        <w:t>e</w:t>
      </w:r>
      <w:r w:rsidR="005B5F04">
        <w:t>.</w:t>
      </w:r>
      <w:r w:rsidR="00E164AF">
        <w:t>g. Fig. 2</w:t>
      </w:r>
      <w:r>
        <w:t>)</w:t>
      </w:r>
      <w:r w:rsidRPr="00233EBF">
        <w:t xml:space="preserve">. </w:t>
      </w:r>
      <w:r w:rsidR="00977372">
        <w:t>Therefore,</w:t>
      </w:r>
      <w:r w:rsidR="00977372" w:rsidRPr="00233EBF">
        <w:t xml:space="preserve"> </w:t>
      </w:r>
      <w:r w:rsidRPr="00233EBF">
        <w:t xml:space="preserve">with </w:t>
      </w:r>
      <w:r>
        <w:t xml:space="preserve">increased extension, </w:t>
      </w:r>
      <w:r w:rsidRPr="00233EBF">
        <w:t>the initial uplift</w:t>
      </w:r>
      <w:r>
        <w:t xml:space="preserve"> of granite-cored crust</w:t>
      </w:r>
      <w:r w:rsidRPr="00233EBF">
        <w:t xml:space="preserve"> is cancelled out </w:t>
      </w:r>
      <w:r w:rsidR="005D318F" w:rsidRPr="00233EBF">
        <w:t xml:space="preserve">progressively </w:t>
      </w:r>
      <w:r w:rsidRPr="00233EBF">
        <w:t xml:space="preserve">by </w:t>
      </w:r>
      <w:r w:rsidR="00977372" w:rsidRPr="00233EBF">
        <w:t>extension</w:t>
      </w:r>
      <w:r w:rsidR="00977372">
        <w:t>-</w:t>
      </w:r>
      <w:r w:rsidRPr="00233EBF">
        <w:t>driven subsidence when compared with non-</w:t>
      </w:r>
      <w:r w:rsidR="00977372" w:rsidRPr="00233EBF">
        <w:t>granite</w:t>
      </w:r>
      <w:r w:rsidR="00977372">
        <w:t>-</w:t>
      </w:r>
      <w:r w:rsidRPr="00233EBF">
        <w:t>cored crust (</w:t>
      </w:r>
      <w:r w:rsidRPr="006C6912">
        <w:t>Fig</w:t>
      </w:r>
      <w:r w:rsidR="00A227A1">
        <w:t>s</w:t>
      </w:r>
      <w:r w:rsidR="00E164AF">
        <w:t>. 3 and 4</w:t>
      </w:r>
      <w:r w:rsidR="00ED1BF3">
        <w:t>).</w:t>
      </w:r>
    </w:p>
    <w:p w14:paraId="6D98838A" w14:textId="23FF5687" w:rsidR="00B13E0E" w:rsidRDefault="00B13E0E" w:rsidP="009E071D">
      <w:pPr>
        <w:pStyle w:val="Heading3"/>
        <w:spacing w:line="360" w:lineRule="auto"/>
      </w:pPr>
      <w:r>
        <w:t xml:space="preserve">3.3 </w:t>
      </w:r>
      <w:r w:rsidR="00922F13">
        <w:t>Isosta</w:t>
      </w:r>
      <w:r w:rsidR="0046525D">
        <w:t>tic loading due to basin infill</w:t>
      </w:r>
    </w:p>
    <w:p w14:paraId="0EFB3634" w14:textId="76CBF60E" w:rsidR="00B13E0E" w:rsidRPr="0087418E" w:rsidRDefault="00B13E0E" w:rsidP="009E071D">
      <w:pPr>
        <w:spacing w:line="360" w:lineRule="auto"/>
      </w:pPr>
      <w:r>
        <w:tab/>
        <w:t xml:space="preserve">If the starting elevation </w:t>
      </w:r>
      <w:r w:rsidR="00E50C38">
        <w:t>of</w:t>
      </w:r>
      <w:r w:rsidR="00922F13">
        <w:t xml:space="preserve"> </w:t>
      </w:r>
      <w:r>
        <w:t xml:space="preserve">non-granite-cored or granite-cored basement prior to emplacement is assumed to be at </w:t>
      </w:r>
      <w:r w:rsidR="00B470D7">
        <w:t xml:space="preserve">infill </w:t>
      </w:r>
      <w:r>
        <w:t>base level, then providing subsidence is greater than zero</w:t>
      </w:r>
      <w:r w:rsidR="00922F13">
        <w:t xml:space="preserve"> such that accommodation space is generated</w:t>
      </w:r>
      <w:r>
        <w:t xml:space="preserve">, </w:t>
      </w:r>
      <w:r>
        <w:rPr>
          <w:rFonts w:eastAsiaTheme="minorEastAsia"/>
          <w:color w:val="000000"/>
          <w:lang w:eastAsia="en-GB"/>
        </w:rPr>
        <w:t>the subsidence of an infilled basin can be given by the following:</w:t>
      </w:r>
    </w:p>
    <w:p w14:paraId="565B201D" w14:textId="77777777" w:rsidR="00B13E0E" w:rsidRPr="0087418E" w:rsidRDefault="00B13E0E" w:rsidP="009E071D">
      <w:pPr>
        <w:spacing w:line="360" w:lineRule="auto"/>
        <w:jc w:val="center"/>
        <w:rPr>
          <w:rFonts w:eastAsiaTheme="minorEastAsia"/>
        </w:rPr>
      </w:pPr>
      <m:oMathPara>
        <m:oMath>
          <m:r>
            <w:rPr>
              <w:rFonts w:ascii="Cambria Math" w:hAnsi="Cambria Math"/>
            </w:rPr>
            <m:t>S=</m:t>
          </m:r>
          <m:sSub>
            <m:sSubPr>
              <m:ctrlPr>
                <w:rPr>
                  <w:rFonts w:ascii="Cambria Math" w:hAnsi="Cambria Math"/>
                  <w:i/>
                </w:rPr>
              </m:ctrlPr>
            </m:sSubPr>
            <m:e>
              <m:r>
                <w:rPr>
                  <w:rFonts w:ascii="Cambria Math" w:hAnsi="Cambria Math"/>
                </w:rPr>
                <m:t>S</m:t>
              </m:r>
            </m:e>
            <m:sub>
              <m:r>
                <w:rPr>
                  <w:rFonts w:ascii="Cambria Math" w:hAnsi="Cambria Math"/>
                </w:rPr>
                <m:t>g</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g</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i</m:t>
                      </m:r>
                    </m:sub>
                  </m:sSub>
                </m:num>
                <m:den>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i</m:t>
                      </m:r>
                    </m:sub>
                  </m:sSub>
                </m:den>
              </m:f>
            </m:e>
          </m:d>
        </m:oMath>
      </m:oMathPara>
    </w:p>
    <w:p w14:paraId="00EBCD5C" w14:textId="77777777" w:rsidR="00B13E0E" w:rsidRPr="00BD041C" w:rsidRDefault="00B13E0E" w:rsidP="009E071D">
      <w:pPr>
        <w:spacing w:line="360" w:lineRule="auto"/>
        <w:jc w:val="center"/>
      </w:pPr>
      <w:r w:rsidRPr="00BD041C">
        <w:t>3.5</w:t>
      </w:r>
    </w:p>
    <w:p w14:paraId="7131E736" w14:textId="0C6CD807" w:rsidR="00B13E0E" w:rsidRPr="005D46F2" w:rsidRDefault="00B13E0E" w:rsidP="009E071D">
      <w:pPr>
        <w:spacing w:line="360" w:lineRule="auto"/>
      </w:pPr>
      <w:r>
        <w:tab/>
        <w:t xml:space="preserve">The incorporation of basin fill </w:t>
      </w:r>
      <w:r w:rsidR="00E50C38">
        <w:t>into</w:t>
      </w:r>
      <w:r>
        <w:t xml:space="preserve"> the model has important implications </w:t>
      </w:r>
      <w:r w:rsidR="005D318F">
        <w:t xml:space="preserve">for </w:t>
      </w:r>
      <w:r>
        <w:t xml:space="preserve">generating vertical relief. Where </w:t>
      </w:r>
      <m:oMath>
        <m:r>
          <w:rPr>
            <w:rFonts w:ascii="Cambria Math" w:eastAsia="Times New Roman" w:hAnsi="Cambria Math" w:cstheme="minorHAnsi"/>
            <w:color w:val="000000"/>
            <w:lang w:eastAsia="en-GB"/>
          </w:rPr>
          <m:t>β</m:t>
        </m:r>
      </m:oMath>
      <w:r>
        <w:t xml:space="preserve"> &gt; 1, but not sufficient enough to subside initially uplifted granite-cored crust below base level, differential loading occurs and exaggerates basement relief (</w:t>
      </w:r>
      <w:r w:rsidRPr="005526E7">
        <w:t>e</w:t>
      </w:r>
      <w:r w:rsidR="005B5F04">
        <w:t>.</w:t>
      </w:r>
      <w:r w:rsidRPr="005526E7">
        <w:t>g. Fig</w:t>
      </w:r>
      <w:r w:rsidR="005B5F04">
        <w:t>s</w:t>
      </w:r>
      <w:r w:rsidRPr="005526E7">
        <w:t>.</w:t>
      </w:r>
      <w:r w:rsidR="00E164AF">
        <w:t xml:space="preserve"> 3</w:t>
      </w:r>
      <w:r w:rsidR="005B5F04">
        <w:t xml:space="preserve"> and</w:t>
      </w:r>
      <w:r w:rsidRPr="005526E7">
        <w:t xml:space="preserve"> </w:t>
      </w:r>
      <w:r w:rsidR="00E164AF">
        <w:t>4</w:t>
      </w:r>
      <w:r w:rsidR="00B470D7">
        <w:t xml:space="preserve">). The </w:t>
      </w:r>
      <w:r w:rsidR="00E83055">
        <w:t>magnitude</w:t>
      </w:r>
      <w:r w:rsidR="005D318F">
        <w:t xml:space="preserve"> of extension (</w:t>
      </w:r>
      <m:oMath>
        <m:r>
          <w:rPr>
            <w:rFonts w:ascii="Cambria Math" w:eastAsia="Times New Roman" w:hAnsi="Cambria Math" w:cstheme="minorHAnsi"/>
            <w:color w:val="000000"/>
            <w:lang w:eastAsia="en-GB"/>
          </w:rPr>
          <m:t>β</m:t>
        </m:r>
      </m:oMath>
      <w:r w:rsidR="005D318F">
        <w:t>)</w:t>
      </w:r>
      <w:r>
        <w:t xml:space="preserve"> </w:t>
      </w:r>
      <w:r w:rsidR="005D318F">
        <w:t xml:space="preserve">required for </w:t>
      </w:r>
      <w:r w:rsidR="0043363C">
        <w:t>infill</w:t>
      </w:r>
      <w:r w:rsidR="005D318F">
        <w:t xml:space="preserve"> to occur </w:t>
      </w:r>
      <w:r>
        <w:t xml:space="preserve">on the granite-cored block can be determined by </w:t>
      </w:r>
      <w:r w:rsidRPr="005D46F2">
        <w:t>rearranging equation</w:t>
      </w:r>
      <w:r>
        <w:t xml:space="preserve"> 3.3:</w:t>
      </w:r>
    </w:p>
    <w:p w14:paraId="227FE394" w14:textId="0F362365" w:rsidR="00B13E0E" w:rsidRDefault="00060CBE" w:rsidP="009E071D">
      <w:pPr>
        <w:spacing w:line="360" w:lineRule="auto"/>
        <w:jc w:val="center"/>
        <w:rPr>
          <w:rFonts w:eastAsiaTheme="minorEastAsia"/>
          <w:color w:val="000000"/>
          <w:lang w:eastAsia="en-GB"/>
        </w:rPr>
      </w:pPr>
      <m:oMathPara>
        <m:oMath>
          <m:r>
            <w:rPr>
              <w:rFonts w:ascii="Cambria Math" w:eastAsia="Times New Roman" w:hAnsi="Cambria Math" w:cs="Times New Roman"/>
              <w:color w:val="000000"/>
              <w:lang w:eastAsia="en-GB"/>
            </w:rPr>
            <m:t>β</m:t>
          </m:r>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gc</m:t>
                      </m:r>
                    </m:sub>
                  </m:sSub>
                </m:e>
              </m:d>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d>
                <m:dPr>
                  <m:ctrlPr>
                    <w:rPr>
                      <w:rFonts w:ascii="Cambria Math" w:eastAsia="Times New Roman" w:hAnsi="Cambria Math" w:cstheme="minorHAnsi"/>
                      <w:i/>
                      <w:color w:val="000000"/>
                      <w:lang w:eastAsia="en-GB"/>
                    </w:rPr>
                  </m:ctrlPr>
                </m:dPr>
                <m:e>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gc</m:t>
                      </m:r>
                    </m:sub>
                  </m:sSub>
                </m:e>
              </m:d>
              <m:r>
                <w:rPr>
                  <w:rFonts w:ascii="Cambria Math" w:eastAsia="Times New Roman" w:hAnsi="Cambria Math" w:cstheme="minorHAnsi"/>
                  <w:color w:val="000000"/>
                  <w:lang w:eastAsia="en-GB"/>
                </w:rPr>
                <m:t>-IR×</m:t>
              </m:r>
              <m:sSub>
                <m:sSubPr>
                  <m:ctrlPr>
                    <w:rPr>
                      <w:rFonts w:ascii="Cambria Math" w:hAnsi="Cambria Math"/>
                      <w:i/>
                    </w:rPr>
                  </m:ctrlPr>
                </m:sSubPr>
                <m:e>
                  <m:r>
                    <w:rPr>
                      <w:rFonts w:ascii="Cambria Math" w:hAnsi="Cambria Math"/>
                    </w:rPr>
                    <m:t>ρ</m:t>
                  </m:r>
                </m:e>
                <m:sub>
                  <m:r>
                    <w:rPr>
                      <w:rFonts w:ascii="Cambria Math" w:hAnsi="Cambria Math"/>
                    </w:rPr>
                    <m:t>m</m:t>
                  </m:r>
                </m:sub>
              </m:sSub>
            </m:den>
          </m:f>
        </m:oMath>
      </m:oMathPara>
    </w:p>
    <w:p w14:paraId="1F4A656E" w14:textId="77777777" w:rsidR="00B13E0E" w:rsidRPr="00BD041C" w:rsidRDefault="00B13E0E" w:rsidP="009E071D">
      <w:pPr>
        <w:spacing w:line="360" w:lineRule="auto"/>
        <w:jc w:val="center"/>
      </w:pPr>
      <w:r>
        <w:t>3.6</w:t>
      </w:r>
    </w:p>
    <w:p w14:paraId="0421FD70" w14:textId="165CE0E2" w:rsidR="00B13E0E" w:rsidRDefault="00B13E0E" w:rsidP="009E071D">
      <w:pPr>
        <w:pStyle w:val="Heading3"/>
        <w:spacing w:line="360" w:lineRule="auto"/>
      </w:pPr>
      <w:r>
        <w:t xml:space="preserve">3.4 </w:t>
      </w:r>
      <w:r w:rsidR="00922F13">
        <w:t xml:space="preserve">The effects of </w:t>
      </w:r>
      <w:r>
        <w:t>erosion</w:t>
      </w:r>
      <w:r w:rsidR="0046525D">
        <w:t xml:space="preserve"> of uplifted material</w:t>
      </w:r>
    </w:p>
    <w:p w14:paraId="27046850" w14:textId="7EAFB5FF" w:rsidR="00B13E0E" w:rsidRDefault="00B13E0E" w:rsidP="009E071D">
      <w:pPr>
        <w:spacing w:line="360" w:lineRule="auto"/>
      </w:pPr>
      <w:r>
        <w:tab/>
        <w:t>Figure</w:t>
      </w:r>
      <w:r w:rsidR="00B24D91">
        <w:t>s</w:t>
      </w:r>
      <w:r w:rsidR="00E164AF">
        <w:t xml:space="preserve"> 3</w:t>
      </w:r>
      <w:r w:rsidR="005B5F04">
        <w:t xml:space="preserve"> and </w:t>
      </w:r>
      <w:r w:rsidR="00E164AF">
        <w:t>4</w:t>
      </w:r>
      <w:r w:rsidR="00B24D91">
        <w:t xml:space="preserve"> suggest</w:t>
      </w:r>
      <w:r>
        <w:t xml:space="preserve"> that differential loading can have an important role in generating basin relief. However, if the initial uplift</w:t>
      </w:r>
      <w:r w:rsidR="00784201">
        <w:t xml:space="preserve"> due to granite emplacement was</w:t>
      </w:r>
      <w:r>
        <w:t xml:space="preserve"> met with complete erosion </w:t>
      </w:r>
      <w:r w:rsidR="00666F14">
        <w:t xml:space="preserve">to sea level </w:t>
      </w:r>
      <w:r>
        <w:t xml:space="preserve">of the uplifted proportion of the block, producing a flat basement topography prior to extension, then </w:t>
      </w:r>
      <w:r w:rsidR="00C56152">
        <w:t xml:space="preserve">the effects of </w:t>
      </w:r>
      <w:r>
        <w:t>differential loading would be nullified. Erosion implies an additional negative load and a further positive isostatic response</w:t>
      </w:r>
      <w:r w:rsidR="00A019A0">
        <w:t xml:space="preserve"> generating additional uplift</w:t>
      </w:r>
      <w:r>
        <w:t>. The total erosion required to generate a flat surface topography across granite-cored and non-granite cored basement (</w:t>
      </w:r>
      <m:oMath>
        <m:r>
          <w:rPr>
            <w:rFonts w:ascii="Cambria Math" w:hAnsi="Cambria Math"/>
          </w:rPr>
          <m:t>e</m:t>
        </m:r>
      </m:oMath>
      <w:r>
        <w:rPr>
          <w:rFonts w:eastAsiaTheme="minorEastAsia"/>
        </w:rPr>
        <w:t>)</w:t>
      </w:r>
      <w:r>
        <w:t xml:space="preserve"> can be defined as:</w:t>
      </w:r>
    </w:p>
    <w:p w14:paraId="6F22887F" w14:textId="77777777" w:rsidR="00B13E0E" w:rsidRDefault="00B13E0E" w:rsidP="009E071D">
      <w:pPr>
        <w:spacing w:line="360" w:lineRule="auto"/>
        <w:jc w:val="center"/>
        <w:rPr>
          <w:rFonts w:eastAsiaTheme="minorEastAsia"/>
          <w:i/>
          <w:color w:val="000000"/>
          <w:lang w:eastAsia="en-GB"/>
        </w:rPr>
      </w:pPr>
      <m:oMathPara>
        <m:oMath>
          <m:r>
            <w:rPr>
              <w:rFonts w:ascii="Cambria Math" w:hAnsi="Cambria Math"/>
            </w:rPr>
            <m:t xml:space="preserve">e= </m:t>
          </m:r>
          <m:f>
            <m:fPr>
              <m:ctrlPr>
                <w:rPr>
                  <w:rFonts w:ascii="Cambria Math" w:eastAsia="Times New Roman" w:hAnsi="Cambria Math" w:cstheme="minorHAnsi"/>
                  <w:i/>
                  <w:color w:val="000000"/>
                  <w:lang w:eastAsia="en-GB"/>
                </w:rPr>
              </m:ctrlPr>
            </m:fPr>
            <m:num>
              <m:sSub>
                <m:sSubPr>
                  <m:ctrlPr>
                    <w:rPr>
                      <w:rFonts w:ascii="Cambria Math" w:hAnsi="Cambria Math"/>
                      <w:i/>
                    </w:rPr>
                  </m:ctrlPr>
                </m:sSub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hAnsi="Cambria Math"/>
                    </w:rPr>
                    <m:t>(ρ</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gc</m:t>
                  </m:r>
                </m:sub>
              </m:sSub>
              <m:r>
                <w:rPr>
                  <w:rFonts w:ascii="Cambria Math" w:hAnsi="Cambria Math"/>
                </w:rPr>
                <m:t>)</m:t>
              </m:r>
            </m:num>
            <m:den>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gc</m:t>
                  </m:r>
                </m:sub>
              </m:sSub>
            </m:den>
          </m:f>
        </m:oMath>
      </m:oMathPara>
    </w:p>
    <w:p w14:paraId="1ADB5C43" w14:textId="77777777" w:rsidR="00B13E0E" w:rsidRPr="00BD041C" w:rsidRDefault="00B13E0E" w:rsidP="009E071D">
      <w:pPr>
        <w:spacing w:line="360" w:lineRule="auto"/>
        <w:jc w:val="center"/>
        <w:rPr>
          <w:rFonts w:eastAsiaTheme="minorEastAsia"/>
          <w:color w:val="000000"/>
          <w:lang w:eastAsia="en-GB"/>
        </w:rPr>
      </w:pPr>
      <w:r>
        <w:rPr>
          <w:rFonts w:eastAsiaTheme="minorEastAsia"/>
          <w:color w:val="000000"/>
          <w:lang w:eastAsia="en-GB"/>
        </w:rPr>
        <w:t xml:space="preserve"> 3.7</w:t>
      </w:r>
    </w:p>
    <w:p w14:paraId="6C6F2E02" w14:textId="77777777" w:rsidR="00B13E0E" w:rsidRDefault="00B13E0E" w:rsidP="009E071D">
      <w:pPr>
        <w:spacing w:line="360" w:lineRule="auto"/>
        <w:jc w:val="center"/>
      </w:pPr>
      <w:r w:rsidRPr="00401161">
        <w:lastRenderedPageBreak/>
        <w:t xml:space="preserve">Given that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sSub>
          <m:sSubPr>
            <m:ctrlPr>
              <w:rPr>
                <w:rFonts w:ascii="Cambria Math" w:hAnsi="Cambria Math"/>
                <w:i/>
              </w:rPr>
            </m:ctrlPr>
          </m:sSubPr>
          <m:e>
            <m:r>
              <w:rPr>
                <w:rFonts w:ascii="Cambria Math" w:hAnsi="Cambria Math"/>
              </w:rPr>
              <m:t>ρ</m:t>
            </m:r>
          </m:e>
          <m:sub>
            <m:r>
              <w:rPr>
                <w:rFonts w:ascii="Cambria Math" w:hAnsi="Cambria Math"/>
              </w:rPr>
              <m:t>c</m:t>
            </m:r>
          </m:sub>
        </m:sSub>
        <m:r>
          <w:rPr>
            <w:rFonts w:ascii="Cambria Math" w:hAnsi="Cambria Math"/>
          </w:rPr>
          <m:t>=</m:t>
        </m:r>
        <m:d>
          <m:dPr>
            <m:ctrlPr>
              <w:rPr>
                <w:rFonts w:ascii="Cambria Math" w:hAnsi="Cambria Math"/>
                <w:i/>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-e</m:t>
            </m:r>
            <m:ctrlPr>
              <w:rPr>
                <w:rFonts w:ascii="Cambria Math" w:eastAsia="Times New Roman" w:hAnsi="Cambria Math" w:cstheme="minorHAnsi"/>
                <w:i/>
                <w:color w:val="000000"/>
                <w:lang w:eastAsia="en-GB"/>
              </w:rPr>
            </m:ctrlPr>
          </m:e>
        </m:d>
        <m:r>
          <w:rPr>
            <w:rFonts w:ascii="Cambria Math" w:eastAsia="Times New Roman" w:hAnsi="Cambria Math" w:cstheme="minorHAnsi"/>
            <w:color w:val="000000"/>
            <w:lang w:eastAsia="en-GB"/>
          </w:rPr>
          <m:t>×</m:t>
        </m:r>
        <m:sSub>
          <m:sSubPr>
            <m:ctrlPr>
              <w:rPr>
                <w:rFonts w:ascii="Cambria Math" w:hAnsi="Cambria Math"/>
                <w:i/>
              </w:rPr>
            </m:ctrlPr>
          </m:sSubPr>
          <m:e>
            <m:r>
              <w:rPr>
                <w:rFonts w:ascii="Cambria Math" w:hAnsi="Cambria Math"/>
              </w:rPr>
              <m:t>ρ</m:t>
            </m:r>
          </m:e>
          <m:sub>
            <m:r>
              <w:rPr>
                <w:rFonts w:ascii="Cambria Math" w:hAnsi="Cambria Math"/>
              </w:rPr>
              <m:t>gc</m:t>
            </m:r>
          </m:sub>
        </m:sSub>
        <m:r>
          <w:rPr>
            <w:rFonts w:ascii="Cambria Math" w:hAnsi="Cambria Math"/>
          </w:rPr>
          <m:t>+e×</m:t>
        </m:r>
        <m:sSub>
          <m:sSubPr>
            <m:ctrlPr>
              <w:rPr>
                <w:rFonts w:ascii="Cambria Math" w:hAnsi="Cambria Math"/>
                <w:i/>
              </w:rPr>
            </m:ctrlPr>
          </m:sSubPr>
          <m:e>
            <m:r>
              <w:rPr>
                <w:rFonts w:ascii="Cambria Math" w:hAnsi="Cambria Math"/>
              </w:rPr>
              <m:t>ρ</m:t>
            </m:r>
          </m:e>
          <m:sub>
            <m:r>
              <w:rPr>
                <w:rFonts w:ascii="Cambria Math" w:hAnsi="Cambria Math"/>
              </w:rPr>
              <m:t>m</m:t>
            </m:r>
          </m:sub>
        </m:sSub>
      </m:oMath>
      <w:r w:rsidRPr="00401161">
        <w:rPr>
          <w:rFonts w:eastAsiaTheme="minorEastAsia"/>
        </w:rPr>
        <w:t>.</w:t>
      </w:r>
    </w:p>
    <w:p w14:paraId="0045015C" w14:textId="1D2848FC" w:rsidR="00B13E0E" w:rsidRDefault="00B13E0E" w:rsidP="009E071D">
      <w:pPr>
        <w:spacing w:line="360" w:lineRule="auto"/>
      </w:pPr>
      <w:r>
        <w:tab/>
        <w:t>Any erosion implies a reduction in crustal thickness (</w:t>
      </w:r>
      <m:oMath>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oMath>
      <w:r>
        <w:t xml:space="preserve">) prior to stretching. When the uplifted portion of the crust is eroded in its entirety </w:t>
      </w:r>
      <w:r w:rsidR="00666F14">
        <w:t xml:space="preserve">to sea level </w:t>
      </w:r>
      <w:r>
        <w:t xml:space="preserve">and the </w:t>
      </w:r>
      <w:r w:rsidR="00B24D91">
        <w:t>transient asthenosphere-lithosphere boundary</w:t>
      </w:r>
      <w:r>
        <w:t xml:space="preserve"> re-equilibrates fully, lithospher</w:t>
      </w:r>
      <w:r w:rsidR="00C56152">
        <w:t>ic</w:t>
      </w:r>
      <w:r>
        <w:t xml:space="preserve"> thickness remains the same. Less dense crust subsides more than denser crust (</w:t>
      </w:r>
      <w:r w:rsidR="00E164AF">
        <w:t>Fig. 2</w:t>
      </w:r>
      <w:r w:rsidRPr="00AF2A2C">
        <w:t>).</w:t>
      </w:r>
      <w:r>
        <w:t xml:space="preserve"> However, thinner crust subsides less </w:t>
      </w:r>
      <w:r w:rsidR="00A019A0">
        <w:t xml:space="preserve">for any amount of extension </w:t>
      </w:r>
      <w:r>
        <w:t xml:space="preserve">as less vertical thickness </w:t>
      </w:r>
      <w:r w:rsidR="00A019A0">
        <w:t xml:space="preserve">due to crustal thinning </w:t>
      </w:r>
      <w:r>
        <w:t xml:space="preserve">is lost </w:t>
      </w:r>
      <w:r w:rsidR="006F4974">
        <w:t>in comparison</w:t>
      </w:r>
      <w:r>
        <w:t xml:space="preserve"> to thicker crust. </w:t>
      </w:r>
      <w:r w:rsidR="00E164AF">
        <w:t>Figure 5</w:t>
      </w:r>
      <w:r w:rsidR="003B5EA3">
        <w:t xml:space="preserve"> presents the subsidence in response to the extension of ‘standard’ lithosphere (i</w:t>
      </w:r>
      <w:r w:rsidR="004F7F45">
        <w:t>.</w:t>
      </w:r>
      <w:r w:rsidR="003B5EA3">
        <w:t xml:space="preserve">e. </w:t>
      </w:r>
      <m:oMath>
        <m:sSub>
          <m:sSubPr>
            <m:ctrlPr>
              <w:rPr>
                <w:rFonts w:ascii="Cambria Math" w:hAnsi="Cambria Math"/>
                <w:i/>
              </w:rPr>
            </m:ctrlPr>
          </m:sSubPr>
          <m:e>
            <m:r>
              <w:rPr>
                <w:rFonts w:ascii="Cambria Math" w:hAnsi="Cambria Math"/>
              </w:rPr>
              <m:t>C</m:t>
            </m:r>
          </m:e>
          <m:sub>
            <m:r>
              <w:rPr>
                <w:rFonts w:ascii="Cambria Math" w:hAnsi="Cambria Math"/>
              </w:rPr>
              <m:t>0</m:t>
            </m:r>
          </m:sub>
        </m:sSub>
      </m:oMath>
      <w:r w:rsidR="003B5EA3">
        <w:t xml:space="preserve"> = 35 km and </w:t>
      </w:r>
      <m:oMath>
        <m:sSub>
          <m:sSubPr>
            <m:ctrlPr>
              <w:rPr>
                <w:rFonts w:ascii="Cambria Math" w:hAnsi="Cambria Math"/>
                <w:i/>
              </w:rPr>
            </m:ctrlPr>
          </m:sSubPr>
          <m:e>
            <m:r>
              <w:rPr>
                <w:rFonts w:ascii="Cambria Math" w:hAnsi="Cambria Math"/>
              </w:rPr>
              <m:t>ρ</m:t>
            </m:r>
          </m:e>
          <m:sub>
            <m:r>
              <w:rPr>
                <w:rFonts w:ascii="Cambria Math" w:hAnsi="Cambria Math"/>
              </w:rPr>
              <m:t>c</m:t>
            </m:r>
          </m:sub>
        </m:sSub>
      </m:oMath>
      <w:r w:rsidR="009E1C1B">
        <w:rPr>
          <w:rFonts w:eastAsiaTheme="minorEastAsia"/>
        </w:rPr>
        <w:t xml:space="preserve"> = 2</w:t>
      </w:r>
      <w:r w:rsidR="003B5EA3">
        <w:rPr>
          <w:rFonts w:eastAsiaTheme="minorEastAsia"/>
        </w:rPr>
        <w:t>8</w:t>
      </w:r>
      <w:r w:rsidR="009E1C1B">
        <w:rPr>
          <w:rFonts w:eastAsiaTheme="minorEastAsia"/>
        </w:rPr>
        <w:t>00</w:t>
      </w:r>
      <w:r w:rsidR="003B5EA3">
        <w:rPr>
          <w:rFonts w:eastAsiaTheme="minorEastAsia"/>
        </w:rPr>
        <w:t xml:space="preserve"> </w:t>
      </w:r>
      <w:r w:rsidR="009E1C1B">
        <w:rPr>
          <w:rFonts w:eastAsiaTheme="minorEastAsia"/>
        </w:rPr>
        <w:t>kg</w:t>
      </w:r>
      <w:r w:rsidR="00E83055">
        <w:rPr>
          <w:rFonts w:eastAsiaTheme="minorEastAsia"/>
        </w:rPr>
        <w:t xml:space="preserve"> m</w:t>
      </w:r>
      <w:r w:rsidR="003B5EA3">
        <w:rPr>
          <w:rFonts w:eastAsiaTheme="minorEastAsia"/>
          <w:vertAlign w:val="superscript"/>
        </w:rPr>
        <w:t>-3</w:t>
      </w:r>
      <w:r w:rsidR="003B5EA3">
        <w:rPr>
          <w:rFonts w:eastAsiaTheme="minorEastAsia"/>
        </w:rPr>
        <w:t xml:space="preserve">) and a </w:t>
      </w:r>
      <w:r w:rsidR="005B0C0D">
        <w:rPr>
          <w:rFonts w:eastAsiaTheme="minorEastAsia"/>
        </w:rPr>
        <w:t>lithosphere which has undergone</w:t>
      </w:r>
      <w:r w:rsidR="003B5EA3">
        <w:rPr>
          <w:rFonts w:eastAsiaTheme="minorEastAsia"/>
        </w:rPr>
        <w:t xml:space="preserve"> granite emplacement, isostatic compensation, full thermal re-equilibration and erosion sufficient enough to generate a flat basement profile. Ignoring any thermal perturbations, which could enhance uplift and further erosion of thinner lithosphere, when the same stretching factor is applied the calculated subsidence is identical.</w:t>
      </w:r>
      <w:r w:rsidR="003B5EA3">
        <w:t xml:space="preserve"> </w:t>
      </w:r>
      <w:r>
        <w:t xml:space="preserve">In other words, </w:t>
      </w:r>
      <w:r>
        <w:rPr>
          <w:rFonts w:eastAsiaTheme="minorEastAsia"/>
        </w:rPr>
        <w:t xml:space="preserve">where </w:t>
      </w:r>
      <m:oMath>
        <m:r>
          <w:rPr>
            <w:rFonts w:ascii="Cambria Math" w:eastAsiaTheme="minorEastAsia" w:hAnsi="Cambria Math"/>
          </w:rPr>
          <m:t>z=</m:t>
        </m:r>
        <m:sSub>
          <m:sSubPr>
            <m:ctrlPr>
              <w:rPr>
                <w:rFonts w:ascii="Cambria Math" w:hAnsi="Cambria Math"/>
                <w:i/>
              </w:rPr>
            </m:ctrlPr>
          </m:sSubPr>
          <m:e>
            <m:r>
              <w:rPr>
                <w:rFonts w:ascii="Cambria Math" w:hAnsi="Cambria Math"/>
              </w:rPr>
              <m:t>C</m:t>
            </m:r>
          </m:e>
          <m:sub>
            <m:r>
              <w:rPr>
                <w:rFonts w:ascii="Cambria Math" w:hAnsi="Cambria Math"/>
              </w:rPr>
              <m:t>o</m:t>
            </m:r>
          </m:sub>
        </m:sSub>
        <m:r>
          <w:rPr>
            <w:rFonts w:ascii="Cambria Math" w:hAnsi="Cambria Math"/>
          </w:rPr>
          <m:t>-e</m:t>
        </m:r>
      </m:oMath>
      <w:r>
        <w:rPr>
          <w:rFonts w:eastAsiaTheme="minorEastAsia"/>
        </w:rPr>
        <w:t xml:space="preserve"> is the eroded granite-cored crustal thickness with the same isostatically compensated surface elevation as the original crust (</w:t>
      </w:r>
      <m:oMath>
        <m:sSub>
          <m:sSubPr>
            <m:ctrlPr>
              <w:rPr>
                <w:rFonts w:ascii="Cambria Math" w:hAnsi="Cambria Math"/>
                <w:i/>
              </w:rPr>
            </m:ctrlPr>
          </m:sSubPr>
          <m:e>
            <m:r>
              <w:rPr>
                <w:rFonts w:ascii="Cambria Math" w:hAnsi="Cambria Math"/>
              </w:rPr>
              <m:t>C</m:t>
            </m:r>
          </m:e>
          <m:sub>
            <m:r>
              <w:rPr>
                <w:rFonts w:ascii="Cambria Math" w:hAnsi="Cambria Math"/>
              </w:rPr>
              <m:t>o</m:t>
            </m:r>
          </m:sub>
        </m:sSub>
      </m:oMath>
      <w:r>
        <w:rPr>
          <w:rFonts w:eastAsiaTheme="minorEastAsia"/>
        </w:rPr>
        <w:t>)</w:t>
      </w:r>
      <w:r>
        <w:t>:</w:t>
      </w:r>
    </w:p>
    <w:p w14:paraId="7251D8FF" w14:textId="21318827" w:rsidR="00B13E0E" w:rsidRDefault="00B13E0E" w:rsidP="009E071D">
      <w:pPr>
        <w:spacing w:line="360" w:lineRule="auto"/>
        <w:jc w:val="center"/>
        <w:rPr>
          <w:rFonts w:eastAsiaTheme="minorEastAsia"/>
        </w:rPr>
      </w:pPr>
      <m:oMathPara>
        <m:oMath>
          <m:r>
            <w:rPr>
              <w:rFonts w:ascii="Cambria Math" w:hAnsi="Cambria Math"/>
            </w:rPr>
            <m:t>S=</m:t>
          </m:r>
          <m:d>
            <m:dPr>
              <m:ctrlPr>
                <w:rPr>
                  <w:rFonts w:ascii="Cambria Math" w:hAnsi="Cambria Math"/>
                  <w:i/>
                </w:rPr>
              </m:ctrlPr>
            </m:dPr>
            <m:e>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r>
                <w:rPr>
                  <w:rFonts w:ascii="Cambria Math" w:eastAsia="Times New Roman" w:hAnsi="Cambria Math" w:cstheme="minorHAnsi"/>
                  <w:color w:val="000000"/>
                  <w:lang w:eastAsia="en-GB"/>
                </w:rPr>
                <m:t>-</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eastAsia="en-GB"/>
                        </w:rPr>
                        <m:t>C</m:t>
                      </m:r>
                    </m:e>
                    <m:sub>
                      <m:r>
                        <w:rPr>
                          <w:rFonts w:ascii="Cambria Math" w:eastAsia="Times New Roman" w:hAnsi="Cambria Math" w:cstheme="minorHAnsi"/>
                          <w:color w:val="000000"/>
                          <w:lang w:eastAsia="en-GB"/>
                        </w:rPr>
                        <m:t>o</m:t>
                      </m:r>
                    </m:sub>
                  </m:sSub>
                </m:num>
                <m:den>
                  <m:r>
                    <w:rPr>
                      <w:rFonts w:ascii="Cambria Math" w:eastAsia="Times New Roman" w:hAnsi="Cambria Math" w:cs="Times New Roman"/>
                      <w:color w:val="000000"/>
                      <w:lang w:eastAsia="en-GB"/>
                    </w:rPr>
                    <m:t>β</m:t>
                  </m:r>
                </m:den>
              </m:f>
            </m:e>
          </m:d>
          <m:d>
            <m:dPr>
              <m:ctrlPr>
                <w:rPr>
                  <w:rFonts w:ascii="Cambria Math" w:hAnsi="Cambria Math"/>
                  <w:i/>
                </w:rPr>
              </m:ctrlPr>
            </m:dPr>
            <m:e>
              <m:r>
                <w:rPr>
                  <w:rFonts w:ascii="Cambria Math" w:hAnsi="Cambria Math"/>
                </w:rPr>
                <m:t>1-</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e>
          </m:d>
        </m:oMath>
      </m:oMathPara>
    </w:p>
    <w:p w14:paraId="48FE9FC8" w14:textId="77777777" w:rsidR="00B13E0E" w:rsidRPr="00BD041C" w:rsidRDefault="00B13E0E" w:rsidP="009E071D">
      <w:pPr>
        <w:spacing w:line="360" w:lineRule="auto"/>
        <w:jc w:val="center"/>
        <w:rPr>
          <w:rFonts w:eastAsiaTheme="minorEastAsia"/>
        </w:rPr>
      </w:pPr>
      <w:r w:rsidRPr="00BD041C">
        <w:t>3.8</w:t>
      </w:r>
    </w:p>
    <w:p w14:paraId="6B448828" w14:textId="0440F2C0" w:rsidR="00B13E0E" w:rsidRDefault="00B13E0E" w:rsidP="009E071D">
      <w:pPr>
        <w:spacing w:line="360" w:lineRule="auto"/>
        <w:jc w:val="center"/>
        <w:rPr>
          <w:rFonts w:eastAsiaTheme="minorEastAsia"/>
        </w:rPr>
      </w:pPr>
      <m:oMathPara>
        <m:oMath>
          <m:r>
            <w:rPr>
              <w:rFonts w:ascii="Cambria Math" w:eastAsiaTheme="minorEastAsia" w:hAnsi="Cambria Math"/>
            </w:rPr>
            <m:t>=</m:t>
          </m:r>
          <m:d>
            <m:dPr>
              <m:ctrlPr>
                <w:rPr>
                  <w:rFonts w:ascii="Cambria Math" w:hAnsi="Cambria Math"/>
                  <w:i/>
                </w:rPr>
              </m:ctrlPr>
            </m:dPr>
            <m:e>
              <m:r>
                <w:rPr>
                  <w:rFonts w:ascii="Cambria Math" w:eastAsia="Times New Roman" w:hAnsi="Cambria Math" w:cstheme="minorHAnsi"/>
                  <w:color w:val="000000"/>
                  <w:lang w:eastAsia="en-GB"/>
                </w:rPr>
                <m:t>z-</m:t>
              </m:r>
              <m:f>
                <m:fPr>
                  <m:ctrlPr>
                    <w:rPr>
                      <w:rFonts w:ascii="Cambria Math" w:eastAsia="Times New Roman" w:hAnsi="Cambria Math" w:cstheme="minorHAnsi"/>
                      <w:i/>
                      <w:color w:val="000000"/>
                      <w:lang w:eastAsia="en-GB"/>
                    </w:rPr>
                  </m:ctrlPr>
                </m:fPr>
                <m:num>
                  <m:r>
                    <w:rPr>
                      <w:rFonts w:ascii="Cambria Math" w:eastAsia="Times New Roman" w:hAnsi="Cambria Math" w:cstheme="minorHAnsi"/>
                      <w:color w:val="000000"/>
                      <w:lang w:eastAsia="en-GB"/>
                    </w:rPr>
                    <m:t>z</m:t>
                  </m:r>
                </m:num>
                <m:den>
                  <m:r>
                    <w:rPr>
                      <w:rFonts w:ascii="Cambria Math" w:eastAsia="Times New Roman" w:hAnsi="Cambria Math" w:cs="Times New Roman"/>
                      <w:color w:val="000000"/>
                      <w:lang w:eastAsia="en-GB"/>
                    </w:rPr>
                    <m:t>β</m:t>
                  </m:r>
                </m:den>
              </m:f>
            </m:e>
          </m:d>
          <m:d>
            <m:dPr>
              <m:ctrlPr>
                <w:rPr>
                  <w:rFonts w:ascii="Cambria Math" w:hAnsi="Cambria Math"/>
                  <w:i/>
                </w:rPr>
              </m:ctrlPr>
            </m:dPr>
            <m:e>
              <m:r>
                <w:rPr>
                  <w:rFonts w:ascii="Cambria Math" w:hAnsi="Cambria Math"/>
                </w:rPr>
                <m:t>1-</m:t>
              </m:r>
              <m:f>
                <m:fPr>
                  <m:ctrlPr>
                    <w:rPr>
                      <w:rFonts w:ascii="Cambria Math" w:eastAsia="Times New Roman" w:hAnsi="Cambria Math" w:cstheme="minorHAnsi"/>
                      <w:i/>
                      <w:color w:val="000000"/>
                      <w:lang w:eastAsia="en-GB"/>
                    </w:rPr>
                  </m:ctrlPr>
                </m:fPr>
                <m:num>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gc</m:t>
                      </m:r>
                    </m:sub>
                  </m:sSub>
                </m:num>
                <m:den>
                  <m:sSub>
                    <m:sSubPr>
                      <m:ctrlPr>
                        <w:rPr>
                          <w:rFonts w:ascii="Cambria Math" w:eastAsia="Times New Roman" w:hAnsi="Cambria Math" w:cstheme="minorHAnsi"/>
                          <w:i/>
                          <w:color w:val="000000"/>
                          <w:lang w:eastAsia="en-GB"/>
                        </w:rPr>
                      </m:ctrlPr>
                    </m:sSubPr>
                    <m:e>
                      <m:r>
                        <w:rPr>
                          <w:rFonts w:ascii="Cambria Math" w:eastAsia="Times New Roman" w:hAnsi="Cambria Math" w:cstheme="minorHAnsi"/>
                          <w:color w:val="000000"/>
                          <w:lang w:val="el-GR"/>
                        </w:rPr>
                        <m:t>ρ</m:t>
                      </m:r>
                    </m:e>
                    <m:sub>
                      <m:r>
                        <w:rPr>
                          <w:rFonts w:ascii="Cambria Math" w:eastAsia="Times New Roman" w:hAnsi="Cambria Math" w:cstheme="minorHAnsi"/>
                          <w:color w:val="000000"/>
                          <w:lang w:eastAsia="en-GB"/>
                        </w:rPr>
                        <m:t>m</m:t>
                      </m:r>
                    </m:sub>
                  </m:sSub>
                </m:den>
              </m:f>
            </m:e>
          </m:d>
        </m:oMath>
      </m:oMathPara>
    </w:p>
    <w:p w14:paraId="08D8100E" w14:textId="5A443883" w:rsidR="00B13E0E" w:rsidRDefault="00B13E0E" w:rsidP="009E071D">
      <w:pPr>
        <w:spacing w:line="360" w:lineRule="auto"/>
        <w:jc w:val="center"/>
        <w:rPr>
          <w:rFonts w:eastAsiaTheme="minorEastAsia"/>
        </w:rPr>
      </w:pPr>
      <w:r w:rsidRPr="00BD041C">
        <w:t>3.9</w:t>
      </w:r>
    </w:p>
    <w:p w14:paraId="63EC9AFC" w14:textId="2F1674CA" w:rsidR="00B13E0E" w:rsidRDefault="004F7F45" w:rsidP="009E071D">
      <w:pPr>
        <w:spacing w:line="360" w:lineRule="auto"/>
        <w:ind w:firstLine="720"/>
        <w:rPr>
          <w:rFonts w:eastAsiaTheme="minorEastAsia"/>
        </w:rPr>
      </w:pPr>
      <w:r>
        <w:rPr>
          <w:rFonts w:eastAsiaTheme="minorEastAsia"/>
        </w:rPr>
        <w:t>In</w:t>
      </w:r>
      <w:r w:rsidR="00B13E0E">
        <w:rPr>
          <w:rFonts w:eastAsiaTheme="minorEastAsia"/>
        </w:rPr>
        <w:t xml:space="preserve"> order for granites to influence basin architecture during lithospher</w:t>
      </w:r>
      <w:r w:rsidR="001F4F6D">
        <w:rPr>
          <w:rFonts w:eastAsiaTheme="minorEastAsia"/>
        </w:rPr>
        <w:t>ic</w:t>
      </w:r>
      <w:r>
        <w:rPr>
          <w:rFonts w:eastAsiaTheme="minorEastAsia"/>
        </w:rPr>
        <w:t xml:space="preserve"> extension,</w:t>
      </w:r>
      <w:r w:rsidR="00A019A0">
        <w:rPr>
          <w:rFonts w:eastAsiaTheme="minorEastAsia"/>
        </w:rPr>
        <w:t xml:space="preserve"> there needs to be some uplifted </w:t>
      </w:r>
      <w:r w:rsidR="00B13E0E">
        <w:rPr>
          <w:rFonts w:eastAsiaTheme="minorEastAsia"/>
        </w:rPr>
        <w:t>basement topography prior to extension. The overall bulk crustal density reduction associated with the emplacement of a 5</w:t>
      </w:r>
      <w:r w:rsidR="002477FA">
        <w:rPr>
          <w:rFonts w:eastAsiaTheme="minorEastAsia"/>
        </w:rPr>
        <w:t xml:space="preserve"> </w:t>
      </w:r>
      <w:r w:rsidR="00B13E0E">
        <w:rPr>
          <w:rFonts w:eastAsiaTheme="minorEastAsia"/>
        </w:rPr>
        <w:t xml:space="preserve">km thick granite pluton is </w:t>
      </w:r>
      <w:r w:rsidR="00B13E0E" w:rsidRPr="00803E58">
        <w:rPr>
          <w:rFonts w:eastAsiaTheme="minorEastAsia"/>
        </w:rPr>
        <w:t>~0.9%</w:t>
      </w:r>
      <w:r w:rsidR="00B13E0E">
        <w:rPr>
          <w:rFonts w:eastAsiaTheme="minorEastAsia"/>
        </w:rPr>
        <w:t>. To replicate a flat topography</w:t>
      </w:r>
      <w:r w:rsidR="00666F14">
        <w:rPr>
          <w:rFonts w:eastAsiaTheme="minorEastAsia"/>
        </w:rPr>
        <w:t xml:space="preserve"> at sea level</w:t>
      </w:r>
      <w:r w:rsidR="00B13E0E">
        <w:rPr>
          <w:rFonts w:eastAsiaTheme="minorEastAsia"/>
        </w:rPr>
        <w:t xml:space="preserve"> in this scenario requires 1.62</w:t>
      </w:r>
      <w:r w:rsidR="002477FA">
        <w:rPr>
          <w:rFonts w:eastAsiaTheme="minorEastAsia"/>
        </w:rPr>
        <w:t xml:space="preserve"> </w:t>
      </w:r>
      <w:r w:rsidR="00B13E0E">
        <w:rPr>
          <w:rFonts w:eastAsiaTheme="minorEastAsia"/>
        </w:rPr>
        <w:t xml:space="preserve">km of erosion. Without considering the mechanics of denudation, </w:t>
      </w:r>
      <w:r w:rsidR="00AF3BE0">
        <w:rPr>
          <w:rFonts w:eastAsiaTheme="minorEastAsia"/>
        </w:rPr>
        <w:t xml:space="preserve">it is conceivable that this amount of erosion is achievable </w:t>
      </w:r>
      <w:r w:rsidR="00B13E0E">
        <w:rPr>
          <w:rFonts w:eastAsiaTheme="minorEastAsia"/>
        </w:rPr>
        <w:t xml:space="preserve">over an extended period of tectonic quiescence. Nonetheless, the model </w:t>
      </w:r>
      <w:r w:rsidR="00AF3BE0">
        <w:rPr>
          <w:rFonts w:eastAsiaTheme="minorEastAsia"/>
        </w:rPr>
        <w:t xml:space="preserve">presented here </w:t>
      </w:r>
      <w:r w:rsidR="00B13E0E">
        <w:rPr>
          <w:rFonts w:eastAsiaTheme="minorEastAsia"/>
        </w:rPr>
        <w:t>will assume no er</w:t>
      </w:r>
      <w:r w:rsidR="001F4F6D">
        <w:rPr>
          <w:rFonts w:eastAsiaTheme="minorEastAsia"/>
        </w:rPr>
        <w:t>osion prior to lithospheric</w:t>
      </w:r>
      <w:r w:rsidR="00B13E0E">
        <w:rPr>
          <w:rFonts w:eastAsiaTheme="minorEastAsia"/>
        </w:rPr>
        <w:t xml:space="preserve"> extension as</w:t>
      </w:r>
      <w:r w:rsidR="00B13E0E" w:rsidRPr="006D7BE2">
        <w:rPr>
          <w:rFonts w:eastAsiaTheme="minorEastAsia"/>
        </w:rPr>
        <w:t xml:space="preserve"> </w:t>
      </w:r>
      <w:r w:rsidR="00B13E0E">
        <w:rPr>
          <w:rFonts w:eastAsiaTheme="minorEastAsia"/>
        </w:rPr>
        <w:t>ultimately upl</w:t>
      </w:r>
      <w:r w:rsidR="001F4F6D">
        <w:rPr>
          <w:rFonts w:eastAsiaTheme="minorEastAsia"/>
        </w:rPr>
        <w:t>ift is restricted by lithospheric</w:t>
      </w:r>
      <w:r w:rsidR="00B13E0E">
        <w:rPr>
          <w:rFonts w:eastAsiaTheme="minorEastAsia"/>
        </w:rPr>
        <w:t xml:space="preserve"> </w:t>
      </w:r>
      <w:r w:rsidR="005526E7">
        <w:rPr>
          <w:rFonts w:eastAsiaTheme="minorEastAsia"/>
        </w:rPr>
        <w:t>elasticity</w:t>
      </w:r>
      <w:r w:rsidR="006478E9">
        <w:rPr>
          <w:rFonts w:eastAsiaTheme="minorEastAsia"/>
        </w:rPr>
        <w:t xml:space="preserve"> (Watts, 2001)</w:t>
      </w:r>
      <w:r w:rsidR="00B13E0E">
        <w:rPr>
          <w:rFonts w:eastAsiaTheme="minorEastAsia"/>
        </w:rPr>
        <w:t>.</w:t>
      </w:r>
    </w:p>
    <w:p w14:paraId="0702B4B4" w14:textId="52EC2D09" w:rsidR="00B13E0E" w:rsidRDefault="00B13E0E" w:rsidP="009E071D">
      <w:pPr>
        <w:pStyle w:val="Heading3"/>
        <w:spacing w:line="360" w:lineRule="auto"/>
      </w:pPr>
      <w:r>
        <w:t>3.5 T</w:t>
      </w:r>
      <w:r w:rsidR="00AF3BE0">
        <w:t>he effects of t</w:t>
      </w:r>
      <w:r>
        <w:t>hermal expansion and contraction</w:t>
      </w:r>
    </w:p>
    <w:p w14:paraId="0DDB1A3C" w14:textId="4328E159" w:rsidR="00B13E0E" w:rsidRDefault="000B5796" w:rsidP="009E071D">
      <w:pPr>
        <w:spacing w:line="360" w:lineRule="auto"/>
        <w:ind w:firstLine="720"/>
      </w:pPr>
      <w:r>
        <w:t>McKenzie</w:t>
      </w:r>
      <w:r w:rsidR="00B13E0E">
        <w:t xml:space="preserve"> (</w:t>
      </w:r>
      <w:r w:rsidR="00B13E0E" w:rsidRPr="0077251F">
        <w:t>1978</w:t>
      </w:r>
      <w:r w:rsidR="00B13E0E">
        <w:t xml:space="preserve">) </w:t>
      </w:r>
      <w:r w:rsidR="00D07AC6">
        <w:t>states</w:t>
      </w:r>
      <w:r w:rsidR="00B13E0E">
        <w:t xml:space="preserve"> that compensation of the asthenosphere</w:t>
      </w:r>
      <w:r w:rsidR="00AF3BE0">
        <w:t xml:space="preserve"> in response</w:t>
      </w:r>
      <w:r w:rsidR="00B13E0E">
        <w:t xml:space="preserve"> to crustal thinning invokes an elevation in the </w:t>
      </w:r>
      <w:r w:rsidR="00617761">
        <w:t>lithosphere-asthenosphere boundary</w:t>
      </w:r>
      <w:r w:rsidR="00B13E0E">
        <w:t xml:space="preserve"> and thus reduces overall initial subsidence. For the sake of mathematical simplicity, instantaneous deformation and thermal expansion is assume</w:t>
      </w:r>
      <w:r>
        <w:t xml:space="preserve">d here. </w:t>
      </w:r>
      <w:r w:rsidRPr="000B5796">
        <w:t>After extension</w:t>
      </w:r>
      <w:r w:rsidR="00DD4AD2">
        <w:t>,</w:t>
      </w:r>
      <w:r w:rsidR="00CC1E0A">
        <w:t xml:space="preserve"> the lithospheric</w:t>
      </w:r>
      <w:r w:rsidRPr="000B5796">
        <w:t xml:space="preserve"> temperature field undergoes gradual </w:t>
      </w:r>
      <w:r w:rsidRPr="000B5796">
        <w:lastRenderedPageBreak/>
        <w:t xml:space="preserve">thermal recovery back to an equilibrated state. </w:t>
      </w:r>
      <w:r w:rsidR="00B13E0E" w:rsidRPr="000B5796">
        <w:t>Crustal</w:t>
      </w:r>
      <w:r w:rsidR="00B13E0E" w:rsidRPr="001466CE">
        <w:t xml:space="preserve"> density has no </w:t>
      </w:r>
      <w:r w:rsidR="00B13E0E" w:rsidRPr="00A32C32">
        <w:rPr>
          <w:i/>
        </w:rPr>
        <w:t>direct</w:t>
      </w:r>
      <w:r w:rsidR="00B13E0E" w:rsidRPr="001466CE">
        <w:t xml:space="preserve"> influence on thermal expansion or decay (</w:t>
      </w:r>
      <w:r w:rsidR="00B13E0E" w:rsidRPr="0077251F">
        <w:t>McKenzie, 1978</w:t>
      </w:r>
      <w:r w:rsidR="00B13E0E" w:rsidRPr="001466CE">
        <w:t>)</w:t>
      </w:r>
      <w:r w:rsidR="00B13E0E">
        <w:t xml:space="preserve"> and thus the severity of uplift in response to thermal perturbations does not vary significantly between granite-cored and non-granite cored crust</w:t>
      </w:r>
      <w:r w:rsidR="00B13E0E" w:rsidRPr="001466CE">
        <w:t xml:space="preserve">. </w:t>
      </w:r>
      <w:r w:rsidR="00B13E0E">
        <w:t>I</w:t>
      </w:r>
      <w:r w:rsidR="00B13E0E" w:rsidRPr="001466CE">
        <w:t xml:space="preserve">n </w:t>
      </w:r>
      <w:r w:rsidR="001F4F6D">
        <w:t>increasing the total lithospheric</w:t>
      </w:r>
      <w:r w:rsidR="00B13E0E" w:rsidRPr="001466CE">
        <w:t xml:space="preserve"> thickness (</w:t>
      </w:r>
      <w:r w:rsidR="00B13E0E" w:rsidRPr="0077251F">
        <w:t>e</w:t>
      </w:r>
      <w:r w:rsidR="005B0C0D">
        <w:t>.</w:t>
      </w:r>
      <w:r w:rsidR="00B13E0E" w:rsidRPr="0077251F">
        <w:t>g. equation 3.2</w:t>
      </w:r>
      <w:r w:rsidR="00B13E0E" w:rsidRPr="001466CE">
        <w:t xml:space="preserve">), the volume increase due to thermal expansion is </w:t>
      </w:r>
      <w:r w:rsidR="00B13E0E">
        <w:t xml:space="preserve">marginally </w:t>
      </w:r>
      <w:r w:rsidR="00B13E0E" w:rsidRPr="00641514">
        <w:t>greater</w:t>
      </w:r>
      <w:r w:rsidR="00B13E0E">
        <w:t xml:space="preserve">. </w:t>
      </w:r>
      <w:r w:rsidR="00B13E0E" w:rsidRPr="001466CE">
        <w:t>When a</w:t>
      </w:r>
      <w:r w:rsidR="00B13E0E">
        <w:t xml:space="preserve"> denudated,</w:t>
      </w:r>
      <w:r w:rsidR="00B13E0E" w:rsidRPr="001466CE">
        <w:t xml:space="preserve"> flat basement topography is modelled</w:t>
      </w:r>
      <w:r w:rsidR="00B13E0E">
        <w:t xml:space="preserve"> (</w:t>
      </w:r>
      <w:r w:rsidR="00B13E0E" w:rsidRPr="0077251F">
        <w:t>e</w:t>
      </w:r>
      <w:r w:rsidR="005B0C0D">
        <w:t>.</w:t>
      </w:r>
      <w:r w:rsidR="00B13E0E" w:rsidRPr="0077251F">
        <w:t>g. equation 3.7</w:t>
      </w:r>
      <w:r w:rsidR="00B13E0E">
        <w:t>)</w:t>
      </w:r>
      <w:r w:rsidR="00B13E0E" w:rsidRPr="001466CE">
        <w:t>, lithospher</w:t>
      </w:r>
      <w:r w:rsidR="001F4F6D">
        <w:t>ic</w:t>
      </w:r>
      <w:r w:rsidR="00B13E0E" w:rsidRPr="001466CE">
        <w:t xml:space="preserve"> thickness remains the same yet the ratio of crustal</w:t>
      </w:r>
      <w:r w:rsidR="00B13E0E">
        <w:t xml:space="preserve"> to mantle lithosphere changes. I</w:t>
      </w:r>
      <w:r w:rsidR="00B13E0E" w:rsidRPr="001466CE">
        <w:t>n each instance</w:t>
      </w:r>
      <w:r w:rsidR="0075191E">
        <w:t>,</w:t>
      </w:r>
      <w:r w:rsidR="00B13E0E" w:rsidRPr="001466CE">
        <w:t xml:space="preserve"> the co</w:t>
      </w:r>
      <w:r w:rsidR="00B13E0E">
        <w:t xml:space="preserve">ntrast in thermal expansion is rather insignificant. An additional alteration to Parsons and </w:t>
      </w:r>
      <w:proofErr w:type="spellStart"/>
      <w:r w:rsidR="00B13E0E">
        <w:t>Sclater’s</w:t>
      </w:r>
      <w:proofErr w:type="spellEnd"/>
      <w:r w:rsidR="00B13E0E">
        <w:t xml:space="preserve"> (</w:t>
      </w:r>
      <w:r w:rsidR="00B13E0E" w:rsidRPr="0077251F">
        <w:t>1977</w:t>
      </w:r>
      <w:r w:rsidR="00B13E0E">
        <w:t>) thermal time constant (</w:t>
      </w:r>
      <m:oMath>
        <m:r>
          <w:rPr>
            <w:rFonts w:ascii="Cambria Math" w:hAnsi="Cambria Math"/>
          </w:rPr>
          <m:t>τ</m:t>
        </m:r>
      </m:oMath>
      <w:r w:rsidR="00B13E0E">
        <w:rPr>
          <w:rFonts w:eastAsiaTheme="minorEastAsia"/>
        </w:rPr>
        <w:t>)</w:t>
      </w:r>
      <w:r w:rsidR="00B13E0E">
        <w:t xml:space="preserve"> </w:t>
      </w:r>
      <w:r w:rsidR="00617761">
        <w:t>is made</w:t>
      </w:r>
      <w:r w:rsidR="00617761" w:rsidRPr="0077251F">
        <w:t xml:space="preserve"> </w:t>
      </w:r>
      <w:r w:rsidR="00B13E0E" w:rsidRPr="0077251F">
        <w:t>(see equation 3.10</w:t>
      </w:r>
      <w:r w:rsidR="00B13E0E">
        <w:t>), which helps g</w:t>
      </w:r>
      <w:r w:rsidR="00617761">
        <w:t>overn the rate of thermal decay</w:t>
      </w:r>
      <w:r w:rsidR="00B13E0E">
        <w:t>. Despite this, following extension</w:t>
      </w:r>
      <w:r w:rsidR="0075191E">
        <w:t>,</w:t>
      </w:r>
      <w:r w:rsidR="00B13E0E" w:rsidRPr="00641514">
        <w:t xml:space="preserve"> granite-cored basement and non-granite-cored basement subside at largely the same rate, providing basement fill is </w:t>
      </w:r>
      <w:r w:rsidR="00B13E0E">
        <w:t xml:space="preserve">laterally </w:t>
      </w:r>
      <w:r w:rsidR="00B13E0E" w:rsidRPr="00641514">
        <w:t>consistent.</w:t>
      </w:r>
    </w:p>
    <w:p w14:paraId="298A3628" w14:textId="77777777" w:rsidR="00B13E0E" w:rsidRPr="00A32C32" w:rsidRDefault="00B13E0E" w:rsidP="009E071D">
      <w:pPr>
        <w:spacing w:line="360" w:lineRule="auto"/>
        <w:rPr>
          <w:rFonts w:eastAsiaTheme="minorEastAsia"/>
        </w:rPr>
      </w:pPr>
      <m:oMathPara>
        <m:oMath>
          <m:r>
            <w:rPr>
              <w:rFonts w:ascii="Cambria Math" w:hAnsi="Cambria Math"/>
            </w:rPr>
            <m:t>τ=</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o</m:t>
                      </m:r>
                    </m:sub>
                  </m:sSub>
                </m:e>
                <m:sup>
                  <m:r>
                    <w:rPr>
                      <w:rFonts w:ascii="Cambria Math" w:hAnsi="Cambria Math"/>
                    </w:rPr>
                    <m:t>2</m:t>
                  </m:r>
                </m:sup>
              </m:sSup>
            </m:num>
            <m:den>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×i</m:t>
              </m:r>
            </m:den>
          </m:f>
        </m:oMath>
      </m:oMathPara>
    </w:p>
    <w:p w14:paraId="364C6583" w14:textId="75687EF9" w:rsidR="00B13E0E" w:rsidRDefault="00B13E0E" w:rsidP="009E071D">
      <w:pPr>
        <w:spacing w:line="360" w:lineRule="auto"/>
        <w:jc w:val="center"/>
        <w:rPr>
          <w:rFonts w:eastAsiaTheme="minorEastAsia"/>
        </w:rPr>
      </w:pPr>
      <w:r>
        <w:rPr>
          <w:rFonts w:eastAsiaTheme="minorEastAsia"/>
        </w:rPr>
        <w:t>3.10</w:t>
      </w:r>
    </w:p>
    <w:p w14:paraId="44DC0580" w14:textId="6927C169" w:rsidR="00EF6346" w:rsidRDefault="00EF6346" w:rsidP="009E071D">
      <w:pPr>
        <w:spacing w:line="360" w:lineRule="auto"/>
      </w:pPr>
      <w:r>
        <w:rPr>
          <w:rFonts w:eastAsiaTheme="minorEastAsia"/>
        </w:rPr>
        <w:tab/>
      </w:r>
      <w:r w:rsidR="00F848C2">
        <w:rPr>
          <w:rFonts w:eastAsiaTheme="minorEastAsia"/>
        </w:rPr>
        <w:t xml:space="preserve">One-dimensional numerical modelling does not support the suggestion that a granite-cored crust can </w:t>
      </w:r>
      <w:proofErr w:type="spellStart"/>
      <w:r w:rsidR="00F848C2">
        <w:rPr>
          <w:rFonts w:eastAsiaTheme="minorEastAsia"/>
        </w:rPr>
        <w:t>isostatically</w:t>
      </w:r>
      <w:proofErr w:type="spellEnd"/>
      <w:r w:rsidR="00F848C2">
        <w:rPr>
          <w:rFonts w:eastAsiaTheme="minorEastAsia"/>
        </w:rPr>
        <w:t xml:space="preserve"> ‘resist’ subsidence during lithospheric extension. Instead, in a lithosphere with no rigidity, the generation of a high is a result of initial </w:t>
      </w:r>
      <w:r w:rsidR="00154563">
        <w:rPr>
          <w:rFonts w:eastAsiaTheme="minorEastAsia"/>
        </w:rPr>
        <w:t>isostatic compensation in response to</w:t>
      </w:r>
      <w:r w:rsidR="00F848C2">
        <w:rPr>
          <w:rFonts w:eastAsiaTheme="minorEastAsia"/>
        </w:rPr>
        <w:t xml:space="preserve"> granite emplacement</w:t>
      </w:r>
      <w:r w:rsidR="00154563">
        <w:rPr>
          <w:rFonts w:eastAsiaTheme="minorEastAsia"/>
        </w:rPr>
        <w:t xml:space="preserve"> prior to lithospheric extension</w:t>
      </w:r>
      <w:r w:rsidR="00F848C2">
        <w:rPr>
          <w:rFonts w:eastAsiaTheme="minorEastAsia"/>
        </w:rPr>
        <w:t>. The addition of sediment exaggerates any pre-existing topography.</w:t>
      </w:r>
    </w:p>
    <w:p w14:paraId="2BDF2949" w14:textId="0EFAF913" w:rsidR="00B13E0E" w:rsidRDefault="00B13E0E" w:rsidP="009E071D">
      <w:pPr>
        <w:pStyle w:val="Heading1"/>
        <w:spacing w:line="360" w:lineRule="auto"/>
      </w:pPr>
      <w:r>
        <w:t xml:space="preserve">4.0 2D </w:t>
      </w:r>
      <w:r w:rsidR="00D41649">
        <w:t>modelling of lithospher</w:t>
      </w:r>
      <w:r w:rsidR="001F4F6D">
        <w:t>ic</w:t>
      </w:r>
      <w:r w:rsidR="00D41649">
        <w:t xml:space="preserve"> extension and granite emplacement</w:t>
      </w:r>
    </w:p>
    <w:p w14:paraId="2B3F8F11" w14:textId="5B7615BC" w:rsidR="00B13E0E" w:rsidRDefault="00B13E0E" w:rsidP="009E071D">
      <w:pPr>
        <w:spacing w:line="360" w:lineRule="auto"/>
      </w:pPr>
      <w:r>
        <w:tab/>
        <w:t>The one-dimensional models prese</w:t>
      </w:r>
      <w:r w:rsidR="009B27B4">
        <w:t>nted above give</w:t>
      </w:r>
      <w:r>
        <w:t xml:space="preserve"> an indication of the isostatic and subsidence behaviour in response to gra</w:t>
      </w:r>
      <w:r w:rsidR="001F4F6D">
        <w:t>nite emplacement and lithospheric</w:t>
      </w:r>
      <w:r>
        <w:t xml:space="preserve"> extension. </w:t>
      </w:r>
      <w:r w:rsidR="0075191E">
        <w:t>In</w:t>
      </w:r>
      <w:r>
        <w:t xml:space="preserve"> </w:t>
      </w:r>
      <w:r w:rsidR="0075191E">
        <w:t>reality,</w:t>
      </w:r>
      <w:r>
        <w:t xml:space="preserve"> the lithosphere has significant elastic strength</w:t>
      </w:r>
      <w:r w:rsidR="00803014">
        <w:t xml:space="preserve"> or flexural rigidity</w:t>
      </w:r>
      <w:r>
        <w:t xml:space="preserve">; sufficient enough to prevent localised features from being </w:t>
      </w:r>
      <w:r w:rsidRPr="009A7284">
        <w:rPr>
          <w:i/>
        </w:rPr>
        <w:t xml:space="preserve">completely </w:t>
      </w:r>
      <w:r>
        <w:t>compensated for (</w:t>
      </w:r>
      <w:r w:rsidRPr="0077251F">
        <w:t>Watts, 2001</w:t>
      </w:r>
      <w:r>
        <w:t>).</w:t>
      </w:r>
      <w:r w:rsidR="00BF1528">
        <w:t xml:space="preserve"> The conceptual 2D </w:t>
      </w:r>
      <w:r w:rsidR="00617761">
        <w:t xml:space="preserve">pure shear </w:t>
      </w:r>
      <w:r w:rsidR="00BF1528">
        <w:t>model presented here calculates the flexural response to the various loads imposed on the lithosphere. These loads include tectonically derived loads, sediment infill and the load</w:t>
      </w:r>
      <w:r w:rsidR="006308CA">
        <w:t>ing</w:t>
      </w:r>
      <w:r w:rsidR="00BF1528">
        <w:t xml:space="preserve"> imposed due to granite emplacement. </w:t>
      </w:r>
      <w:r w:rsidR="00BF1528" w:rsidRPr="000B5796">
        <w:t>Both lateral and vertical heat fluxes due to conduction are calculated within the model</w:t>
      </w:r>
      <w:r w:rsidR="00617761">
        <w:t xml:space="preserve"> (e</w:t>
      </w:r>
      <w:r w:rsidR="00FF3C7A">
        <w:t>.</w:t>
      </w:r>
      <w:r w:rsidR="00617761">
        <w:t>g. Meredith and Egan, 2002)</w:t>
      </w:r>
      <w:r w:rsidR="00BF1528" w:rsidRPr="000B5796">
        <w:t>.</w:t>
      </w:r>
    </w:p>
    <w:p w14:paraId="406045D5" w14:textId="6F91D2AD" w:rsidR="00B13E0E" w:rsidRDefault="00B13E0E" w:rsidP="009E071D">
      <w:pPr>
        <w:pStyle w:val="Heading3"/>
        <w:spacing w:line="360" w:lineRule="auto"/>
      </w:pPr>
      <w:r>
        <w:t xml:space="preserve">4.1 </w:t>
      </w:r>
      <w:r w:rsidR="00450A87">
        <w:t>The flexural isostatic implications of granite e</w:t>
      </w:r>
      <w:r>
        <w:t>mplacement</w:t>
      </w:r>
    </w:p>
    <w:p w14:paraId="4863E13B" w14:textId="30AADE62" w:rsidR="00B13E0E" w:rsidRDefault="00B13E0E" w:rsidP="009E071D">
      <w:pPr>
        <w:spacing w:line="360" w:lineRule="auto"/>
        <w:ind w:firstLine="720"/>
      </w:pPr>
      <w:r>
        <w:t xml:space="preserve">Assuming </w:t>
      </w:r>
      <w:r w:rsidR="00450A87">
        <w:t xml:space="preserve">the </w:t>
      </w:r>
      <w:r>
        <w:t xml:space="preserve">lithosphere </w:t>
      </w:r>
      <w:r w:rsidR="00450A87">
        <w:t>has a finite flexural rigidity</w:t>
      </w:r>
      <w:r w:rsidR="00E164AF">
        <w:t>, figure 6</w:t>
      </w:r>
      <w:r>
        <w:t xml:space="preserve"> illustrates the flexural responses to the </w:t>
      </w:r>
      <w:r w:rsidR="00450A87">
        <w:t xml:space="preserve">emplacement </w:t>
      </w:r>
      <w:r>
        <w:t>of a 5</w:t>
      </w:r>
      <w:r w:rsidR="008675D1">
        <w:t xml:space="preserve"> </w:t>
      </w:r>
      <w:r>
        <w:t>km deep by 15</w:t>
      </w:r>
      <w:r w:rsidR="008675D1">
        <w:t xml:space="preserve"> </w:t>
      </w:r>
      <w:r>
        <w:t xml:space="preserve">km wide granite body into a lithosphere with </w:t>
      </w:r>
      <w:r w:rsidR="00E85571">
        <w:t xml:space="preserve">varying </w:t>
      </w:r>
      <w:r>
        <w:t>elastic thicknesses</w:t>
      </w:r>
      <w:r w:rsidR="00130E1A">
        <w:t xml:space="preserve"> (</w:t>
      </w:r>
      <m:oMath>
        <m:r>
          <w:rPr>
            <w:rFonts w:ascii="Cambria Math" w:hAnsi="Cambria Math"/>
          </w:rPr>
          <m:t>Te</m:t>
        </m:r>
      </m:oMath>
      <w:r w:rsidR="00130E1A">
        <w:t>)</w:t>
      </w:r>
      <w:r>
        <w:t xml:space="preserve">. The local (Airy) isostatic response represents a lithosphere with an </w:t>
      </w:r>
      <w:r>
        <w:lastRenderedPageBreak/>
        <w:t>elastic thickness of zero kilometres. The resulting topography imitates that of the granite body at d</w:t>
      </w:r>
      <w:r w:rsidR="001F4F6D">
        <w:t>epth. To incorporate lithospheric</w:t>
      </w:r>
      <w:r>
        <w:t xml:space="preserve"> flexure, the </w:t>
      </w:r>
      <w:r w:rsidR="00E25BD0">
        <w:t>solution</w:t>
      </w:r>
      <w:r>
        <w:t xml:space="preserve"> representing the local isostatic response of the lithosphere </w:t>
      </w:r>
      <w:r w:rsidR="0075191E">
        <w:t>presented previously (</w:t>
      </w:r>
      <w:r w:rsidR="00E25BD0">
        <w:t>2.5</w:t>
      </w:r>
      <w:r w:rsidR="0075191E">
        <w:t xml:space="preserve">) </w:t>
      </w:r>
      <w:r w:rsidR="00E25BD0">
        <w:t>is</w:t>
      </w:r>
      <w:r>
        <w:t xml:space="preserve"> rearranged and solved using </w:t>
      </w:r>
      <w:r w:rsidR="00450A87">
        <w:t xml:space="preserve">a </w:t>
      </w:r>
      <w:r>
        <w:t>Fast Fourier Transform</w:t>
      </w:r>
      <w:r w:rsidR="00450A87">
        <w:t xml:space="preserve"> technique</w:t>
      </w:r>
      <w:r>
        <w:t xml:space="preserve"> (</w:t>
      </w:r>
      <w:r w:rsidR="001C79DB">
        <w:t>Cooley and Tuk</w:t>
      </w:r>
      <w:r w:rsidRPr="0077251F">
        <w:t>ey, 1965; Watts, 2001</w:t>
      </w:r>
      <w:r>
        <w:t xml:space="preserve">). </w:t>
      </w:r>
      <w:r w:rsidR="00617761">
        <w:t>W</w:t>
      </w:r>
      <w:r>
        <w:t>here the flexural response to a density deficiency</w:t>
      </w:r>
      <w:r w:rsidR="003F6929">
        <w:t xml:space="preserve"> </w:t>
      </w:r>
      <w:r>
        <w:t>in the crust</w:t>
      </w:r>
      <w:r w:rsidR="003F6929">
        <w:t>, and not thermal expansion,</w:t>
      </w:r>
      <w:r>
        <w:t xml:space="preserve"> due to granite emplacement is modelled, the load at a given point (</w:t>
      </w:r>
      <m:oMath>
        <m:r>
          <w:rPr>
            <w:rFonts w:ascii="Cambria Math" w:hAnsi="Cambria Math"/>
          </w:rPr>
          <m:t>x</m:t>
        </m:r>
      </m:oMath>
      <w:r>
        <w:t>) can be given by:</w:t>
      </w:r>
    </w:p>
    <w:p w14:paraId="3AC48101" w14:textId="77777777" w:rsidR="00B13E0E" w:rsidRPr="00BD041C" w:rsidRDefault="002B6EBB" w:rsidP="009E071D">
      <w:pPr>
        <w:spacing w:line="360" w:lineRule="auto"/>
        <w:rPr>
          <w:rFonts w:eastAsiaTheme="minorEastAsia"/>
        </w:rPr>
      </w:pPr>
      <m:oMathPara>
        <m:oMath>
          <m:sSub>
            <m:sSubPr>
              <m:ctrlPr>
                <w:rPr>
                  <w:rFonts w:ascii="Cambria Math" w:hAnsi="Cambria Math"/>
                  <w:i/>
                </w:rPr>
              </m:ctrlPr>
            </m:sSubPr>
            <m:e>
              <m:r>
                <w:rPr>
                  <w:rFonts w:ascii="Cambria Math" w:hAnsi="Cambria Math"/>
                </w:rPr>
                <m:t>Load</m:t>
              </m:r>
            </m:e>
            <m:sub>
              <m:r>
                <w:rPr>
                  <w:rFonts w:ascii="Cambria Math" w:hAnsi="Cambria Math"/>
                </w:rPr>
                <m:t>(x)</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GR</m:t>
                  </m:r>
                </m:e>
                <m:sub>
                  <m:r>
                    <w:rPr>
                      <w:rFonts w:ascii="Cambria Math" w:hAnsi="Cambria Math"/>
                    </w:rPr>
                    <m:t>(x)</m:t>
                  </m:r>
                </m:sub>
              </m:sSub>
              <m:r>
                <w:rPr>
                  <w:rFonts w:ascii="Cambria Math" w:hAnsi="Cambria Math"/>
                </w:rPr>
                <m:t>×1000</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c</m:t>
                  </m:r>
                </m:sub>
              </m:sSub>
            </m:e>
          </m:d>
          <m:r>
            <w:rPr>
              <w:rFonts w:ascii="Cambria Math" w:hAnsi="Cambria Math"/>
            </w:rPr>
            <m:t>×g</m:t>
          </m:r>
        </m:oMath>
      </m:oMathPara>
    </w:p>
    <w:p w14:paraId="1F95E4C6" w14:textId="77777777" w:rsidR="00B13E0E" w:rsidRPr="00467491" w:rsidRDefault="00B13E0E" w:rsidP="009E071D">
      <w:pPr>
        <w:spacing w:line="360" w:lineRule="auto"/>
        <w:jc w:val="center"/>
        <w:rPr>
          <w:rFonts w:eastAsiaTheme="minorEastAsia"/>
        </w:rPr>
      </w:pPr>
      <w:r>
        <w:rPr>
          <w:rFonts w:eastAsiaTheme="minorEastAsia"/>
        </w:rPr>
        <w:t>4.1</w:t>
      </w:r>
    </w:p>
    <w:p w14:paraId="54763880" w14:textId="14BE7DFF" w:rsidR="00B13E0E" w:rsidRDefault="00B13E0E" w:rsidP="009E071D">
      <w:pPr>
        <w:spacing w:line="360" w:lineRule="auto"/>
        <w:rPr>
          <w:rFonts w:eastAsiaTheme="minorEastAsia"/>
        </w:rPr>
      </w:pPr>
      <w:r>
        <w:rPr>
          <w:rFonts w:eastAsiaTheme="minorEastAsia"/>
        </w:rPr>
        <w:tab/>
        <w:t xml:space="preserve">Before </w:t>
      </w:r>
      <w:r w:rsidR="00450A87">
        <w:rPr>
          <w:rFonts w:eastAsiaTheme="minorEastAsia"/>
        </w:rPr>
        <w:t xml:space="preserve">calculating </w:t>
      </w:r>
      <w:r>
        <w:rPr>
          <w:rFonts w:eastAsiaTheme="minorEastAsia"/>
        </w:rPr>
        <w:t>the flexural response to this load</w:t>
      </w:r>
      <w:r w:rsidR="00450A87">
        <w:rPr>
          <w:rFonts w:eastAsiaTheme="minorEastAsia"/>
        </w:rPr>
        <w:t>,</w:t>
      </w:r>
      <w:r>
        <w:rPr>
          <w:rFonts w:eastAsiaTheme="minorEastAsia"/>
        </w:rPr>
        <w:t xml:space="preserve"> the flexural rigidity </w:t>
      </w:r>
      <w:r w:rsidR="00450A87">
        <w:rPr>
          <w:rFonts w:eastAsiaTheme="minorEastAsia"/>
        </w:rPr>
        <w:t xml:space="preserve">of the lithosphere </w:t>
      </w:r>
      <w:r>
        <w:rPr>
          <w:rFonts w:eastAsiaTheme="minorEastAsia"/>
        </w:rPr>
        <w:t>must be defined. Flexural rigidity (</w:t>
      </w:r>
      <m:oMath>
        <m:r>
          <w:rPr>
            <w:rFonts w:ascii="Cambria Math" w:eastAsiaTheme="minorEastAsia" w:hAnsi="Cambria Math"/>
          </w:rPr>
          <m:t>D</m:t>
        </m:r>
      </m:oMath>
      <w:r>
        <w:rPr>
          <w:rFonts w:eastAsiaTheme="minorEastAsia"/>
        </w:rPr>
        <w:t>) is proportional to the elastic thickness</w:t>
      </w:r>
      <w:r w:rsidR="00130E1A">
        <w:rPr>
          <w:rFonts w:eastAsiaTheme="minorEastAsia"/>
        </w:rPr>
        <w:t xml:space="preserve"> (</w:t>
      </w:r>
      <m:oMath>
        <m:r>
          <w:rPr>
            <w:rFonts w:ascii="Cambria Math" w:eastAsiaTheme="minorEastAsia" w:hAnsi="Cambria Math"/>
          </w:rPr>
          <m:t>Te</m:t>
        </m:r>
      </m:oMath>
      <w:r w:rsidR="00130E1A">
        <w:rPr>
          <w:rFonts w:eastAsiaTheme="minorEastAsia"/>
        </w:rPr>
        <w:t>)</w:t>
      </w:r>
      <w:r>
        <w:rPr>
          <w:rFonts w:eastAsiaTheme="minorEastAsia"/>
        </w:rPr>
        <w:t xml:space="preserve"> of the lithosphere </w:t>
      </w:r>
      <w:r w:rsidR="00FB0451">
        <w:rPr>
          <w:rFonts w:eastAsiaTheme="minorEastAsia"/>
        </w:rPr>
        <w:t>(</w:t>
      </w:r>
      <w:r w:rsidR="00977372" w:rsidRPr="00EC5F46">
        <w:rPr>
          <w:rFonts w:eastAsiaTheme="minorEastAsia"/>
          <w:i/>
        </w:rPr>
        <w:t>cf.</w:t>
      </w:r>
      <w:r w:rsidR="00977372">
        <w:rPr>
          <w:rFonts w:eastAsiaTheme="minorEastAsia"/>
        </w:rPr>
        <w:t xml:space="preserve"> </w:t>
      </w:r>
      <w:r w:rsidR="0066656A">
        <w:rPr>
          <w:rFonts w:eastAsiaTheme="minorEastAsia"/>
        </w:rPr>
        <w:t>Watts, 2001</w:t>
      </w:r>
      <w:r w:rsidR="00FB0451">
        <w:rPr>
          <w:rFonts w:eastAsiaTheme="minorEastAsia"/>
        </w:rPr>
        <w:t>)</w:t>
      </w:r>
      <w:r>
        <w:rPr>
          <w:rFonts w:eastAsiaTheme="minorEastAsia"/>
        </w:rPr>
        <w:t>:</w:t>
      </w:r>
    </w:p>
    <w:p w14:paraId="566265A8" w14:textId="77777777" w:rsidR="00B13E0E" w:rsidRPr="00BD041C" w:rsidRDefault="00B13E0E" w:rsidP="009E071D">
      <w:pPr>
        <w:spacing w:line="360" w:lineRule="auto"/>
        <w:rPr>
          <w:rFonts w:eastAsiaTheme="minorEastAsia"/>
        </w:rPr>
      </w:pPr>
      <m:oMathPara>
        <m:oMath>
          <m:r>
            <w:rPr>
              <w:rFonts w:ascii="Cambria Math" w:eastAsiaTheme="minorEastAsia" w:hAnsi="Cambria Math"/>
            </w:rPr>
            <m:t>D=</m:t>
          </m:r>
          <m:f>
            <m:fPr>
              <m:ctrlPr>
                <w:rPr>
                  <w:rFonts w:ascii="Cambria Math" w:eastAsiaTheme="minorEastAsia" w:hAnsi="Cambria Math"/>
                  <w:i/>
                </w:rPr>
              </m:ctrlPr>
            </m:fPr>
            <m:num>
              <m:r>
                <w:rPr>
                  <w:rFonts w:ascii="Cambria Math" w:eastAsiaTheme="minorEastAsia" w:hAnsi="Cambria Math"/>
                </w:rPr>
                <m:t>E×</m:t>
              </m:r>
              <m:sSup>
                <m:sSupPr>
                  <m:ctrlPr>
                    <w:rPr>
                      <w:rFonts w:ascii="Cambria Math" w:eastAsiaTheme="minorEastAsia" w:hAnsi="Cambria Math"/>
                      <w:i/>
                    </w:rPr>
                  </m:ctrlPr>
                </m:sSupPr>
                <m:e>
                  <m:r>
                    <w:rPr>
                      <w:rFonts w:ascii="Cambria Math" w:eastAsiaTheme="minorEastAsia" w:hAnsi="Cambria Math"/>
                    </w:rPr>
                    <m:t>Te</m:t>
                  </m:r>
                </m:e>
                <m:sup>
                  <m:r>
                    <w:rPr>
                      <w:rFonts w:ascii="Cambria Math" w:eastAsiaTheme="minorEastAsia" w:hAnsi="Cambria Math"/>
                    </w:rPr>
                    <m:t>3</m:t>
                  </m:r>
                </m:sup>
              </m:sSup>
            </m:num>
            <m:den>
              <m:r>
                <w:rPr>
                  <w:rFonts w:ascii="Cambria Math" w:eastAsiaTheme="minorEastAsia" w:hAnsi="Cambria Math"/>
                </w:rPr>
                <m:t>12</m:t>
              </m:r>
              <m:d>
                <m:dPr>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e>
              </m:d>
            </m:den>
          </m:f>
        </m:oMath>
      </m:oMathPara>
    </w:p>
    <w:p w14:paraId="17E2D219" w14:textId="77777777" w:rsidR="00B13E0E" w:rsidRPr="00F65E6B" w:rsidRDefault="00B13E0E" w:rsidP="009E071D">
      <w:pPr>
        <w:spacing w:line="360" w:lineRule="auto"/>
        <w:jc w:val="center"/>
        <w:rPr>
          <w:rFonts w:eastAsiaTheme="minorEastAsia"/>
        </w:rPr>
      </w:pPr>
      <w:r>
        <w:rPr>
          <w:rFonts w:eastAsiaTheme="minorEastAsia"/>
        </w:rPr>
        <w:t>4.2</w:t>
      </w:r>
    </w:p>
    <w:p w14:paraId="6F4E9090" w14:textId="3FAF6201" w:rsidR="00A31077" w:rsidRDefault="00A31077" w:rsidP="009E071D">
      <w:pPr>
        <w:spacing w:line="360" w:lineRule="auto"/>
        <w:rPr>
          <w:rFonts w:eastAsiaTheme="minorEastAsia"/>
        </w:rPr>
      </w:pPr>
      <w:r>
        <w:rPr>
          <w:rFonts w:eastAsiaTheme="minorEastAsia"/>
        </w:rPr>
        <w:t xml:space="preserve">Where </w:t>
      </w:r>
      <m:oMath>
        <m:r>
          <w:rPr>
            <w:rFonts w:ascii="Cambria Math" w:eastAsiaTheme="minorEastAsia" w:hAnsi="Cambria Math"/>
          </w:rPr>
          <m:t>E</m:t>
        </m:r>
      </m:oMath>
      <w:r>
        <w:rPr>
          <w:rFonts w:eastAsiaTheme="minorEastAsia"/>
        </w:rPr>
        <w:t xml:space="preserve"> is Young’s modulus and </w:t>
      </w:r>
      <m:oMath>
        <m:r>
          <w:rPr>
            <w:rFonts w:ascii="Cambria Math" w:eastAsiaTheme="minorEastAsia" w:hAnsi="Cambria Math"/>
          </w:rPr>
          <m:t>v</m:t>
        </m:r>
      </m:oMath>
      <w:r w:rsidR="005246C0">
        <w:rPr>
          <w:rFonts w:eastAsiaTheme="minorEastAsia"/>
        </w:rPr>
        <w:t xml:space="preserve"> represents Poisson’s ratio.</w:t>
      </w:r>
    </w:p>
    <w:p w14:paraId="73A2CA6B" w14:textId="4FFE8463" w:rsidR="00B13E0E" w:rsidRDefault="00B13E0E" w:rsidP="009E071D">
      <w:pPr>
        <w:spacing w:line="360" w:lineRule="auto"/>
        <w:rPr>
          <w:rFonts w:eastAsiaTheme="minorEastAsia"/>
        </w:rPr>
      </w:pPr>
      <w:r>
        <w:rPr>
          <w:rFonts w:eastAsiaTheme="minorEastAsia"/>
        </w:rPr>
        <w:t>Within the frequency domain the flexural response (</w:t>
      </w:r>
      <m:oMath>
        <m:r>
          <w:rPr>
            <w:rFonts w:ascii="Cambria Math" w:hAnsi="Cambria Math"/>
          </w:rPr>
          <m:t>resp</m:t>
        </m:r>
      </m:oMath>
      <w:r>
        <w:rPr>
          <w:rFonts w:eastAsiaTheme="minorEastAsia"/>
        </w:rPr>
        <w:t>) to this load can be determined by:</w:t>
      </w:r>
    </w:p>
    <w:p w14:paraId="473C53B2" w14:textId="77777777" w:rsidR="00B13E0E" w:rsidRPr="00BD041C" w:rsidRDefault="00B13E0E" w:rsidP="009E071D">
      <w:pPr>
        <w:spacing w:line="360" w:lineRule="auto"/>
        <w:rPr>
          <w:rFonts w:eastAsiaTheme="minorEastAsia"/>
        </w:rPr>
      </w:pPr>
      <m:oMathPara>
        <m:oMath>
          <m:r>
            <w:rPr>
              <w:rFonts w:ascii="Cambria Math" w:hAnsi="Cambria Math"/>
            </w:rPr>
            <m:t>resp=</m:t>
          </m:r>
          <m:f>
            <m:fPr>
              <m:ctrlPr>
                <w:rPr>
                  <w:rFonts w:ascii="Cambria Math" w:hAnsi="Cambria Math"/>
                  <w:i/>
                </w:rPr>
              </m:ctrlPr>
            </m:fPr>
            <m:num>
              <m:sSub>
                <m:sSubPr>
                  <m:ctrlPr>
                    <w:rPr>
                      <w:rFonts w:ascii="Cambria Math" w:hAnsi="Cambria Math"/>
                      <w:i/>
                    </w:rPr>
                  </m:ctrlPr>
                </m:sSubPr>
                <m:e>
                  <m:r>
                    <w:rPr>
                      <w:rFonts w:ascii="Cambria Math" w:hAnsi="Cambria Math"/>
                    </w:rPr>
                    <m:t>Load</m:t>
                  </m:r>
                </m:e>
                <m:sub>
                  <m:r>
                    <w:rPr>
                      <w:rFonts w:ascii="Cambria Math" w:hAnsi="Cambria Math"/>
                    </w:rPr>
                    <m:t>(x)</m:t>
                  </m:r>
                </m:sub>
              </m:sSub>
            </m:num>
            <m:den>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×g</m:t>
                  </m:r>
                </m:e>
              </m:d>
              <m:r>
                <w:rPr>
                  <w:rFonts w:ascii="Cambria Math" w:hAnsi="Cambria Math"/>
                </w:rPr>
                <m:t>+</m:t>
              </m:r>
              <m:d>
                <m:dPr>
                  <m:ctrlPr>
                    <w:rPr>
                      <w:rFonts w:ascii="Cambria Math" w:hAnsi="Cambria Math"/>
                      <w:i/>
                    </w:rPr>
                  </m:ctrlPr>
                </m:dPr>
                <m:e>
                  <m:r>
                    <w:rPr>
                      <w:rFonts w:ascii="Cambria Math" w:hAnsi="Cambria Math"/>
                    </w:rPr>
                    <m:t>D+</m:t>
                  </m:r>
                  <m:sSub>
                    <m:sSubPr>
                      <m:ctrlPr>
                        <w:rPr>
                          <w:rFonts w:ascii="Cambria Math" w:hAnsi="Cambria Math"/>
                          <w:i/>
                        </w:rPr>
                      </m:ctrlPr>
                    </m:sSubPr>
                    <m:e>
                      <m:r>
                        <w:rPr>
                          <w:rFonts w:ascii="Cambria Math" w:hAnsi="Cambria Math"/>
                        </w:rPr>
                        <m:t>resp</m:t>
                      </m:r>
                    </m:e>
                    <m:sub>
                      <m:r>
                        <w:rPr>
                          <w:rFonts w:ascii="Cambria Math" w:hAnsi="Cambria Math"/>
                        </w:rPr>
                        <m:t>1</m:t>
                      </m:r>
                    </m:sub>
                  </m:sSub>
                </m:e>
              </m:d>
            </m:den>
          </m:f>
        </m:oMath>
      </m:oMathPara>
    </w:p>
    <w:p w14:paraId="7063B1FF" w14:textId="77777777" w:rsidR="00B13E0E" w:rsidRPr="005E7193" w:rsidRDefault="00B13E0E" w:rsidP="009E071D">
      <w:pPr>
        <w:spacing w:line="360" w:lineRule="auto"/>
        <w:jc w:val="center"/>
        <w:rPr>
          <w:rFonts w:eastAsiaTheme="minorEastAsia"/>
        </w:rPr>
      </w:pPr>
      <w:r>
        <w:rPr>
          <w:rFonts w:eastAsiaTheme="minorEastAsia"/>
        </w:rPr>
        <w:t>4.3</w:t>
      </w:r>
    </w:p>
    <w:p w14:paraId="3BB077C7" w14:textId="095328BB" w:rsidR="00B13E0E" w:rsidRPr="00BD041C" w:rsidRDefault="002B6EBB" w:rsidP="009E071D">
      <w:pPr>
        <w:spacing w:line="360" w:lineRule="auto"/>
        <w:rPr>
          <w:rFonts w:eastAsiaTheme="minorEastAsia"/>
        </w:rPr>
      </w:pPr>
      <m:oMathPara>
        <m:oMath>
          <m:sSub>
            <m:sSubPr>
              <m:ctrlPr>
                <w:rPr>
                  <w:rFonts w:ascii="Cambria Math" w:hAnsi="Cambria Math"/>
                  <w:i/>
                </w:rPr>
              </m:ctrlPr>
            </m:sSubPr>
            <m:e>
              <m:r>
                <w:rPr>
                  <w:rFonts w:ascii="Cambria Math" w:hAnsi="Cambria Math"/>
                </w:rPr>
                <m:t>resp</m:t>
              </m:r>
            </m:e>
            <m:sub>
              <m:r>
                <w:rPr>
                  <w:rFonts w:ascii="Cambria Math" w:hAnsi="Cambria Math"/>
                </w:rPr>
                <m:t>1</m:t>
              </m:r>
            </m:sub>
          </m:sSub>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2×π×k</m:t>
                      </m:r>
                    </m:num>
                    <m:den>
                      <m:r>
                        <w:rPr>
                          <w:rFonts w:ascii="Cambria Math" w:hAnsi="Cambria Math"/>
                        </w:rPr>
                        <m:t>N×2×1000</m:t>
                      </m:r>
                    </m:den>
                  </m:f>
                </m:e>
              </m:d>
            </m:e>
            <m:sup>
              <m:r>
                <w:rPr>
                  <w:rFonts w:ascii="Cambria Math" w:hAnsi="Cambria Math"/>
                </w:rPr>
                <m:t>4</m:t>
              </m:r>
            </m:sup>
          </m:sSup>
        </m:oMath>
      </m:oMathPara>
    </w:p>
    <w:p w14:paraId="1321A1C0" w14:textId="7B6DDC65" w:rsidR="00A31077" w:rsidRDefault="00482C84" w:rsidP="009E071D">
      <w:pPr>
        <w:spacing w:line="360" w:lineRule="auto"/>
        <w:jc w:val="center"/>
        <w:rPr>
          <w:rFonts w:eastAsiaTheme="minorEastAsia"/>
        </w:rPr>
      </w:pPr>
      <w:r>
        <w:rPr>
          <w:rFonts w:eastAsiaTheme="minorEastAsia"/>
        </w:rPr>
        <w:t>4.4</w:t>
      </w:r>
    </w:p>
    <w:p w14:paraId="1BC721E5" w14:textId="4D5AB76B" w:rsidR="000301D5" w:rsidRPr="002353D4" w:rsidRDefault="000301D5" w:rsidP="009E071D">
      <w:pPr>
        <w:spacing w:line="360" w:lineRule="auto"/>
        <w:rPr>
          <w:rFonts w:eastAsiaTheme="minorEastAsia"/>
        </w:rPr>
      </w:pPr>
      <w:r>
        <w:rPr>
          <w:rFonts w:eastAsiaTheme="minorEastAsia"/>
        </w:rPr>
        <w:t xml:space="preserve">Where </w:t>
      </w:r>
      <m:oMath>
        <m:r>
          <w:rPr>
            <w:rFonts w:ascii="Cambria Math" w:eastAsiaTheme="minorEastAsia" w:hAnsi="Cambria Math"/>
          </w:rPr>
          <m:t>k</m:t>
        </m:r>
      </m:oMath>
      <w:r>
        <w:rPr>
          <w:rFonts w:eastAsiaTheme="minorEastAsia"/>
        </w:rPr>
        <w:t xml:space="preserve"> is the wave number and </w:t>
      </w:r>
      <m:oMath>
        <m:r>
          <w:rPr>
            <w:rFonts w:ascii="Cambria Math" w:eastAsiaTheme="minorEastAsia" w:hAnsi="Cambria Math"/>
          </w:rPr>
          <m:t>N</m:t>
        </m:r>
      </m:oMath>
      <w:r>
        <w:rPr>
          <w:rFonts w:eastAsiaTheme="minorEastAsia"/>
        </w:rPr>
        <w:t xml:space="preserve"> is the width of the profile.</w:t>
      </w:r>
    </w:p>
    <w:p w14:paraId="3AE7F307" w14:textId="30998597" w:rsidR="00B13E0E" w:rsidRDefault="00B13E0E" w:rsidP="009E071D">
      <w:pPr>
        <w:spacing w:line="360" w:lineRule="auto"/>
        <w:ind w:firstLine="720"/>
      </w:pPr>
      <w:r>
        <w:t>As elastic thickness</w:t>
      </w:r>
      <w:r w:rsidR="00130E1A">
        <w:t xml:space="preserve"> (</w:t>
      </w:r>
      <m:oMath>
        <m:r>
          <w:rPr>
            <w:rFonts w:ascii="Cambria Math" w:hAnsi="Cambria Math"/>
          </w:rPr>
          <m:t>Te</m:t>
        </m:r>
      </m:oMath>
      <w:r w:rsidR="00130E1A">
        <w:t>)</w:t>
      </w:r>
      <w:r>
        <w:t xml:space="preserve"> incre</w:t>
      </w:r>
      <w:r w:rsidR="00617761">
        <w:t>ases, maximum uplift decreases</w:t>
      </w:r>
      <w:r w:rsidR="00FB0451">
        <w:t xml:space="preserve"> </w:t>
      </w:r>
      <w:r>
        <w:t xml:space="preserve">at a rapid rate at first which then decays exponentially with increased </w:t>
      </w:r>
      <w:proofErr w:type="spellStart"/>
      <w:r w:rsidR="000301D5">
        <w:t>Te</w:t>
      </w:r>
      <w:proofErr w:type="spellEnd"/>
      <w:r w:rsidR="00FB0451">
        <w:t>; however, the width or wavelength of the flexural deflection increases</w:t>
      </w:r>
      <w:r w:rsidR="00E164AF">
        <w:t xml:space="preserve"> (Fig. 6</w:t>
      </w:r>
      <w:r w:rsidR="005B5F04">
        <w:t>)</w:t>
      </w:r>
      <w:r>
        <w:t>. With an elastic thickness of 10</w:t>
      </w:r>
      <w:r w:rsidR="00060115">
        <w:t xml:space="preserve"> </w:t>
      </w:r>
      <w:r>
        <w:t>km, maximum uplift is ~64 metres compared with an Airy isostatic response of ~258 metres.</w:t>
      </w:r>
      <w:r w:rsidR="00A36028">
        <w:t xml:space="preserve"> </w:t>
      </w:r>
      <w:r w:rsidR="005246C0">
        <w:t>However</w:t>
      </w:r>
      <w:r w:rsidR="00A36028">
        <w:t xml:space="preserve">, the width of the flexural uplift increases to approximately </w:t>
      </w:r>
      <w:r w:rsidR="008D7E1E">
        <w:t xml:space="preserve">120 km for an elastic thickness of 10 km compared to 15 km for Airy isostasy, which matches the width of the granite body. </w:t>
      </w:r>
      <w:r w:rsidR="003F6929">
        <w:t>Various authors have pointed out that flexural stress can be relaxed over time since the lithosphere acts as a viscoelastic material (</w:t>
      </w:r>
      <w:r w:rsidR="003F6929" w:rsidRPr="00641C65">
        <w:t xml:space="preserve">Stein et </w:t>
      </w:r>
      <w:r w:rsidR="003F6929" w:rsidRPr="00641C65">
        <w:lastRenderedPageBreak/>
        <w:t xml:space="preserve">al., 1989; Watts and </w:t>
      </w:r>
      <w:proofErr w:type="spellStart"/>
      <w:r w:rsidR="003F6929" w:rsidRPr="00641C65">
        <w:t>Zhong</w:t>
      </w:r>
      <w:proofErr w:type="spellEnd"/>
      <w:r w:rsidR="003F6929" w:rsidRPr="00641C65">
        <w:t>, 2000</w:t>
      </w:r>
      <w:r w:rsidR="003F6929">
        <w:t>) and that elastic thickness can vary according to the thermal state of the lithosphere (</w:t>
      </w:r>
      <w:proofErr w:type="spellStart"/>
      <w:r w:rsidR="003F6929" w:rsidRPr="00641C65">
        <w:t>Burov</w:t>
      </w:r>
      <w:proofErr w:type="spellEnd"/>
      <w:r w:rsidR="003F6929" w:rsidRPr="00641C65">
        <w:t xml:space="preserve"> and </w:t>
      </w:r>
      <w:proofErr w:type="spellStart"/>
      <w:r w:rsidR="003F6929" w:rsidRPr="00641C65">
        <w:t>Diament</w:t>
      </w:r>
      <w:proofErr w:type="spellEnd"/>
      <w:r w:rsidR="003F6929" w:rsidRPr="00641C65">
        <w:t>, 1995</w:t>
      </w:r>
      <w:r w:rsidR="003F6929">
        <w:t xml:space="preserve">). </w:t>
      </w:r>
      <w:r w:rsidR="00B948B6">
        <w:t xml:space="preserve">Nevertheless, </w:t>
      </w:r>
      <w:r w:rsidR="005246C0">
        <w:t>the</w:t>
      </w:r>
      <w:r>
        <w:t xml:space="preserve"> incorporation of flexure within a two-dimensional model</w:t>
      </w:r>
      <w:r w:rsidR="005246C0">
        <w:t xml:space="preserve"> </w:t>
      </w:r>
      <w:r>
        <w:t xml:space="preserve">significantly limits the influence of a granite body on basement topography. </w:t>
      </w:r>
      <w:r w:rsidR="00617761">
        <w:t>Therefore, t</w:t>
      </w:r>
      <w:r>
        <w:t>he implicatio</w:t>
      </w:r>
      <w:r w:rsidR="00617761">
        <w:t>ns of incorporating flexure</w:t>
      </w:r>
      <w:r>
        <w:t xml:space="preserve"> include limiting</w:t>
      </w:r>
      <w:r w:rsidR="00617761">
        <w:t xml:space="preserve"> </w:t>
      </w:r>
      <w:r w:rsidR="00324D0C">
        <w:t xml:space="preserve">isostatic </w:t>
      </w:r>
      <w:r w:rsidR="00856C6D">
        <w:t xml:space="preserve">uplift and therefore also </w:t>
      </w:r>
      <w:r w:rsidR="00B948B6">
        <w:t xml:space="preserve">limiting </w:t>
      </w:r>
      <w:r>
        <w:t xml:space="preserve">the potential influence of pre-extensional erosion </w:t>
      </w:r>
      <w:r w:rsidR="00617761">
        <w:t>and</w:t>
      </w:r>
      <w:r>
        <w:t xml:space="preserve"> differential loading.</w:t>
      </w:r>
    </w:p>
    <w:p w14:paraId="6F632A15" w14:textId="65C04961" w:rsidR="00B13E0E" w:rsidRDefault="00B13E0E" w:rsidP="009E071D">
      <w:pPr>
        <w:pStyle w:val="Heading3"/>
        <w:spacing w:line="360" w:lineRule="auto"/>
      </w:pPr>
      <w:r>
        <w:t xml:space="preserve">4.2 </w:t>
      </w:r>
      <w:r w:rsidR="008D7E1E">
        <w:t>The</w:t>
      </w:r>
      <w:r w:rsidR="001F4F6D">
        <w:t xml:space="preserve"> interaction between lithospheric</w:t>
      </w:r>
      <w:r w:rsidR="008D7E1E">
        <w:t xml:space="preserve"> extension and granite emplacement.</w:t>
      </w:r>
    </w:p>
    <w:p w14:paraId="1946FB2D" w14:textId="673C57CC" w:rsidR="003949A0" w:rsidRPr="003949A0" w:rsidRDefault="003949A0" w:rsidP="009E071D">
      <w:pPr>
        <w:spacing w:line="360" w:lineRule="auto"/>
      </w:pPr>
      <w:r>
        <w:tab/>
        <w:t xml:space="preserve">To investigate the influence of the density contrast </w:t>
      </w:r>
      <w:r w:rsidR="00C30002">
        <w:t xml:space="preserve">caused by granite emplacement </w:t>
      </w:r>
      <w:r>
        <w:t xml:space="preserve">on a 2D extensional basin, </w:t>
      </w:r>
      <w:r w:rsidR="00C30002">
        <w:t>the</w:t>
      </w:r>
      <w:r w:rsidR="001F4F6D">
        <w:t xml:space="preserve"> extension of the lithosphere via</w:t>
      </w:r>
      <w:r w:rsidR="00C30002">
        <w:t xml:space="preserve"> </w:t>
      </w:r>
      <w:r>
        <w:t xml:space="preserve">pure shear is modelled whilst assuming </w:t>
      </w:r>
      <w:r w:rsidR="005155A3">
        <w:t xml:space="preserve">flexural isostasy constrained by </w:t>
      </w:r>
      <w:r>
        <w:t>an elastic thickness</w:t>
      </w:r>
      <w:r w:rsidR="00130E1A">
        <w:t xml:space="preserve"> (</w:t>
      </w:r>
      <m:oMath>
        <m:r>
          <w:rPr>
            <w:rFonts w:ascii="Cambria Math" w:hAnsi="Cambria Math"/>
          </w:rPr>
          <m:t>Te</m:t>
        </m:r>
      </m:oMath>
      <w:r w:rsidR="00130E1A">
        <w:t>)</w:t>
      </w:r>
      <w:r w:rsidR="004F7476">
        <w:t xml:space="preserve"> of 5</w:t>
      </w:r>
      <w:r w:rsidR="00A97408">
        <w:t xml:space="preserve"> </w:t>
      </w:r>
      <w:r w:rsidR="00E164AF">
        <w:t>km (Fig. 7</w:t>
      </w:r>
      <w:r>
        <w:t>). To calculate the flexural response to crustal thinning due to pure shear</w:t>
      </w:r>
      <w:r w:rsidR="005155A3">
        <w:t xml:space="preserve"> deformation</w:t>
      </w:r>
      <w:r>
        <w:t>, the load is alternatively defined as:</w:t>
      </w:r>
    </w:p>
    <w:p w14:paraId="553855C7" w14:textId="2042F790" w:rsidR="00B13E0E" w:rsidRPr="00BD041C" w:rsidRDefault="002B6EBB" w:rsidP="009E071D">
      <w:pPr>
        <w:spacing w:line="360" w:lineRule="auto"/>
        <w:rPr>
          <w:rFonts w:eastAsiaTheme="minorEastAsia"/>
        </w:rPr>
      </w:pPr>
      <m:oMathPara>
        <m:oMath>
          <m:sSub>
            <m:sSubPr>
              <m:ctrlPr>
                <w:rPr>
                  <w:rFonts w:ascii="Cambria Math" w:hAnsi="Cambria Math"/>
                  <w:i/>
                </w:rPr>
              </m:ctrlPr>
            </m:sSubPr>
            <m:e>
              <m:r>
                <w:rPr>
                  <w:rFonts w:ascii="Cambria Math" w:hAnsi="Cambria Math"/>
                </w:rPr>
                <m:t>Load</m:t>
              </m:r>
            </m:e>
            <m:sub>
              <m:r>
                <w:rPr>
                  <w:rFonts w:ascii="Cambria Math" w:hAnsi="Cambria Math"/>
                </w:rPr>
                <m:t>(x)</m:t>
              </m:r>
            </m:sub>
          </m:sSub>
          <m:r>
            <w:rPr>
              <w:rFonts w:ascii="Cambria Math" w:hAnsi="Cambria Math"/>
            </w:rPr>
            <m:t>=</m:t>
          </m:r>
          <m:d>
            <m:dPr>
              <m:ctrlPr>
                <w:rPr>
                  <w:rFonts w:ascii="Cambria Math" w:hAnsi="Cambria Math"/>
                  <w:i/>
                </w:rPr>
              </m:ctrlPr>
            </m:dPr>
            <m:e>
              <m:sSub>
                <m:sSubPr>
                  <m:ctrlPr>
                    <w:rPr>
                      <w:rFonts w:ascii="Cambria Math" w:hAnsi="Cambria Math"/>
                      <w:i/>
                    </w:rPr>
                  </m:ctrlPr>
                </m:sSubPr>
                <m:e>
                  <m:d>
                    <m:dPr>
                      <m:ctrlPr>
                        <w:rPr>
                          <w:rFonts w:ascii="Cambria Math" w:hAnsi="Cambria Math"/>
                          <w:i/>
                        </w:rPr>
                      </m:ctrlPr>
                    </m:dPr>
                    <m:e>
                      <m:r>
                        <w:rPr>
                          <w:rFonts w:ascii="Cambria Math" w:hAnsi="Cambria Math"/>
                        </w:rPr>
                        <m:t>Co-</m:t>
                      </m:r>
                      <m:f>
                        <m:fPr>
                          <m:ctrlPr>
                            <w:rPr>
                              <w:rFonts w:ascii="Cambria Math" w:hAnsi="Cambria Math"/>
                              <w:i/>
                            </w:rPr>
                          </m:ctrlPr>
                        </m:fPr>
                        <m:num>
                          <m:r>
                            <w:rPr>
                              <w:rFonts w:ascii="Cambria Math" w:hAnsi="Cambria Math"/>
                            </w:rPr>
                            <m:t>Co</m:t>
                          </m:r>
                        </m:num>
                        <m:den>
                          <m:r>
                            <w:rPr>
                              <w:rFonts w:ascii="Cambria Math" w:eastAsia="Times New Roman" w:hAnsi="Cambria Math" w:cs="Times New Roman"/>
                              <w:color w:val="000000"/>
                              <w:lang w:eastAsia="en-GB"/>
                            </w:rPr>
                            <m:t>β</m:t>
                          </m:r>
                        </m:den>
                      </m:f>
                    </m:e>
                  </m:d>
                </m:e>
                <m:sub>
                  <m:r>
                    <w:rPr>
                      <w:rFonts w:ascii="Cambria Math" w:hAnsi="Cambria Math"/>
                    </w:rPr>
                    <m:t>(x)</m:t>
                  </m:r>
                </m:sub>
              </m:sSub>
              <m:r>
                <w:rPr>
                  <w:rFonts w:ascii="Cambria Math" w:hAnsi="Cambria Math"/>
                </w:rPr>
                <m:t>×1000</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eastAsia="Times New Roman" w:hAnsi="Cambria Math" w:cs="Times New Roman"/>
                      <w:color w:val="000000"/>
                      <w:lang w:eastAsia="en-GB"/>
                    </w:rPr>
                    <m:t>ρ</m:t>
                  </m:r>
                </m:e>
                <m:sub>
                  <m:sSub>
                    <m:sSubPr>
                      <m:ctrlPr>
                        <w:rPr>
                          <w:rFonts w:ascii="Cambria Math" w:hAnsi="Cambria Math"/>
                          <w:i/>
                        </w:rPr>
                      </m:ctrlPr>
                    </m:sSubPr>
                    <m:e>
                      <m:r>
                        <w:rPr>
                          <w:rFonts w:ascii="Cambria Math" w:hAnsi="Cambria Math"/>
                        </w:rPr>
                        <m:t>gc</m:t>
                      </m:r>
                    </m:e>
                    <m:sub>
                      <m:d>
                        <m:dPr>
                          <m:ctrlPr>
                            <w:rPr>
                              <w:rFonts w:ascii="Cambria Math" w:hAnsi="Cambria Math"/>
                              <w:i/>
                            </w:rPr>
                          </m:ctrlPr>
                        </m:dPr>
                        <m:e>
                          <m:r>
                            <w:rPr>
                              <w:rFonts w:ascii="Cambria Math" w:hAnsi="Cambria Math"/>
                            </w:rPr>
                            <m:t>x</m:t>
                          </m:r>
                        </m:e>
                      </m:d>
                    </m:sub>
                  </m:sSub>
                </m:sub>
              </m:sSub>
            </m:e>
          </m:d>
          <m:r>
            <w:rPr>
              <w:rFonts w:ascii="Cambria Math" w:hAnsi="Cambria Math"/>
            </w:rPr>
            <m:t>×g</m:t>
          </m:r>
        </m:oMath>
      </m:oMathPara>
    </w:p>
    <w:p w14:paraId="6D3FA555" w14:textId="409DA643" w:rsidR="00B13E0E" w:rsidRPr="00DE150C" w:rsidRDefault="00482C84" w:rsidP="009E071D">
      <w:pPr>
        <w:spacing w:line="360" w:lineRule="auto"/>
        <w:jc w:val="center"/>
        <w:rPr>
          <w:rFonts w:eastAsiaTheme="minorEastAsia"/>
        </w:rPr>
      </w:pPr>
      <w:r>
        <w:rPr>
          <w:rFonts w:eastAsiaTheme="minorEastAsia"/>
        </w:rPr>
        <w:t>4.5</w:t>
      </w:r>
    </w:p>
    <w:p w14:paraId="6BCF221C" w14:textId="471C9528" w:rsidR="003949A0" w:rsidRDefault="003949A0" w:rsidP="009E071D">
      <w:pPr>
        <w:spacing w:line="360" w:lineRule="auto"/>
      </w:pPr>
      <w:r>
        <w:tab/>
      </w:r>
      <w:r w:rsidRPr="00883776">
        <w:t>A symmetrical array of beta-values</w:t>
      </w:r>
      <w:r w:rsidR="00AF3435">
        <w:t xml:space="preserve"> is applied to the model</w:t>
      </w:r>
      <w:r w:rsidRPr="00883776">
        <w:t xml:space="preserve"> (Fig.</w:t>
      </w:r>
      <w:r w:rsidR="00E164AF">
        <w:t xml:space="preserve"> 7</w:t>
      </w:r>
      <w:r w:rsidR="00462BB0">
        <w:t>f)</w:t>
      </w:r>
      <w:r w:rsidRPr="00883776">
        <w:t xml:space="preserve"> </w:t>
      </w:r>
      <w:r w:rsidR="00AF3435">
        <w:t>as well as</w:t>
      </w:r>
      <w:r>
        <w:t xml:space="preserve"> a 5</w:t>
      </w:r>
      <w:r w:rsidR="00A97408">
        <w:t xml:space="preserve"> </w:t>
      </w:r>
      <w:r>
        <w:t>km high by 30</w:t>
      </w:r>
      <w:r w:rsidR="00A97408">
        <w:t xml:space="preserve"> </w:t>
      </w:r>
      <w:r>
        <w:t>km wide granite body at the basin centre</w:t>
      </w:r>
      <w:r w:rsidR="00AF3435">
        <w:t>.</w:t>
      </w:r>
      <w:r>
        <w:t xml:space="preserve"> </w:t>
      </w:r>
      <w:r w:rsidR="00AF3435">
        <w:t>T</w:t>
      </w:r>
      <w:r>
        <w:t xml:space="preserve">he </w:t>
      </w:r>
      <w:r w:rsidR="00AF3435">
        <w:t xml:space="preserve">size and </w:t>
      </w:r>
      <w:r>
        <w:t xml:space="preserve">geometry of the granite body is </w:t>
      </w:r>
      <w:r w:rsidR="00AF3435">
        <w:t>assumed to be fixed through</w:t>
      </w:r>
      <w:r w:rsidR="00752C24">
        <w:t xml:space="preserve"> </w:t>
      </w:r>
      <w:r w:rsidR="00AF3435">
        <w:t>our model evolution</w:t>
      </w:r>
      <w:r>
        <w:t>. An array of</w:t>
      </w:r>
      <w:r w:rsidR="00641C65">
        <w:t xml:space="preserve"> crustal density</w:t>
      </w:r>
      <w:r>
        <w:t xml:space="preserve"> </w:t>
      </w:r>
      <w:r w:rsidR="00641C65">
        <w:t>(</w:t>
      </w:r>
      <m:oMath>
        <m:sSub>
          <m:sSubPr>
            <m:ctrlPr>
              <w:rPr>
                <w:rFonts w:ascii="Cambria Math" w:hAnsi="Cambria Math"/>
                <w:i/>
              </w:rPr>
            </m:ctrlPr>
          </m:sSubPr>
          <m:e>
            <m:r>
              <w:rPr>
                <w:rFonts w:ascii="Cambria Math" w:eastAsia="Times New Roman" w:hAnsi="Cambria Math" w:cs="Times New Roman"/>
                <w:color w:val="000000"/>
                <w:lang w:eastAsia="en-GB"/>
              </w:rPr>
              <m:t>ρ</m:t>
            </m:r>
          </m:e>
          <m:sub>
            <m:r>
              <w:rPr>
                <w:rFonts w:ascii="Cambria Math" w:hAnsi="Cambria Math"/>
              </w:rPr>
              <m:t>gc</m:t>
            </m:r>
          </m:sub>
        </m:sSub>
      </m:oMath>
      <w:r w:rsidR="00641C65">
        <w:rPr>
          <w:rFonts w:eastAsiaTheme="minorEastAsia"/>
        </w:rPr>
        <w:t>)</w:t>
      </w:r>
      <w:r>
        <w:rPr>
          <w:rFonts w:eastAsiaTheme="minorEastAsia"/>
        </w:rPr>
        <w:t xml:space="preserve"> values compensate for the presence or absence of the granite body within the crust. The original crustal thickness value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remains unaltered across the extent of the basin. </w:t>
      </w:r>
      <w:r w:rsidR="005155A3">
        <w:rPr>
          <w:rFonts w:eastAsiaTheme="minorEastAsia"/>
        </w:rPr>
        <w:t xml:space="preserve">Basin infill </w:t>
      </w:r>
      <m:oMath>
        <m:sSub>
          <m:sSubPr>
            <m:ctrlPr>
              <w:rPr>
                <w:rFonts w:ascii="Cambria Math" w:hAnsi="Cambria Math"/>
                <w:i/>
              </w:rPr>
            </m:ctrlPr>
          </m:sSubPr>
          <m:e>
            <m:r>
              <w:rPr>
                <w:rFonts w:ascii="Cambria Math" w:hAnsi="Cambria Math"/>
              </w:rPr>
              <m:t>(ρ</m:t>
            </m:r>
          </m:e>
          <m:sub>
            <m:r>
              <w:rPr>
                <w:rFonts w:ascii="Cambria Math" w:hAnsi="Cambria Math"/>
              </w:rPr>
              <m:t>i</m:t>
            </m:r>
          </m:sub>
        </m:sSub>
      </m:oMath>
      <w:r w:rsidR="00C211C6">
        <w:rPr>
          <w:rFonts w:eastAsiaTheme="minorEastAsia"/>
        </w:rPr>
        <w:t xml:space="preserve"> </w:t>
      </w:r>
      <w:r w:rsidR="005155A3">
        <w:rPr>
          <w:rFonts w:eastAsiaTheme="minorEastAsia"/>
        </w:rPr>
        <w:t>=</w:t>
      </w:r>
      <w:r w:rsidR="00C211C6">
        <w:rPr>
          <w:rFonts w:eastAsiaTheme="minorEastAsia"/>
        </w:rPr>
        <w:t xml:space="preserve"> </w:t>
      </w:r>
      <w:r w:rsidR="005155A3">
        <w:rPr>
          <w:rFonts w:eastAsiaTheme="minorEastAsia"/>
        </w:rPr>
        <w:t>2500</w:t>
      </w:r>
      <w:r w:rsidR="00C211C6">
        <w:rPr>
          <w:rFonts w:eastAsiaTheme="minorEastAsia"/>
        </w:rPr>
        <w:t xml:space="preserve"> </w:t>
      </w:r>
      <w:r w:rsidR="005155A3">
        <w:rPr>
          <w:rFonts w:eastAsiaTheme="minorEastAsia"/>
        </w:rPr>
        <w:t>kg</w:t>
      </w:r>
      <w:r w:rsidR="00E83055">
        <w:rPr>
          <w:rFonts w:eastAsiaTheme="minorEastAsia"/>
        </w:rPr>
        <w:t xml:space="preserve"> </w:t>
      </w:r>
      <w:r w:rsidR="005155A3">
        <w:rPr>
          <w:rFonts w:eastAsiaTheme="minorEastAsia"/>
        </w:rPr>
        <w:t>m</w:t>
      </w:r>
      <w:r w:rsidR="005155A3" w:rsidRPr="003949A0">
        <w:rPr>
          <w:rFonts w:eastAsiaTheme="minorEastAsia"/>
          <w:vertAlign w:val="superscript"/>
        </w:rPr>
        <w:t>-3</w:t>
      </w:r>
      <w:r w:rsidR="005155A3">
        <w:rPr>
          <w:rFonts w:eastAsiaTheme="minorEastAsia"/>
        </w:rPr>
        <w:t>) is assumed to occur p</w:t>
      </w:r>
      <w:r>
        <w:rPr>
          <w:rFonts w:eastAsiaTheme="minorEastAsia"/>
        </w:rPr>
        <w:t xml:space="preserve">roviding </w:t>
      </w:r>
      <w:r w:rsidR="00B948B6">
        <w:rPr>
          <w:rFonts w:eastAsiaTheme="minorEastAsia"/>
        </w:rPr>
        <w:t xml:space="preserve">that </w:t>
      </w:r>
      <w:r>
        <w:rPr>
          <w:rFonts w:eastAsiaTheme="minorEastAsia"/>
        </w:rPr>
        <w:t xml:space="preserve">the resulting basement elevation </w:t>
      </w:r>
      <w:r w:rsidR="005155A3">
        <w:rPr>
          <w:rFonts w:eastAsiaTheme="minorEastAsia"/>
        </w:rPr>
        <w:t xml:space="preserve">subsides </w:t>
      </w:r>
      <w:r>
        <w:rPr>
          <w:rFonts w:eastAsiaTheme="minorEastAsia"/>
        </w:rPr>
        <w:t>below base level</w:t>
      </w:r>
      <w:r w:rsidR="005155A3">
        <w:rPr>
          <w:rFonts w:eastAsiaTheme="minorEastAsia"/>
        </w:rPr>
        <w:t xml:space="preserve">. The flexural isostatic subsidence in response to the </w:t>
      </w:r>
      <w:r>
        <w:rPr>
          <w:rFonts w:eastAsiaTheme="minorEastAsia"/>
        </w:rPr>
        <w:t xml:space="preserve">infill </w:t>
      </w:r>
      <w:r w:rsidR="005155A3">
        <w:rPr>
          <w:rFonts w:eastAsiaTheme="minorEastAsia"/>
        </w:rPr>
        <w:t>is calculated</w:t>
      </w:r>
      <w:r>
        <w:rPr>
          <w:rFonts w:eastAsiaTheme="minorEastAsia"/>
        </w:rPr>
        <w:t xml:space="preserve"> using the following load and response function</w:t>
      </w:r>
      <w:r w:rsidR="005155A3">
        <w:rPr>
          <w:rFonts w:eastAsiaTheme="minorEastAsia"/>
        </w:rPr>
        <w:t>, which is applied</w:t>
      </w:r>
      <w:r>
        <w:rPr>
          <w:rFonts w:eastAsiaTheme="minorEastAsia"/>
        </w:rPr>
        <w:t xml:space="preserve"> to the basement profile </w:t>
      </w:r>
      <w:r w:rsidRPr="00FB171B">
        <w:rPr>
          <w:rFonts w:eastAsiaTheme="minorEastAsia"/>
        </w:rPr>
        <w:t>(</w:t>
      </w:r>
      <m:oMath>
        <m:sSub>
          <m:sSubPr>
            <m:ctrlPr>
              <w:rPr>
                <w:rFonts w:ascii="Cambria Math" w:hAnsi="Cambria Math"/>
                <w:i/>
              </w:rPr>
            </m:ctrlPr>
          </m:sSubPr>
          <m:e>
            <m:r>
              <w:rPr>
                <w:rFonts w:ascii="Cambria Math" w:hAnsi="Cambria Math"/>
              </w:rPr>
              <m:t>Basement</m:t>
            </m:r>
          </m:e>
          <m:sub>
            <m:r>
              <w:rPr>
                <w:rFonts w:ascii="Cambria Math" w:hAnsi="Cambria Math"/>
              </w:rPr>
              <m:t>(x)</m:t>
            </m:r>
          </m:sub>
        </m:sSub>
      </m:oMath>
      <w:r w:rsidRPr="00FB171B">
        <w:rPr>
          <w:rFonts w:eastAsiaTheme="minorEastAsia"/>
        </w:rPr>
        <w:t>)</w:t>
      </w:r>
      <w:r w:rsidR="005155A3">
        <w:rPr>
          <w:rFonts w:eastAsiaTheme="minorEastAsia"/>
        </w:rPr>
        <w:t xml:space="preserve"> already generated</w:t>
      </w:r>
      <w:r w:rsidRPr="00FB171B">
        <w:rPr>
          <w:rFonts w:eastAsiaTheme="minorEastAsia"/>
        </w:rPr>
        <w:t>:</w:t>
      </w:r>
    </w:p>
    <w:p w14:paraId="21221155" w14:textId="77777777" w:rsidR="00B13E0E" w:rsidRPr="00BD041C" w:rsidRDefault="002B6EBB" w:rsidP="009E071D">
      <w:pPr>
        <w:spacing w:line="360" w:lineRule="auto"/>
        <w:rPr>
          <w:rFonts w:eastAsiaTheme="minorEastAsia"/>
        </w:rPr>
      </w:pPr>
      <m:oMathPara>
        <m:oMath>
          <m:sSub>
            <m:sSubPr>
              <m:ctrlPr>
                <w:rPr>
                  <w:rFonts w:ascii="Cambria Math" w:hAnsi="Cambria Math"/>
                  <w:i/>
                </w:rPr>
              </m:ctrlPr>
            </m:sSubPr>
            <m:e>
              <m:r>
                <w:rPr>
                  <w:rFonts w:ascii="Cambria Math" w:hAnsi="Cambria Math"/>
                </w:rPr>
                <m:t>Load</m:t>
              </m:r>
            </m:e>
            <m:sub>
              <m:r>
                <w:rPr>
                  <w:rFonts w:ascii="Cambria Math" w:hAnsi="Cambria Math"/>
                </w:rPr>
                <m:t>(x)</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Basement</m:t>
                  </m:r>
                </m:e>
                <m:sub>
                  <m:r>
                    <w:rPr>
                      <w:rFonts w:ascii="Cambria Math" w:hAnsi="Cambria Math"/>
                    </w:rPr>
                    <m:t>(x)</m:t>
                  </m:r>
                </m:sub>
              </m:sSub>
              <m:r>
                <w:rPr>
                  <w:rFonts w:ascii="Cambria Math" w:hAnsi="Cambria Math"/>
                </w:rPr>
                <m:t>×1000</m:t>
              </m:r>
            </m:e>
          </m:d>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i</m:t>
              </m:r>
            </m:sub>
          </m:sSub>
          <m:r>
            <w:rPr>
              <w:rFonts w:ascii="Cambria Math" w:hAnsi="Cambria Math"/>
            </w:rPr>
            <m:t>×g</m:t>
          </m:r>
        </m:oMath>
      </m:oMathPara>
    </w:p>
    <w:p w14:paraId="32FF9EA1" w14:textId="68A425B2" w:rsidR="00B13E0E" w:rsidRPr="005A28F0" w:rsidRDefault="00482C84" w:rsidP="009E071D">
      <w:pPr>
        <w:spacing w:line="360" w:lineRule="auto"/>
        <w:jc w:val="center"/>
        <w:rPr>
          <w:rFonts w:eastAsiaTheme="minorEastAsia"/>
        </w:rPr>
      </w:pPr>
      <w:r>
        <w:rPr>
          <w:rFonts w:eastAsiaTheme="minorEastAsia"/>
        </w:rPr>
        <w:t>4.6</w:t>
      </w:r>
    </w:p>
    <w:p w14:paraId="13755B89" w14:textId="77777777" w:rsidR="00B13E0E" w:rsidRPr="00BD041C" w:rsidRDefault="00B13E0E" w:rsidP="009E071D">
      <w:pPr>
        <w:spacing w:line="360" w:lineRule="auto"/>
        <w:rPr>
          <w:rFonts w:eastAsiaTheme="minorEastAsia"/>
        </w:rPr>
      </w:pPr>
      <m:oMathPara>
        <m:oMath>
          <m:r>
            <w:rPr>
              <w:rFonts w:ascii="Cambria Math" w:hAnsi="Cambria Math"/>
            </w:rPr>
            <m:t>resp=</m:t>
          </m:r>
          <m:f>
            <m:fPr>
              <m:ctrlPr>
                <w:rPr>
                  <w:rFonts w:ascii="Cambria Math" w:hAnsi="Cambria Math"/>
                  <w:i/>
                </w:rPr>
              </m:ctrlPr>
            </m:fPr>
            <m:num>
              <m:sSub>
                <m:sSubPr>
                  <m:ctrlPr>
                    <w:rPr>
                      <w:rFonts w:ascii="Cambria Math" w:hAnsi="Cambria Math"/>
                      <w:i/>
                    </w:rPr>
                  </m:ctrlPr>
                </m:sSubPr>
                <m:e>
                  <m:r>
                    <w:rPr>
                      <w:rFonts w:ascii="Cambria Math" w:hAnsi="Cambria Math"/>
                    </w:rPr>
                    <m:t>Load</m:t>
                  </m:r>
                </m:e>
                <m:sub>
                  <m:r>
                    <w:rPr>
                      <w:rFonts w:ascii="Cambria Math" w:hAnsi="Cambria Math"/>
                    </w:rPr>
                    <m:t>(x)</m:t>
                  </m:r>
                </m:sub>
              </m:sSub>
            </m:num>
            <m:den>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i</m:t>
                      </m:r>
                    </m:sub>
                  </m:sSub>
                </m:e>
              </m:d>
              <m:r>
                <w:rPr>
                  <w:rFonts w:ascii="Cambria Math" w:hAnsi="Cambria Math"/>
                </w:rPr>
                <m:t>+</m:t>
              </m:r>
              <m:d>
                <m:dPr>
                  <m:ctrlPr>
                    <w:rPr>
                      <w:rFonts w:ascii="Cambria Math" w:hAnsi="Cambria Math"/>
                      <w:i/>
                    </w:rPr>
                  </m:ctrlPr>
                </m:dPr>
                <m:e>
                  <m:r>
                    <w:rPr>
                      <w:rFonts w:ascii="Cambria Math" w:hAnsi="Cambria Math"/>
                    </w:rPr>
                    <m:t>D+</m:t>
                  </m:r>
                  <m:sSub>
                    <m:sSubPr>
                      <m:ctrlPr>
                        <w:rPr>
                          <w:rFonts w:ascii="Cambria Math" w:hAnsi="Cambria Math"/>
                          <w:i/>
                        </w:rPr>
                      </m:ctrlPr>
                    </m:sSubPr>
                    <m:e>
                      <m:r>
                        <w:rPr>
                          <w:rFonts w:ascii="Cambria Math" w:hAnsi="Cambria Math"/>
                        </w:rPr>
                        <m:t>resp</m:t>
                      </m:r>
                    </m:e>
                    <m:sub>
                      <m:r>
                        <w:rPr>
                          <w:rFonts w:ascii="Cambria Math" w:hAnsi="Cambria Math"/>
                        </w:rPr>
                        <m:t>1</m:t>
                      </m:r>
                    </m:sub>
                  </m:sSub>
                </m:e>
              </m:d>
            </m:den>
          </m:f>
        </m:oMath>
      </m:oMathPara>
    </w:p>
    <w:p w14:paraId="18455078" w14:textId="0DCDE3AD" w:rsidR="00B13E0E" w:rsidRDefault="00B13E0E" w:rsidP="009E071D">
      <w:pPr>
        <w:spacing w:line="360" w:lineRule="auto"/>
        <w:jc w:val="center"/>
        <w:rPr>
          <w:rFonts w:eastAsiaTheme="minorEastAsia"/>
        </w:rPr>
      </w:pPr>
      <w:r>
        <w:rPr>
          <w:rFonts w:eastAsiaTheme="minorEastAsia"/>
        </w:rPr>
        <w:t>4.7</w:t>
      </w:r>
    </w:p>
    <w:p w14:paraId="2EA4245D" w14:textId="2A5EF2A9" w:rsidR="00AF3435" w:rsidRPr="00AF3435" w:rsidRDefault="00AF3435" w:rsidP="009E071D">
      <w:pPr>
        <w:spacing w:line="360" w:lineRule="auto"/>
        <w:rPr>
          <w:rFonts w:eastAsiaTheme="minorEastAsia"/>
        </w:rPr>
      </w:pPr>
      <w:r>
        <w:rPr>
          <w:rFonts w:eastAsiaTheme="minorEastAsia"/>
        </w:rPr>
        <w:t>Where resp</w:t>
      </w:r>
      <w:r w:rsidRPr="00D61601">
        <w:rPr>
          <w:rFonts w:eastAsiaTheme="minorEastAsia"/>
          <w:vertAlign w:val="subscript"/>
        </w:rPr>
        <w:t>1</w:t>
      </w:r>
      <w:r>
        <w:rPr>
          <w:rFonts w:eastAsiaTheme="minorEastAsia"/>
        </w:rPr>
        <w:t xml:space="preserve"> is given by equation 4.4.</w:t>
      </w:r>
    </w:p>
    <w:p w14:paraId="21840453" w14:textId="53FE7E54" w:rsidR="00797B24" w:rsidRPr="003C5312" w:rsidRDefault="003C5312" w:rsidP="009E071D">
      <w:pPr>
        <w:spacing w:line="360" w:lineRule="auto"/>
        <w:ind w:firstLine="720"/>
      </w:pPr>
      <w:r w:rsidRPr="003C5312">
        <w:t>Without a partially granitic crust, the basin centre</w:t>
      </w:r>
      <w:r w:rsidR="002E7FA9">
        <w:t xml:space="preserve"> at</w:t>
      </w:r>
      <w:r w:rsidR="00FA618E">
        <w:t xml:space="preserve"> </w:t>
      </w:r>
      <m:oMath>
        <m:r>
          <w:rPr>
            <w:rFonts w:ascii="Cambria Math" w:hAnsi="Cambria Math"/>
          </w:rPr>
          <m:t>x</m:t>
        </m:r>
      </m:oMath>
      <w:r w:rsidR="00FA618E">
        <w:t xml:space="preserve"> = </w:t>
      </w:r>
      <w:r>
        <w:t>200</w:t>
      </w:r>
      <w:r w:rsidR="00060115">
        <w:t xml:space="preserve"> </w:t>
      </w:r>
      <w:r>
        <w:t>km marks the deepest part of the basin</w:t>
      </w:r>
      <w:r w:rsidR="00E164AF">
        <w:t xml:space="preserve"> (Figs. 7a and 7</w:t>
      </w:r>
      <w:r w:rsidR="00093880">
        <w:t>b)</w:t>
      </w:r>
      <w:r>
        <w:t xml:space="preserve">. However, the presence of the granite body limits </w:t>
      </w:r>
      <w:proofErr w:type="spellStart"/>
      <w:r>
        <w:t>syn</w:t>
      </w:r>
      <w:proofErr w:type="spellEnd"/>
      <w:r>
        <w:t>-</w:t>
      </w:r>
      <w:r w:rsidR="00C766A3">
        <w:t xml:space="preserve">rift </w:t>
      </w:r>
      <w:r>
        <w:t>subsidence</w:t>
      </w:r>
      <w:r w:rsidR="00093880">
        <w:t>, below sediment base level,</w:t>
      </w:r>
      <w:r>
        <w:t xml:space="preserve"> by &lt;200</w:t>
      </w:r>
      <w:r w:rsidR="00060115">
        <w:t xml:space="preserve"> </w:t>
      </w:r>
      <w:r>
        <w:t>m</w:t>
      </w:r>
      <w:r w:rsidR="00060115">
        <w:t>etres</w:t>
      </w:r>
      <w:r w:rsidR="00E164AF">
        <w:t xml:space="preserve"> (Figs. 7</w:t>
      </w:r>
      <w:r w:rsidR="004F7476">
        <w:t xml:space="preserve">c and </w:t>
      </w:r>
      <w:r w:rsidR="00E164AF">
        <w:t>7</w:t>
      </w:r>
      <w:r w:rsidR="00093880">
        <w:t>d).</w:t>
      </w:r>
      <w:r w:rsidR="00C766A3">
        <w:t xml:space="preserve"> </w:t>
      </w:r>
      <w:r w:rsidR="00093880">
        <w:t>T</w:t>
      </w:r>
      <w:r>
        <w:t>he basement profile at the centre of the</w:t>
      </w:r>
      <w:r w:rsidR="00797B24">
        <w:t xml:space="preserve"> basin is characterised by a very low amplitude</w:t>
      </w:r>
      <w:r w:rsidR="00303F8B">
        <w:t xml:space="preserve"> anticline</w:t>
      </w:r>
      <w:r w:rsidR="00797B24">
        <w:t xml:space="preserve"> </w:t>
      </w:r>
      <w:r w:rsidR="00303F8B">
        <w:t xml:space="preserve">coinciding with the position of the </w:t>
      </w:r>
      <w:r w:rsidR="00AF3435">
        <w:lastRenderedPageBreak/>
        <w:t xml:space="preserve">underlying </w:t>
      </w:r>
      <w:r w:rsidR="00303F8B">
        <w:t>granite body</w:t>
      </w:r>
      <w:r w:rsidR="00797B24">
        <w:t>. This profile, is exaggerated by the addition of basin fill.</w:t>
      </w:r>
      <w:r w:rsidR="003C157D">
        <w:t xml:space="preserve"> </w:t>
      </w:r>
      <w:r w:rsidR="00303F8B">
        <w:t xml:space="preserve">Post-extensional thermal </w:t>
      </w:r>
      <w:r w:rsidR="00C766A3">
        <w:t xml:space="preserve">subsidence </w:t>
      </w:r>
      <w:r w:rsidR="00303F8B">
        <w:t xml:space="preserve">is proportional to the magnitude of extension and is not influenced significantly by </w:t>
      </w:r>
      <w:r w:rsidR="00C766A3">
        <w:t>the granite emplacement</w:t>
      </w:r>
      <w:r w:rsidR="00303F8B">
        <w:t>.</w:t>
      </w:r>
    </w:p>
    <w:p w14:paraId="74C4FBAD" w14:textId="2F9086B2" w:rsidR="0009477B" w:rsidRDefault="00BD2FB8" w:rsidP="009E071D">
      <w:pPr>
        <w:spacing w:line="360" w:lineRule="auto"/>
        <w:ind w:firstLine="720"/>
      </w:pPr>
      <w:r>
        <w:t>Two-dimensional numerical modelling suggests that initial isostatic compensation due to granite emplacemen</w:t>
      </w:r>
      <w:r w:rsidR="00CC1E0A">
        <w:t>t is incomplete when lithospheric</w:t>
      </w:r>
      <w:r>
        <w:t xml:space="preserve"> rigidity is incorporated. </w:t>
      </w:r>
      <w:r w:rsidR="00C07CB0">
        <w:t>D</w:t>
      </w:r>
      <w:r>
        <w:t>epending on the flexural rigidity and effective elastic thickness (</w:t>
      </w:r>
      <m:oMath>
        <m:r>
          <w:rPr>
            <w:rFonts w:ascii="Cambria Math" w:hAnsi="Cambria Math"/>
          </w:rPr>
          <m:t>Te</m:t>
        </m:r>
      </m:oMath>
      <w:r>
        <w:t>)</w:t>
      </w:r>
      <w:r w:rsidR="0095018D">
        <w:t xml:space="preserve"> of the lithosphere,</w:t>
      </w:r>
      <w:r>
        <w:t xml:space="preserve"> </w:t>
      </w:r>
      <w:r w:rsidR="00E613F6">
        <w:t>a regional flexural profile is generated</w:t>
      </w:r>
      <w:r w:rsidR="003F6929">
        <w:t xml:space="preserve"> prior to lithospheric extension.</w:t>
      </w:r>
      <w:r w:rsidR="00E613F6">
        <w:t xml:space="preserve"> </w:t>
      </w:r>
      <w:r w:rsidR="005A69C9">
        <w:t>As isostatic compensation is incomplete</w:t>
      </w:r>
      <w:r w:rsidR="003F6929">
        <w:t>,</w:t>
      </w:r>
      <w:r w:rsidR="00E613F6">
        <w:t xml:space="preserve"> </w:t>
      </w:r>
      <w:r>
        <w:t xml:space="preserve">a </w:t>
      </w:r>
      <w:r w:rsidR="007C4093">
        <w:t xml:space="preserve">likely </w:t>
      </w:r>
      <w:r>
        <w:t>residual under-compensated ‘buoyancy force’ remains beyond granite emplacement and the subsequent thermal re-</w:t>
      </w:r>
      <w:r w:rsidR="00CC1E0A">
        <w:t>equilibration of the lithospheric</w:t>
      </w:r>
      <w:r>
        <w:t xml:space="preserve"> temperature profile along with forces related to flexural tension (both </w:t>
      </w:r>
      <w:r w:rsidR="00B948B6">
        <w:t xml:space="preserve">of which are </w:t>
      </w:r>
      <w:r>
        <w:t xml:space="preserve">referred to as ‘second-order forces’ by </w:t>
      </w:r>
      <w:proofErr w:type="spellStart"/>
      <w:r w:rsidR="00C3017E">
        <w:t>Sonder</w:t>
      </w:r>
      <w:proofErr w:type="spellEnd"/>
      <w:r w:rsidR="00C3017E">
        <w:t xml:space="preserve">, 1990 and </w:t>
      </w:r>
      <w:proofErr w:type="spellStart"/>
      <w:r w:rsidR="003E59D2">
        <w:t>Zoback</w:t>
      </w:r>
      <w:proofErr w:type="spellEnd"/>
      <w:r w:rsidR="003E59D2">
        <w:t xml:space="preserve"> et al., 1992</w:t>
      </w:r>
      <w:r>
        <w:t>).</w:t>
      </w:r>
    </w:p>
    <w:p w14:paraId="2933E7A9" w14:textId="403C70AE" w:rsidR="00B13E0E" w:rsidRPr="0014501A" w:rsidRDefault="00F04216" w:rsidP="009E071D">
      <w:pPr>
        <w:spacing w:line="360" w:lineRule="auto"/>
        <w:ind w:firstLine="720"/>
      </w:pPr>
      <w:r>
        <w:t>T</w:t>
      </w:r>
      <w:r w:rsidR="00B13E0E">
        <w:t xml:space="preserve">he assumption of uniform pure shear </w:t>
      </w:r>
      <w:r w:rsidR="00C766A3">
        <w:t xml:space="preserve">extension </w:t>
      </w:r>
      <w:r w:rsidR="00B13E0E">
        <w:t xml:space="preserve">throughout the entirety of the lithosphere is a </w:t>
      </w:r>
      <w:r w:rsidR="00C766A3">
        <w:t>simplification</w:t>
      </w:r>
      <w:r w:rsidR="002E7FA9">
        <w:t xml:space="preserve"> </w:t>
      </w:r>
      <w:r w:rsidR="00C766A3">
        <w:t xml:space="preserve">given </w:t>
      </w:r>
      <w:r w:rsidR="00B13E0E">
        <w:t xml:space="preserve">the brittle nature </w:t>
      </w:r>
      <w:r w:rsidR="00C766A3">
        <w:t xml:space="preserve">of the </w:t>
      </w:r>
      <w:r w:rsidR="00B13E0E">
        <w:t>upper crust (</w:t>
      </w:r>
      <w:r w:rsidR="00B13E0E" w:rsidRPr="007D1593">
        <w:t>e</w:t>
      </w:r>
      <w:r w:rsidR="00B01566">
        <w:t>.</w:t>
      </w:r>
      <w:r w:rsidR="00B13E0E" w:rsidRPr="007D1593">
        <w:t>g. Ziegler</w:t>
      </w:r>
      <w:r w:rsidR="001C79DB">
        <w:t xml:space="preserve"> et al., 1995</w:t>
      </w:r>
      <w:r w:rsidR="00B13E0E">
        <w:t>). In rift basins</w:t>
      </w:r>
      <w:r w:rsidR="00C766A3">
        <w:t>,</w:t>
      </w:r>
      <w:r w:rsidR="00B13E0E">
        <w:t xml:space="preserve"> it is widely accepted that faulting plays a dominant role in determining </w:t>
      </w:r>
      <w:r w:rsidR="00C766A3">
        <w:t xml:space="preserve">basin geometry, </w:t>
      </w:r>
      <w:r w:rsidR="00B948B6">
        <w:t xml:space="preserve">the position of </w:t>
      </w:r>
      <w:r w:rsidR="00B13E0E">
        <w:t xml:space="preserve">localised depocentres and lateral variations in </w:t>
      </w:r>
      <w:r w:rsidR="00C766A3">
        <w:t xml:space="preserve">the magnitude of </w:t>
      </w:r>
      <w:r w:rsidR="00B13E0E">
        <w:t>subsidence (</w:t>
      </w:r>
      <w:r w:rsidR="00B13E0E" w:rsidRPr="007D1593">
        <w:t>e</w:t>
      </w:r>
      <w:r w:rsidR="00B01566">
        <w:t>.</w:t>
      </w:r>
      <w:r w:rsidR="00B13E0E" w:rsidRPr="007D1593">
        <w:t>g. Cowie et al., 2000</w:t>
      </w:r>
      <w:r w:rsidR="00B13E0E">
        <w:t xml:space="preserve">). In areas where basement heterogeneities due to granite bodies </w:t>
      </w:r>
      <w:r w:rsidR="00977372">
        <w:t xml:space="preserve">are interpreted to </w:t>
      </w:r>
      <w:r w:rsidR="00B13E0E">
        <w:t xml:space="preserve">have influenced basin architecture, there is a strong correlation between these </w:t>
      </w:r>
      <w:r w:rsidR="00C766A3">
        <w:t xml:space="preserve">bodies </w:t>
      </w:r>
      <w:r w:rsidR="00977372">
        <w:t xml:space="preserve">and the array of </w:t>
      </w:r>
      <w:r w:rsidR="00B13E0E">
        <w:t>major basin bounding faults (</w:t>
      </w:r>
      <w:r w:rsidR="00B13E0E" w:rsidRPr="007D1593">
        <w:t>e</w:t>
      </w:r>
      <w:r w:rsidR="00B01566">
        <w:t>.</w:t>
      </w:r>
      <w:r w:rsidR="00B13E0E" w:rsidRPr="007D1593">
        <w:t>g</w:t>
      </w:r>
      <w:r w:rsidR="00DC2989">
        <w:t>.</w:t>
      </w:r>
      <w:r w:rsidR="00B13E0E" w:rsidRPr="007D1593">
        <w:t xml:space="preserve"> Donato et a</w:t>
      </w:r>
      <w:r w:rsidR="00DC2989">
        <w:t>l., 1983; de Castro et al., 2008</w:t>
      </w:r>
      <w:r w:rsidR="00B13E0E">
        <w:t>). Our northern England case study is no exception (</w:t>
      </w:r>
      <w:r w:rsidR="00B13E0E" w:rsidRPr="007D1593">
        <w:t>Chadwick et al., 1995</w:t>
      </w:r>
      <w:r w:rsidR="00B13E0E">
        <w:t>).</w:t>
      </w:r>
    </w:p>
    <w:p w14:paraId="56E1F71F" w14:textId="76A30305" w:rsidR="001C14BC" w:rsidRDefault="00B13E0E" w:rsidP="009E071D">
      <w:pPr>
        <w:pStyle w:val="Heading1"/>
        <w:spacing w:line="360" w:lineRule="auto"/>
      </w:pPr>
      <w:r>
        <w:t xml:space="preserve">5.0 </w:t>
      </w:r>
      <w:r w:rsidR="006E41CC">
        <w:t>Carboniferous basins of northern England</w:t>
      </w:r>
      <w:r w:rsidR="00073D5A">
        <w:t xml:space="preserve"> </w:t>
      </w:r>
    </w:p>
    <w:p w14:paraId="5FFA075D" w14:textId="62AEA949" w:rsidR="001C14BC" w:rsidRPr="001C14BC" w:rsidRDefault="001C14BC" w:rsidP="009E071D">
      <w:pPr>
        <w:pStyle w:val="Heading2"/>
        <w:spacing w:line="360" w:lineRule="auto"/>
      </w:pPr>
      <w:r>
        <w:t>5.1 Geological background</w:t>
      </w:r>
    </w:p>
    <w:p w14:paraId="7D3A875D" w14:textId="0186688E" w:rsidR="006B26D1" w:rsidRDefault="00C32F55" w:rsidP="009E071D">
      <w:pPr>
        <w:spacing w:line="360" w:lineRule="auto"/>
        <w:ind w:firstLine="720"/>
      </w:pPr>
      <w:r>
        <w:t xml:space="preserve">The ‘block and basin’ tectonic framework of the North Pennine </w:t>
      </w:r>
      <w:r w:rsidR="005238BE">
        <w:t xml:space="preserve">Basin </w:t>
      </w:r>
      <w:r>
        <w:t xml:space="preserve">(Fig. 9) is underpinned by granite-cored blocks and is generally interpreted as being indicative of the proposed ‘classic’ rift basin (e.g. </w:t>
      </w:r>
      <w:proofErr w:type="spellStart"/>
      <w:r>
        <w:t>Bott</w:t>
      </w:r>
      <w:proofErr w:type="spellEnd"/>
      <w:r>
        <w:t>, 1967). The early Carboniferous North Pennine Basin as well as t</w:t>
      </w:r>
      <w:r w:rsidR="00962829">
        <w:t>he broader North-w</w:t>
      </w:r>
      <w:r w:rsidR="006B26D1">
        <w:t>estern European Carboniferous Basin (e</w:t>
      </w:r>
      <w:r w:rsidR="009756C2">
        <w:t>.</w:t>
      </w:r>
      <w:r w:rsidR="006B26D1">
        <w:t xml:space="preserve">g. </w:t>
      </w:r>
      <w:proofErr w:type="spellStart"/>
      <w:r w:rsidR="006B26D1">
        <w:t>Kombrink</w:t>
      </w:r>
      <w:proofErr w:type="spellEnd"/>
      <w:r w:rsidR="00DC2989">
        <w:t xml:space="preserve"> et al.</w:t>
      </w:r>
      <w:r w:rsidR="006B26D1">
        <w:t xml:space="preserve">, 2008) </w:t>
      </w:r>
      <w:r w:rsidR="005238BE">
        <w:t xml:space="preserve">are </w:t>
      </w:r>
      <w:r w:rsidR="006B26D1">
        <w:t xml:space="preserve">widely </w:t>
      </w:r>
      <w:r w:rsidR="006B3F59">
        <w:t xml:space="preserve">accepted </w:t>
      </w:r>
      <w:r w:rsidR="006B26D1">
        <w:t>to have formed under late</w:t>
      </w:r>
      <w:r w:rsidR="00251490">
        <w:t>st</w:t>
      </w:r>
      <w:r w:rsidR="006B26D1">
        <w:t xml:space="preserve"> Devonian to Namurian, dominantly north-south</w:t>
      </w:r>
      <w:r w:rsidR="006B26D1" w:rsidRPr="004E6C04">
        <w:t xml:space="preserve"> </w:t>
      </w:r>
      <w:r w:rsidR="006B26D1">
        <w:t>orientated</w:t>
      </w:r>
      <w:r w:rsidR="006B3F59">
        <w:t>,</w:t>
      </w:r>
      <w:r w:rsidR="006B26D1">
        <w:t xml:space="preserve"> back-arc extension followed by post-extensional thermal decay </w:t>
      </w:r>
      <w:r w:rsidR="007D5952">
        <w:t>(Fig. 8</w:t>
      </w:r>
      <w:r w:rsidR="00E53BAB">
        <w:t xml:space="preserve">; </w:t>
      </w:r>
      <w:proofErr w:type="spellStart"/>
      <w:r w:rsidR="006B26D1" w:rsidRPr="004C3CDD">
        <w:t>Leeder</w:t>
      </w:r>
      <w:proofErr w:type="spellEnd"/>
      <w:r w:rsidR="006B26D1" w:rsidRPr="004C3CDD">
        <w:t>, 1982).</w:t>
      </w:r>
      <w:r w:rsidR="006B26D1">
        <w:t xml:space="preserve"> However, several authors have suggested that </w:t>
      </w:r>
      <w:proofErr w:type="spellStart"/>
      <w:r>
        <w:t>sinistral</w:t>
      </w:r>
      <w:proofErr w:type="spellEnd"/>
      <w:r>
        <w:t xml:space="preserve"> </w:t>
      </w:r>
      <w:proofErr w:type="spellStart"/>
      <w:r w:rsidR="006B26D1">
        <w:t>transtension</w:t>
      </w:r>
      <w:proofErr w:type="spellEnd"/>
      <w:r w:rsidR="006B26D1">
        <w:t xml:space="preserve"> </w:t>
      </w:r>
      <w:r>
        <w:t>may have had a significant role during this period</w:t>
      </w:r>
      <w:r w:rsidR="006B26D1">
        <w:t xml:space="preserve"> </w:t>
      </w:r>
      <w:r w:rsidR="001C30FE">
        <w:t>(Dewey, 1982; Coward, 1993).</w:t>
      </w:r>
      <w:r w:rsidR="006B26D1">
        <w:t xml:space="preserve"> </w:t>
      </w:r>
      <w:r w:rsidR="00E613F6">
        <w:t xml:space="preserve">The understanding of a such a framework is key to determining sediment routing, facies development and depocentre positioning during the early Carboniferous </w:t>
      </w:r>
      <w:r w:rsidR="00402FAB">
        <w:t xml:space="preserve">Period </w:t>
      </w:r>
      <w:r w:rsidR="00E613F6">
        <w:t xml:space="preserve">as well as beyond the active rifting phases when the relict ‘block and basin’ arrangement continued to </w:t>
      </w:r>
      <w:r w:rsidR="00C07CB0">
        <w:t>influence basin evolution (</w:t>
      </w:r>
      <w:proofErr w:type="spellStart"/>
      <w:r w:rsidR="00E613F6">
        <w:t>Besly</w:t>
      </w:r>
      <w:proofErr w:type="spellEnd"/>
      <w:r w:rsidR="00E613F6">
        <w:t>, 2018).</w:t>
      </w:r>
    </w:p>
    <w:p w14:paraId="49680747" w14:textId="3F46C3A0" w:rsidR="006B26D1" w:rsidRDefault="006B26D1" w:rsidP="009E071D">
      <w:pPr>
        <w:spacing w:line="360" w:lineRule="auto"/>
        <w:ind w:firstLine="720"/>
      </w:pPr>
      <w:r>
        <w:lastRenderedPageBreak/>
        <w:t xml:space="preserve">Much of the pre-Variscan Carboniferous basin architecture of the British Isles has been either inverted </w:t>
      </w:r>
      <w:r w:rsidR="00A15A4B">
        <w:t xml:space="preserve">by Variscan compression </w:t>
      </w:r>
      <w:r w:rsidRPr="004C3CDD">
        <w:t>(Corfield et al., 1996)</w:t>
      </w:r>
      <w:r w:rsidR="00A15A4B">
        <w:t>,</w:t>
      </w:r>
      <w:r w:rsidRPr="004C3CDD">
        <w:t xml:space="preserve"> or reactivated during later extensional episodes (Coward, 1995). </w:t>
      </w:r>
      <w:r w:rsidR="00402FAB">
        <w:t>However, n</w:t>
      </w:r>
      <w:r w:rsidR="004922A3">
        <w:t>orth-western England</w:t>
      </w:r>
      <w:r w:rsidR="000B25CA">
        <w:t xml:space="preserve"> is comparatively mildly deformed</w:t>
      </w:r>
      <w:r>
        <w:t xml:space="preserve"> </w:t>
      </w:r>
      <w:r w:rsidR="00E34557">
        <w:t xml:space="preserve">by these events </w:t>
      </w:r>
      <w:r>
        <w:t>and expose</w:t>
      </w:r>
      <w:r w:rsidR="004922A3">
        <w:t>s</w:t>
      </w:r>
      <w:r>
        <w:t xml:space="preserve"> a broad range of the Carboniferous succession (</w:t>
      </w:r>
      <w:r w:rsidRPr="004C3CDD">
        <w:t>Dean et al., 2011</w:t>
      </w:r>
      <w:r>
        <w:t>). The Alston Block is underlain by a suite of la</w:t>
      </w:r>
      <w:r w:rsidR="00251490">
        <w:t xml:space="preserve">rge, predominantly cone-shaped, </w:t>
      </w:r>
      <w:r w:rsidR="00905A47">
        <w:t>early Devonian (</w:t>
      </w:r>
      <w:proofErr w:type="spellStart"/>
      <w:r w:rsidR="00905A47">
        <w:t>Emsian</w:t>
      </w:r>
      <w:proofErr w:type="spellEnd"/>
      <w:r w:rsidR="00905A47">
        <w:t xml:space="preserve">) </w:t>
      </w:r>
      <w:r>
        <w:t>granit</w:t>
      </w:r>
      <w:r w:rsidR="00402FAB">
        <w:t>ic</w:t>
      </w:r>
      <w:r>
        <w:t xml:space="preserve"> intrusions</w:t>
      </w:r>
      <w:r w:rsidR="00E53BAB">
        <w:t>,</w:t>
      </w:r>
      <w:r>
        <w:t xml:space="preserve"> collectively referred to as the North </w:t>
      </w:r>
      <w:r w:rsidR="002D63EE">
        <w:t>Pennine B</w:t>
      </w:r>
      <w:r>
        <w:t xml:space="preserve">atholith </w:t>
      </w:r>
      <w:r w:rsidRPr="004C3CDD">
        <w:t>(</w:t>
      </w:r>
      <w:proofErr w:type="spellStart"/>
      <w:r w:rsidR="00905A47">
        <w:t>Kimbell</w:t>
      </w:r>
      <w:proofErr w:type="spellEnd"/>
      <w:r w:rsidR="00905A47">
        <w:t xml:space="preserve"> et al., 2010</w:t>
      </w:r>
      <w:r w:rsidRPr="004C3CDD">
        <w:t>).</w:t>
      </w:r>
      <w:r>
        <w:t xml:space="preserve"> </w:t>
      </w:r>
      <w:r w:rsidR="00F21284">
        <w:t>The block</w:t>
      </w:r>
      <w:r>
        <w:t xml:space="preserve"> is separate</w:t>
      </w:r>
      <w:r w:rsidR="00E97D2B">
        <w:t>d from the Northumberland Trough</w:t>
      </w:r>
      <w:r>
        <w:t xml:space="preserve"> </w:t>
      </w:r>
      <w:r w:rsidR="00402FAB">
        <w:t xml:space="preserve">on its northern side </w:t>
      </w:r>
      <w:r>
        <w:t xml:space="preserve">by the eastern extent of the complex </w:t>
      </w:r>
      <w:proofErr w:type="spellStart"/>
      <w:r>
        <w:t>Maryport</w:t>
      </w:r>
      <w:proofErr w:type="spellEnd"/>
      <w:r>
        <w:t>-</w:t>
      </w:r>
      <w:proofErr w:type="spellStart"/>
      <w:r>
        <w:t>Stublick</w:t>
      </w:r>
      <w:proofErr w:type="spellEnd"/>
      <w:r>
        <w:t>-Ninety Fathom fault system</w:t>
      </w:r>
      <w:r w:rsidR="000B25CA">
        <w:t xml:space="preserve">, </w:t>
      </w:r>
      <w:r w:rsidR="00F21284">
        <w:t xml:space="preserve">and </w:t>
      </w:r>
      <w:r w:rsidR="00E53BAB">
        <w:t xml:space="preserve">from </w:t>
      </w:r>
      <w:r w:rsidR="000B25CA">
        <w:t xml:space="preserve">the </w:t>
      </w:r>
      <w:proofErr w:type="spellStart"/>
      <w:r w:rsidR="000B25CA">
        <w:t>Stainmore</w:t>
      </w:r>
      <w:proofErr w:type="spellEnd"/>
      <w:r w:rsidR="000B25CA">
        <w:t xml:space="preserve"> Trough</w:t>
      </w:r>
      <w:r w:rsidR="00F21284">
        <w:t xml:space="preserve"> </w:t>
      </w:r>
      <w:r w:rsidR="00402FAB">
        <w:t xml:space="preserve">on its southern side </w:t>
      </w:r>
      <w:r w:rsidR="00F21284">
        <w:t xml:space="preserve">by the </w:t>
      </w:r>
      <w:proofErr w:type="spellStart"/>
      <w:r w:rsidR="00F21284">
        <w:t>Closehouse-Lunedale</w:t>
      </w:r>
      <w:proofErr w:type="spellEnd"/>
      <w:r w:rsidR="00F21284">
        <w:t xml:space="preserve"> and </w:t>
      </w:r>
      <w:proofErr w:type="spellStart"/>
      <w:r w:rsidR="00F21284">
        <w:t>Butterknowle</w:t>
      </w:r>
      <w:proofErr w:type="spellEnd"/>
      <w:r w:rsidR="00F21284">
        <w:t xml:space="preserve"> Fault complexes (</w:t>
      </w:r>
      <w:r w:rsidR="00E164AF">
        <w:t>Fig. 1</w:t>
      </w:r>
      <w:r w:rsidR="00B43121">
        <w:t xml:space="preserve">; </w:t>
      </w:r>
      <w:r w:rsidR="00F21284">
        <w:t>Stone et al., 2010)</w:t>
      </w:r>
      <w:r>
        <w:t xml:space="preserve">. Directly to the west lies the partially exhumed Lake District Block which is underlain by the Lake District Batholith. </w:t>
      </w:r>
      <w:r w:rsidR="00402FAB">
        <w:t xml:space="preserve">To the south of the </w:t>
      </w:r>
      <w:proofErr w:type="spellStart"/>
      <w:r w:rsidR="00402FAB">
        <w:t>Stainmore</w:t>
      </w:r>
      <w:proofErr w:type="spellEnd"/>
      <w:r w:rsidR="00402FAB">
        <w:t xml:space="preserve"> Trough</w:t>
      </w:r>
      <w:r w:rsidR="00E53BAB">
        <w:t>,</w:t>
      </w:r>
      <w:r>
        <w:t xml:space="preserve"> the </w:t>
      </w:r>
      <w:proofErr w:type="spellStart"/>
      <w:r w:rsidR="00977372">
        <w:t>Wensleydale</w:t>
      </w:r>
      <w:proofErr w:type="spellEnd"/>
      <w:r w:rsidR="00977372">
        <w:t xml:space="preserve"> </w:t>
      </w:r>
      <w:r w:rsidR="000B25CA">
        <w:t>Granite underpins</w:t>
      </w:r>
      <w:r>
        <w:t xml:space="preserve"> the </w:t>
      </w:r>
      <w:proofErr w:type="spellStart"/>
      <w:r>
        <w:t>Askrigg</w:t>
      </w:r>
      <w:proofErr w:type="spellEnd"/>
      <w:r>
        <w:t xml:space="preserve"> Block. The Cheviot Granite does not form a faulted high but marks the northern limit of the Northumberla</w:t>
      </w:r>
      <w:r w:rsidR="000B25CA">
        <w:t>nd Trough</w:t>
      </w:r>
      <w:r>
        <w:t>.</w:t>
      </w:r>
    </w:p>
    <w:p w14:paraId="247F0971" w14:textId="7363D9D9" w:rsidR="00883776" w:rsidRDefault="00883776" w:rsidP="009E071D">
      <w:pPr>
        <w:spacing w:line="360" w:lineRule="auto"/>
        <w:ind w:firstLine="720"/>
      </w:pPr>
      <w:r w:rsidRPr="0074153C">
        <w:t>Modern studies o</w:t>
      </w:r>
      <w:r w:rsidR="00402FAB">
        <w:t>f</w:t>
      </w:r>
      <w:r w:rsidRPr="0074153C">
        <w:t xml:space="preserve"> the Carboniferous succession of the UK benefit from the volume of widely available regional geophysical data and prior interpretations of deeper lying structures (e</w:t>
      </w:r>
      <w:r w:rsidR="005F1A43">
        <w:t>.</w:t>
      </w:r>
      <w:r w:rsidRPr="0074153C">
        <w:t>g. Brewer et al., 1983;</w:t>
      </w:r>
      <w:r w:rsidR="00E164AF">
        <w:t xml:space="preserve"> </w:t>
      </w:r>
      <w:proofErr w:type="spellStart"/>
      <w:r w:rsidR="00E164AF">
        <w:t>Kimbell</w:t>
      </w:r>
      <w:proofErr w:type="spellEnd"/>
      <w:r w:rsidR="00E164AF">
        <w:t xml:space="preserve"> et al., 2006). Figure 1</w:t>
      </w:r>
      <w:r w:rsidRPr="0074153C">
        <w:t xml:space="preserve"> shows the distribution of mapped, surface exposed faults in northern England</w:t>
      </w:r>
      <w:r w:rsidR="00BC6A0E">
        <w:t xml:space="preserve"> at </w:t>
      </w:r>
      <w:r w:rsidR="00BC6A0E" w:rsidRPr="0074153C">
        <w:t>1: 250,000 scale</w:t>
      </w:r>
      <w:r w:rsidRPr="0074153C">
        <w:t xml:space="preserve"> (B</w:t>
      </w:r>
      <w:r w:rsidR="00EC5F46">
        <w:t xml:space="preserve">ritish </w:t>
      </w:r>
      <w:r w:rsidRPr="0074153C">
        <w:t>G</w:t>
      </w:r>
      <w:r w:rsidR="00EC5F46">
        <w:t xml:space="preserve">eological </w:t>
      </w:r>
      <w:r w:rsidRPr="0074153C">
        <w:t>S</w:t>
      </w:r>
      <w:r w:rsidR="000B25CA">
        <w:t>urvey</w:t>
      </w:r>
      <w:r w:rsidRPr="0074153C">
        <w:t xml:space="preserve">, 2008) and a superimposed granite thickness map (after </w:t>
      </w:r>
      <w:proofErr w:type="spellStart"/>
      <w:r w:rsidRPr="0074153C">
        <w:t>Kimbell</w:t>
      </w:r>
      <w:proofErr w:type="spellEnd"/>
      <w:r w:rsidRPr="0074153C">
        <w:t xml:space="preserve"> et al., 2006). Without considering the various ages and styles of these exposed faults or the distribution of superficial cover, </w:t>
      </w:r>
      <w:r w:rsidR="00701C0B">
        <w:t>w</w:t>
      </w:r>
      <w:r w:rsidRPr="0074153C">
        <w:t xml:space="preserve">ithin </w:t>
      </w:r>
      <w:r w:rsidR="00325768">
        <w:t>areas of older</w:t>
      </w:r>
      <w:r w:rsidRPr="0074153C">
        <w:t xml:space="preserve"> outcrop there is a considerably higher fault population density. However, this observation does not </w:t>
      </w:r>
      <w:r w:rsidR="00701C0B">
        <w:t>accurately describe</w:t>
      </w:r>
      <w:r w:rsidR="00734268" w:rsidRPr="0074153C">
        <w:t xml:space="preserve"> </w:t>
      </w:r>
      <w:r w:rsidRPr="0074153C">
        <w:t xml:space="preserve">areas underlain by granite batholiths. The Alston Block, with its </w:t>
      </w:r>
      <w:r w:rsidR="00E77702">
        <w:t xml:space="preserve">predominantly </w:t>
      </w:r>
      <w:proofErr w:type="spellStart"/>
      <w:r w:rsidRPr="0074153C">
        <w:t>Visean</w:t>
      </w:r>
      <w:proofErr w:type="spellEnd"/>
      <w:r w:rsidRPr="0074153C">
        <w:t>-Westphalian cover</w:t>
      </w:r>
      <w:r w:rsidR="00E77702">
        <w:t xml:space="preserve"> (Dean et al., 2011)</w:t>
      </w:r>
      <w:r w:rsidRPr="0074153C">
        <w:t xml:space="preserve">, is a prime example of this. </w:t>
      </w:r>
      <w:r w:rsidRPr="008E17E1">
        <w:t xml:space="preserve">A detailed quantitative analysis </w:t>
      </w:r>
      <w:r w:rsidR="008C16E4">
        <w:t>of</w:t>
      </w:r>
      <w:r w:rsidR="008C16E4" w:rsidRPr="008E17E1">
        <w:t xml:space="preserve"> </w:t>
      </w:r>
      <w:r w:rsidRPr="008E17E1">
        <w:t xml:space="preserve">the major basin bounding faults of northern England is beyond the scope of this work. </w:t>
      </w:r>
      <w:r w:rsidR="001010A2">
        <w:t>Nevertheless</w:t>
      </w:r>
      <w:r w:rsidRPr="008E17E1">
        <w:t>, the faults with the greatest displacement within the region strongly correlate with the margins of the concealed, or partially c</w:t>
      </w:r>
      <w:r w:rsidR="00E164AF">
        <w:t>oncealed, granite bodies (Fig. 1</w:t>
      </w:r>
      <w:r w:rsidR="00E77702">
        <w:t>).</w:t>
      </w:r>
    </w:p>
    <w:p w14:paraId="6486DAA6" w14:textId="1DFA326B" w:rsidR="00883776" w:rsidRDefault="00883776" w:rsidP="009E071D">
      <w:pPr>
        <w:spacing w:line="360" w:lineRule="auto"/>
        <w:ind w:firstLine="720"/>
      </w:pPr>
      <w:r>
        <w:t>The two cross-</w:t>
      </w:r>
      <w:r w:rsidR="004F7476">
        <w:t>sections displayed in figures 9a and 9</w:t>
      </w:r>
      <w:r w:rsidR="00EC5F46">
        <w:t>b</w:t>
      </w:r>
      <w:r w:rsidR="00901EEC">
        <w:t xml:space="preserve"> </w:t>
      </w:r>
      <w:r>
        <w:t>incorporate the structural interpretations of the Carboniferous</w:t>
      </w:r>
      <w:r w:rsidR="00E97D2B">
        <w:t>-</w:t>
      </w:r>
      <w:r>
        <w:t xml:space="preserve">recent cover </w:t>
      </w:r>
      <w:r w:rsidR="00E97D2B">
        <w:t>succession</w:t>
      </w:r>
      <w:r>
        <w:t xml:space="preserve"> made by </w:t>
      </w:r>
      <w:r w:rsidR="00E77702">
        <w:t>Chadwick et al (1995)</w:t>
      </w:r>
      <w:r w:rsidR="00900D53">
        <w:t xml:space="preserve"> </w:t>
      </w:r>
      <w:r w:rsidR="00901EEC">
        <w:t xml:space="preserve">based on </w:t>
      </w:r>
      <w:r w:rsidR="00900D53">
        <w:t>seismic and well data constraints</w:t>
      </w:r>
      <w:r w:rsidR="00734268">
        <w:t xml:space="preserve"> (</w:t>
      </w:r>
      <w:r w:rsidR="00E164AF">
        <w:t>see Fig. 1</w:t>
      </w:r>
      <w:r w:rsidR="00734268">
        <w:t xml:space="preserve"> for locations)</w:t>
      </w:r>
      <w:r>
        <w:t xml:space="preserve">. Both sections appear </w:t>
      </w:r>
      <w:r w:rsidR="004F7F45">
        <w:t>only mildly deformed</w:t>
      </w:r>
      <w:r w:rsidR="00A15A4B">
        <w:t>, by Variscan compression,</w:t>
      </w:r>
      <w:r w:rsidR="004F7F45">
        <w:t xml:space="preserve"> in comparison</w:t>
      </w:r>
      <w:r>
        <w:t xml:space="preserve"> </w:t>
      </w:r>
      <w:r w:rsidR="004F7F45">
        <w:t>with</w:t>
      </w:r>
      <w:r>
        <w:t xml:space="preserve"> </w:t>
      </w:r>
      <w:r w:rsidR="00901EEC">
        <w:t xml:space="preserve">the Carboniferous </w:t>
      </w:r>
      <w:r>
        <w:t>sub-basins further south (Corfield et al., 1996). However, more recent modification</w:t>
      </w:r>
      <w:r w:rsidR="00B11C22">
        <w:t>s</w:t>
      </w:r>
      <w:r>
        <w:t xml:space="preserve"> due to Permian-Mesozoic subsidence events </w:t>
      </w:r>
      <w:r w:rsidR="00B11C22">
        <w:t xml:space="preserve">are </w:t>
      </w:r>
      <w:r w:rsidR="004F7476">
        <w:t>apparent</w:t>
      </w:r>
      <w:r>
        <w:t xml:space="preserve"> in the thin veneer of Permian succession preserved in the Vale of Eden </w:t>
      </w:r>
      <w:r w:rsidR="00B11C22">
        <w:t>B</w:t>
      </w:r>
      <w:r>
        <w:t xml:space="preserve">asin and to the east of the Alston Block (Fig. </w:t>
      </w:r>
      <w:r w:rsidR="004F7476">
        <w:t>9</w:t>
      </w:r>
      <w:r>
        <w:t xml:space="preserve">b). Thickening of Carboniferous stratigraphy across the Pennine </w:t>
      </w:r>
      <w:r w:rsidR="00B11C22">
        <w:t>F</w:t>
      </w:r>
      <w:r>
        <w:t>ault is minimal, suggesting most displacement along this fault post-dated</w:t>
      </w:r>
      <w:r w:rsidR="00DC570D">
        <w:t xml:space="preserve"> the Carboniferous</w:t>
      </w:r>
      <w:r w:rsidR="00B11C22">
        <w:t xml:space="preserve"> Period</w:t>
      </w:r>
      <w:r>
        <w:t xml:space="preserve">. </w:t>
      </w:r>
      <w:r w:rsidR="00A125AA">
        <w:t xml:space="preserve">Widely observed, but generally poorly understood, </w:t>
      </w:r>
      <w:r>
        <w:t>Neogene regional south-</w:t>
      </w:r>
      <w:r>
        <w:lastRenderedPageBreak/>
        <w:t>eastwards tilting</w:t>
      </w:r>
      <w:r w:rsidR="00962829">
        <w:t>,</w:t>
      </w:r>
      <w:r w:rsidR="00A125AA">
        <w:t xml:space="preserve"> which contributed to kilometre-scale erosion in the Irish Sea</w:t>
      </w:r>
      <w:r>
        <w:t xml:space="preserve"> (e</w:t>
      </w:r>
      <w:r w:rsidR="00B05165">
        <w:t>.</w:t>
      </w:r>
      <w:r>
        <w:t xml:space="preserve">g. </w:t>
      </w:r>
      <w:r w:rsidR="00900D53">
        <w:t xml:space="preserve">Green, 2002; </w:t>
      </w:r>
      <w:proofErr w:type="spellStart"/>
      <w:r>
        <w:t>Holford</w:t>
      </w:r>
      <w:proofErr w:type="spellEnd"/>
      <w:r>
        <w:t xml:space="preserve"> et al., 2008)</w:t>
      </w:r>
      <w:r w:rsidR="00962829">
        <w:t>,</w:t>
      </w:r>
      <w:r w:rsidR="004F7476">
        <w:t xml:space="preserve"> is best illustrated in figure 9</w:t>
      </w:r>
      <w:r w:rsidR="00701C0B">
        <w:t>b.</w:t>
      </w:r>
    </w:p>
    <w:p w14:paraId="5FF63DA7" w14:textId="5A71AC50" w:rsidR="003B2D81" w:rsidRDefault="001C14BC" w:rsidP="009E071D">
      <w:pPr>
        <w:pStyle w:val="Heading1"/>
        <w:spacing w:line="360" w:lineRule="auto"/>
      </w:pPr>
      <w:r>
        <w:t>5.2 Application of</w:t>
      </w:r>
      <w:r w:rsidRPr="00CA4231">
        <w:t xml:space="preserve"> </w:t>
      </w:r>
      <w:r>
        <w:t xml:space="preserve">the </w:t>
      </w:r>
      <w:r w:rsidR="003B2D81" w:rsidRPr="00CA4231">
        <w:t>model</w:t>
      </w:r>
      <w:r w:rsidR="000710A2">
        <w:t>ling</w:t>
      </w:r>
      <w:r w:rsidR="00CC1E0A">
        <w:t xml:space="preserve"> of lithospheric</w:t>
      </w:r>
      <w:r>
        <w:t xml:space="preserve"> extension and granite emplacement.</w:t>
      </w:r>
    </w:p>
    <w:p w14:paraId="04A814D3" w14:textId="7683AE84" w:rsidR="003B2D81" w:rsidRDefault="003B2D81" w:rsidP="009E071D">
      <w:pPr>
        <w:spacing w:line="360" w:lineRule="auto"/>
      </w:pPr>
      <w:r w:rsidRPr="00F34F04">
        <w:tab/>
      </w:r>
      <w:r>
        <w:t>Our 2D model</w:t>
      </w:r>
      <w:r w:rsidR="001A4192">
        <w:t>s</w:t>
      </w:r>
      <w:r w:rsidR="003020EB">
        <w:t xml:space="preserve"> (Figs. 10 and 11</w:t>
      </w:r>
      <w:r w:rsidR="00B64E1C">
        <w:t>)</w:t>
      </w:r>
      <w:r w:rsidR="001A4192">
        <w:t xml:space="preserve"> are</w:t>
      </w:r>
      <w:r>
        <w:t xml:space="preserve"> applied to the Alston Block and the adjacent </w:t>
      </w:r>
      <w:r w:rsidR="00E97D2B">
        <w:t xml:space="preserve">Northumberland and </w:t>
      </w:r>
      <w:proofErr w:type="spellStart"/>
      <w:r w:rsidR="00E97D2B">
        <w:t>Stainmore</w:t>
      </w:r>
      <w:proofErr w:type="spellEnd"/>
      <w:r w:rsidR="00E97D2B">
        <w:t xml:space="preserve"> </w:t>
      </w:r>
      <w:r w:rsidR="00E34557">
        <w:t>troughs</w:t>
      </w:r>
      <w:r>
        <w:t>.</w:t>
      </w:r>
      <w:r w:rsidR="00DB00A3">
        <w:t xml:space="preserve"> Forward modelling is performed in an attempt to replicate </w:t>
      </w:r>
      <w:r w:rsidR="00A86D05">
        <w:t>the interpreted basin geometries of Chadwick et al</w:t>
      </w:r>
      <w:r w:rsidR="00734268">
        <w:t>.</w:t>
      </w:r>
      <w:r w:rsidR="00A86D05">
        <w:t xml:space="preserve"> (1995)</w:t>
      </w:r>
      <w:r w:rsidR="00DB00A3">
        <w:t>.</w:t>
      </w:r>
      <w:r>
        <w:t xml:space="preserve"> </w:t>
      </w:r>
      <w:r w:rsidR="0077315F">
        <w:t xml:space="preserve">The </w:t>
      </w:r>
      <w:r w:rsidR="002926FE">
        <w:t>e</w:t>
      </w:r>
      <w:r w:rsidR="0077315F">
        <w:t xml:space="preserve">ffects of the underlying igneous bodies are investigated by simulating extensional basin profiles with and without the granite-induced density contrast. </w:t>
      </w:r>
      <w:r w:rsidR="00DB00A3">
        <w:t xml:space="preserve">In </w:t>
      </w:r>
      <w:r w:rsidR="002926FE">
        <w:t xml:space="preserve">so </w:t>
      </w:r>
      <w:r w:rsidR="00DB00A3">
        <w:t>doing, we seek</w:t>
      </w:r>
      <w:r>
        <w:t xml:space="preserve"> to integrate and test the models</w:t>
      </w:r>
      <w:r w:rsidR="00D93F39">
        <w:t xml:space="preserve"> and ideas</w:t>
      </w:r>
      <w:r>
        <w:t xml:space="preserve"> previously outlined and to help gain a greater understanding of the deeper processes which ult</w:t>
      </w:r>
      <w:r w:rsidR="004922A3">
        <w:t>imately govern basin architecture</w:t>
      </w:r>
      <w:r>
        <w:t>.</w:t>
      </w:r>
    </w:p>
    <w:p w14:paraId="6CCB32B4" w14:textId="5AEFBF33" w:rsidR="00061161" w:rsidRPr="00061161" w:rsidRDefault="0006395A" w:rsidP="009E071D">
      <w:pPr>
        <w:pStyle w:val="Heading3"/>
        <w:spacing w:line="360" w:lineRule="auto"/>
      </w:pPr>
      <w:r>
        <w:t>5.2.1</w:t>
      </w:r>
      <w:r w:rsidR="00061161" w:rsidRPr="00061161">
        <w:t xml:space="preserve"> Modelling principles </w:t>
      </w:r>
    </w:p>
    <w:p w14:paraId="18804BC9" w14:textId="1945316C" w:rsidR="00814F90" w:rsidRDefault="003B2D81" w:rsidP="009E071D">
      <w:pPr>
        <w:spacing w:line="360" w:lineRule="auto"/>
      </w:pPr>
      <w:r>
        <w:tab/>
      </w:r>
      <w:r w:rsidR="00814F90">
        <w:t xml:space="preserve">The structural and geodynamic modelling approach used in this study represents a section of lithosphere as a numerical model and then simulates its deformation by a variety of processes. A typical starting condition for the modelling is a regional cross-section of </w:t>
      </w:r>
      <w:proofErr w:type="spellStart"/>
      <w:r w:rsidR="00814F90">
        <w:t>undeformed</w:t>
      </w:r>
      <w:proofErr w:type="spellEnd"/>
      <w:r w:rsidR="00814F90">
        <w:t xml:space="preserve"> lithosphere. The crustal component of this lithosphere is assumed to be 35 km </w:t>
      </w:r>
      <w:r w:rsidR="00E83055">
        <w:t xml:space="preserve">thick with a density of 2800 kg </w:t>
      </w:r>
      <w:r w:rsidR="00814F90">
        <w:t>m</w:t>
      </w:r>
      <w:r w:rsidR="00814F90" w:rsidRPr="002E7FA9">
        <w:rPr>
          <w:vertAlign w:val="superscript"/>
        </w:rPr>
        <w:t>3</w:t>
      </w:r>
      <w:r w:rsidR="00814F90">
        <w:t>, while the mantle lithosphere is assumed to be 90 km thick with a d</w:t>
      </w:r>
      <w:r w:rsidR="001E3C40">
        <w:t>ensity of 3300</w:t>
      </w:r>
      <w:r w:rsidR="00E83055">
        <w:t xml:space="preserve"> kg </w:t>
      </w:r>
      <w:r w:rsidR="00814F90">
        <w:t>m</w:t>
      </w:r>
      <w:r w:rsidR="00814F90" w:rsidRPr="002E7FA9">
        <w:rPr>
          <w:vertAlign w:val="superscript"/>
        </w:rPr>
        <w:t>-3</w:t>
      </w:r>
      <w:r w:rsidR="00814F90">
        <w:t xml:space="preserve">. The modelled lithosphere is thermally conditioned with a </w:t>
      </w:r>
      <w:proofErr w:type="spellStart"/>
      <w:r w:rsidR="00814F90">
        <w:t>geotherm</w:t>
      </w:r>
      <w:proofErr w:type="spellEnd"/>
      <w:r w:rsidR="00814F90">
        <w:t>, which has a surface temperature of 0</w:t>
      </w:r>
      <w:r w:rsidR="0083032F">
        <w:rPr>
          <w:rFonts w:cstheme="minorHAnsi"/>
        </w:rPr>
        <w:t>°</w:t>
      </w:r>
      <w:r w:rsidR="00814F90">
        <w:t>C and a temperature at the lithospher</w:t>
      </w:r>
      <w:r w:rsidR="0083032F">
        <w:t>e-asthenosphere boundary of 1333</w:t>
      </w:r>
      <w:r w:rsidR="0083032F">
        <w:rPr>
          <w:rFonts w:cstheme="minorHAnsi"/>
        </w:rPr>
        <w:t>°</w:t>
      </w:r>
      <w:r w:rsidR="00814F90">
        <w:t xml:space="preserve">C. </w:t>
      </w:r>
      <w:r w:rsidR="007D5B02">
        <w:t xml:space="preserve">These parameters can be varied. </w:t>
      </w:r>
      <w:r w:rsidR="00814F90">
        <w:t>Once the lithosphere is defined it is then possible to model its deformation via a variety of geological and geodynamic processes.</w:t>
      </w:r>
      <w:r w:rsidR="00C50357">
        <w:t xml:space="preserve"> More c</w:t>
      </w:r>
      <w:r w:rsidR="00C50357" w:rsidRPr="00F34F04">
        <w:t xml:space="preserve">omprehensive descriptions of </w:t>
      </w:r>
      <w:r w:rsidR="00C50357">
        <w:t>the modelling approach utilised here</w:t>
      </w:r>
      <w:r w:rsidR="00C50357" w:rsidRPr="00F34F04">
        <w:t xml:space="preserve"> are presented in </w:t>
      </w:r>
      <w:proofErr w:type="spellStart"/>
      <w:r w:rsidR="00C50357" w:rsidRPr="00F34F04">
        <w:t>Kusznir</w:t>
      </w:r>
      <w:proofErr w:type="spellEnd"/>
      <w:r w:rsidR="00C50357" w:rsidRPr="00F34F04">
        <w:t xml:space="preserve"> a</w:t>
      </w:r>
      <w:r w:rsidR="00C50357">
        <w:t xml:space="preserve">nd Egan (1989), Egan (1992), </w:t>
      </w:r>
      <w:r w:rsidR="00C50357" w:rsidRPr="00F34F04">
        <w:t>Egan</w:t>
      </w:r>
      <w:r w:rsidR="00C50357">
        <w:t xml:space="preserve"> and Urquhart (1993) and Meredith and Egan (2002)</w:t>
      </w:r>
      <w:r w:rsidR="00B26BDD">
        <w:t>, and will not be repeated here</w:t>
      </w:r>
      <w:r w:rsidR="00C50357">
        <w:t>.</w:t>
      </w:r>
    </w:p>
    <w:p w14:paraId="3F339E5F" w14:textId="2A8E8CBE" w:rsidR="003B2D81" w:rsidRPr="0061699F" w:rsidRDefault="0077315F" w:rsidP="009E071D">
      <w:pPr>
        <w:spacing w:line="360" w:lineRule="auto"/>
        <w:ind w:firstLine="720"/>
      </w:pPr>
      <w:r>
        <w:t>T</w:t>
      </w:r>
      <w:r w:rsidR="003B2D81">
        <w:t>he</w:t>
      </w:r>
      <w:r w:rsidR="00B26BDD">
        <w:t xml:space="preserve"> model assumes a brittle-ductile transition</w:t>
      </w:r>
      <w:r w:rsidR="003B2D81">
        <w:t xml:space="preserve"> </w:t>
      </w:r>
      <w:r w:rsidR="00B26BDD">
        <w:t xml:space="preserve">at a depth of 20 km within the </w:t>
      </w:r>
      <w:r w:rsidR="003B2D81">
        <w:t>crust</w:t>
      </w:r>
      <w:r w:rsidR="007D5B02">
        <w:t xml:space="preserve"> </w:t>
      </w:r>
      <w:r w:rsidR="007E60DF">
        <w:t>(e</w:t>
      </w:r>
      <w:r w:rsidR="00B5117E">
        <w:t>.</w:t>
      </w:r>
      <w:r w:rsidR="007E60DF">
        <w:t xml:space="preserve">g. </w:t>
      </w:r>
      <w:proofErr w:type="spellStart"/>
      <w:r w:rsidR="007E60DF">
        <w:t>Kusznir</w:t>
      </w:r>
      <w:proofErr w:type="spellEnd"/>
      <w:r w:rsidR="007E60DF">
        <w:t xml:space="preserve"> and Park</w:t>
      </w:r>
      <w:r w:rsidR="003B2D81">
        <w:t xml:space="preserve">, 1987). Above this boundary, </w:t>
      </w:r>
      <w:r w:rsidR="00E67184">
        <w:t xml:space="preserve">the lithosphere </w:t>
      </w:r>
      <w:r w:rsidR="00B11C22">
        <w:t xml:space="preserve">is brittle and </w:t>
      </w:r>
      <w:r w:rsidR="00E67184">
        <w:t xml:space="preserve">deforms by simple shear with </w:t>
      </w:r>
      <w:r w:rsidR="003B2D81">
        <w:t>subsidence controlled by fault heave and the underlying fault geometr</w:t>
      </w:r>
      <w:r w:rsidR="00E67184">
        <w:t>y</w:t>
      </w:r>
      <w:r w:rsidR="003B2D81">
        <w:t>. In the brittle crust, crustal thinning is calculated using the Chevron or vertical shear construction (</w:t>
      </w:r>
      <w:proofErr w:type="spellStart"/>
      <w:r w:rsidR="003B2D81">
        <w:t>Verall</w:t>
      </w:r>
      <w:proofErr w:type="spellEnd"/>
      <w:r w:rsidR="003B2D81">
        <w:t>, 1982; White et al., 1986). All faults are assumed to have a common detachment depth</w:t>
      </w:r>
      <w:r w:rsidR="00477025">
        <w:t xml:space="preserve"> </w:t>
      </w:r>
      <w:r w:rsidR="00B26BDD">
        <w:t xml:space="preserve">coinciding </w:t>
      </w:r>
      <w:r w:rsidR="00752C24">
        <w:t>with</w:t>
      </w:r>
      <w:r>
        <w:t xml:space="preserve"> the brittle-ductile transition</w:t>
      </w:r>
      <w:r w:rsidR="003B2D81">
        <w:t>. The location</w:t>
      </w:r>
      <w:r w:rsidR="00B11C22">
        <w:t>s</w:t>
      </w:r>
      <w:r w:rsidR="003B2D81">
        <w:t xml:space="preserve"> and horizontal displacements of faults (see table 3) are based on the interpretations of Chadwick et al</w:t>
      </w:r>
      <w:r w:rsidR="00EC5F46">
        <w:t>.</w:t>
      </w:r>
      <w:r w:rsidR="003B2D81">
        <w:t xml:space="preserve"> (1995). As the model</w:t>
      </w:r>
      <w:r w:rsidR="001B044C">
        <w:t>s are</w:t>
      </w:r>
      <w:r w:rsidR="003B2D81">
        <w:t xml:space="preserve"> purely 2D, the orientation of maximum extension is assumed to be parallel to the cross-section. Over </w:t>
      </w:r>
      <w:r w:rsidR="00C72A30">
        <w:t>the length of the modelled section</w:t>
      </w:r>
      <w:r w:rsidR="003B2D81">
        <w:t xml:space="preserve"> (Fig.</w:t>
      </w:r>
      <w:r w:rsidR="003020EB">
        <w:t xml:space="preserve"> 10)</w:t>
      </w:r>
      <w:r w:rsidR="00C72A30">
        <w:t>,</w:t>
      </w:r>
      <w:r w:rsidR="003B2D81">
        <w:t xml:space="preserve"> </w:t>
      </w:r>
      <w:r w:rsidR="00C72A30">
        <w:t xml:space="preserve">the total </w:t>
      </w:r>
      <w:r w:rsidR="003B2D81">
        <w:t>heave is 8.5</w:t>
      </w:r>
      <w:r w:rsidR="001B044C">
        <w:t xml:space="preserve"> </w:t>
      </w:r>
      <w:r w:rsidR="003B2D81">
        <w:t>km</w:t>
      </w:r>
      <w:r w:rsidR="00C72A30">
        <w:t>,</w:t>
      </w:r>
      <w:r w:rsidR="003B2D81">
        <w:t xml:space="preserve"> equating to </w:t>
      </w:r>
      <w:r w:rsidR="00E83055">
        <w:t xml:space="preserve">a magnitude of extension </w:t>
      </w:r>
      <w:r w:rsidR="003B2D81">
        <w:t>(</w:t>
      </w:r>
      <m:oMath>
        <m:r>
          <w:rPr>
            <w:rFonts w:ascii="Cambria Math" w:hAnsi="Cambria Math"/>
          </w:rPr>
          <m:t>β</m:t>
        </m:r>
      </m:oMath>
      <w:r>
        <w:rPr>
          <w:rFonts w:eastAsiaTheme="minorEastAsia"/>
        </w:rPr>
        <w:t xml:space="preserve">) </w:t>
      </w:r>
      <w:r w:rsidR="00B11C22">
        <w:rPr>
          <w:rFonts w:eastAsiaTheme="minorEastAsia"/>
        </w:rPr>
        <w:t xml:space="preserve">of </w:t>
      </w:r>
      <w:r w:rsidR="003B2D81">
        <w:rPr>
          <w:rFonts w:eastAsiaTheme="minorEastAsia"/>
        </w:rPr>
        <w:t xml:space="preserve">1.09. </w:t>
      </w:r>
      <w:r w:rsidR="00E97A50">
        <w:rPr>
          <w:rFonts w:eastAsiaTheme="minorEastAsia"/>
        </w:rPr>
        <w:t xml:space="preserve">This value is </w:t>
      </w:r>
      <w:r w:rsidR="00E97A50">
        <w:rPr>
          <w:rFonts w:eastAsiaTheme="minorEastAsia"/>
        </w:rPr>
        <w:lastRenderedPageBreak/>
        <w:t xml:space="preserve">lower than </w:t>
      </w:r>
      <w:r w:rsidR="00734268">
        <w:rPr>
          <w:rFonts w:eastAsiaTheme="minorEastAsia"/>
        </w:rPr>
        <w:t xml:space="preserve">that cited by </w:t>
      </w:r>
      <w:proofErr w:type="spellStart"/>
      <w:r w:rsidR="00E97A50">
        <w:rPr>
          <w:rFonts w:eastAsiaTheme="minorEastAsia"/>
        </w:rPr>
        <w:t>Kimbell</w:t>
      </w:r>
      <w:proofErr w:type="spellEnd"/>
      <w:r w:rsidR="00734268">
        <w:rPr>
          <w:rFonts w:eastAsiaTheme="minorEastAsia"/>
        </w:rPr>
        <w:t xml:space="preserve"> et al.</w:t>
      </w:r>
      <w:r w:rsidR="00E97A50">
        <w:rPr>
          <w:rFonts w:eastAsiaTheme="minorEastAsia"/>
        </w:rPr>
        <w:t xml:space="preserve"> (1989</w:t>
      </w:r>
      <w:r w:rsidR="00B11C22">
        <w:rPr>
          <w:rFonts w:eastAsiaTheme="minorEastAsia"/>
        </w:rPr>
        <w:t>:</w:t>
      </w:r>
      <w:r w:rsidR="00734268">
        <w:rPr>
          <w:rFonts w:eastAsiaTheme="minorEastAsia"/>
        </w:rPr>
        <w:t xml:space="preserve"> </w:t>
      </w:r>
      <m:oMath>
        <m:r>
          <w:rPr>
            <w:rFonts w:ascii="Cambria Math" w:hAnsi="Cambria Math"/>
          </w:rPr>
          <m:t>β</m:t>
        </m:r>
      </m:oMath>
      <w:r>
        <w:rPr>
          <w:rFonts w:eastAsiaTheme="minorEastAsia"/>
        </w:rPr>
        <w:t xml:space="preserve"> = </w:t>
      </w:r>
      <w:r w:rsidR="00E97A50">
        <w:rPr>
          <w:rFonts w:eastAsiaTheme="minorEastAsia"/>
        </w:rPr>
        <w:t>1.19</w:t>
      </w:r>
      <w:r w:rsidR="00734268">
        <w:rPr>
          <w:rFonts w:eastAsiaTheme="minorEastAsia"/>
        </w:rPr>
        <w:t>)</w:t>
      </w:r>
      <w:r w:rsidR="00E97A50">
        <w:rPr>
          <w:rFonts w:eastAsiaTheme="minorEastAsia"/>
        </w:rPr>
        <w:t xml:space="preserve"> for the same basin</w:t>
      </w:r>
      <w:r w:rsidR="001F22C3">
        <w:rPr>
          <w:rFonts w:eastAsiaTheme="minorEastAsia"/>
        </w:rPr>
        <w:t>;</w:t>
      </w:r>
      <w:r w:rsidR="00D275BA">
        <w:rPr>
          <w:rFonts w:eastAsiaTheme="minorEastAsia"/>
        </w:rPr>
        <w:t xml:space="preserve"> as t</w:t>
      </w:r>
      <w:r w:rsidR="001F22C3">
        <w:rPr>
          <w:rFonts w:eastAsiaTheme="minorEastAsia"/>
        </w:rPr>
        <w:t xml:space="preserve">heir </w:t>
      </w:r>
      <w:r w:rsidR="00E83055">
        <w:rPr>
          <w:rFonts w:eastAsiaTheme="minorEastAsia"/>
        </w:rPr>
        <w:t>magnitude of extension</w:t>
      </w:r>
      <w:r w:rsidR="00E97A50">
        <w:rPr>
          <w:rFonts w:eastAsiaTheme="minorEastAsia"/>
        </w:rPr>
        <w:t xml:space="preserve"> </w:t>
      </w:r>
      <w:r w:rsidR="001F22C3">
        <w:rPr>
          <w:rFonts w:eastAsiaTheme="minorEastAsia"/>
        </w:rPr>
        <w:t xml:space="preserve">also </w:t>
      </w:r>
      <w:r w:rsidR="00E97A50">
        <w:rPr>
          <w:rFonts w:eastAsiaTheme="minorEastAsia"/>
        </w:rPr>
        <w:t>accounted for incline</w:t>
      </w:r>
      <w:r w:rsidR="00477025">
        <w:rPr>
          <w:rFonts w:eastAsiaTheme="minorEastAsia"/>
        </w:rPr>
        <w:t>d</w:t>
      </w:r>
      <w:r w:rsidR="00E97A50">
        <w:rPr>
          <w:rFonts w:eastAsiaTheme="minorEastAsia"/>
        </w:rPr>
        <w:t xml:space="preserve"> simple shear</w:t>
      </w:r>
      <w:r w:rsidR="00D275BA">
        <w:rPr>
          <w:rFonts w:eastAsiaTheme="minorEastAsia"/>
        </w:rPr>
        <w:t>.</w:t>
      </w:r>
      <w:r w:rsidR="001F22C3">
        <w:rPr>
          <w:rFonts w:eastAsiaTheme="minorEastAsia"/>
        </w:rPr>
        <w:t xml:space="preserve"> </w:t>
      </w:r>
      <w:r w:rsidR="00D275BA">
        <w:rPr>
          <w:rFonts w:eastAsiaTheme="minorEastAsia"/>
        </w:rPr>
        <w:t>Our extensional fac</w:t>
      </w:r>
      <w:r w:rsidR="001F22C3">
        <w:rPr>
          <w:rFonts w:eastAsiaTheme="minorEastAsia"/>
        </w:rPr>
        <w:t>tor is also lower than that</w:t>
      </w:r>
      <w:r w:rsidR="00291B29">
        <w:rPr>
          <w:rFonts w:eastAsiaTheme="minorEastAsia"/>
        </w:rPr>
        <w:t xml:space="preserve"> </w:t>
      </w:r>
      <w:r w:rsidR="00A0111B">
        <w:rPr>
          <w:rFonts w:eastAsiaTheme="minorEastAsia"/>
        </w:rPr>
        <w:t xml:space="preserve">proposed by </w:t>
      </w:r>
      <w:r w:rsidR="00E97A50">
        <w:rPr>
          <w:rFonts w:eastAsiaTheme="minorEastAsia"/>
        </w:rPr>
        <w:t>the same author</w:t>
      </w:r>
      <w:r w:rsidR="001F22C3">
        <w:rPr>
          <w:rFonts w:eastAsiaTheme="minorEastAsia"/>
        </w:rPr>
        <w:t>s (</w:t>
      </w:r>
      <m:oMath>
        <m:r>
          <w:rPr>
            <w:rFonts w:ascii="Cambria Math" w:hAnsi="Cambria Math"/>
          </w:rPr>
          <m:t>β</m:t>
        </m:r>
      </m:oMath>
      <w:r w:rsidR="001F22C3">
        <w:rPr>
          <w:rFonts w:eastAsiaTheme="minorEastAsia"/>
        </w:rPr>
        <w:t xml:space="preserve"> = 1.3)</w:t>
      </w:r>
      <w:r w:rsidR="00E97A50">
        <w:rPr>
          <w:rFonts w:eastAsiaTheme="minorEastAsia"/>
        </w:rPr>
        <w:t xml:space="preserve"> </w:t>
      </w:r>
      <w:r w:rsidR="00A0111B">
        <w:rPr>
          <w:rFonts w:eastAsiaTheme="minorEastAsia"/>
        </w:rPr>
        <w:t xml:space="preserve">based on the magnitude </w:t>
      </w:r>
      <w:r w:rsidR="00C72A30">
        <w:rPr>
          <w:rFonts w:eastAsiaTheme="minorEastAsia"/>
        </w:rPr>
        <w:t>of</w:t>
      </w:r>
      <w:r w:rsidR="00E97A50">
        <w:rPr>
          <w:rFonts w:eastAsiaTheme="minorEastAsia"/>
        </w:rPr>
        <w:t xml:space="preserve"> post-</w:t>
      </w:r>
      <w:r w:rsidR="00C72A30">
        <w:rPr>
          <w:rFonts w:eastAsiaTheme="minorEastAsia"/>
        </w:rPr>
        <w:t>rift</w:t>
      </w:r>
      <w:r w:rsidR="00E97A50">
        <w:rPr>
          <w:rFonts w:eastAsiaTheme="minorEastAsia"/>
        </w:rPr>
        <w:t xml:space="preserve"> thermal subsidence. </w:t>
      </w:r>
      <w:r w:rsidR="00C72A30">
        <w:rPr>
          <w:rFonts w:eastAsiaTheme="minorEastAsia"/>
        </w:rPr>
        <w:t xml:space="preserve">It is very unlikely, however, that the cross-section presented in figure 10a includes all of the fault-controlled deformation in the area, which </w:t>
      </w:r>
      <w:r w:rsidR="00D275BA">
        <w:rPr>
          <w:rFonts w:eastAsiaTheme="minorEastAsia"/>
        </w:rPr>
        <w:t xml:space="preserve">may </w:t>
      </w:r>
      <w:r w:rsidR="00C72A30">
        <w:rPr>
          <w:rFonts w:eastAsiaTheme="minorEastAsia"/>
        </w:rPr>
        <w:t>explain t</w:t>
      </w:r>
      <w:r w:rsidR="00E97A50">
        <w:rPr>
          <w:rFonts w:eastAsiaTheme="minorEastAsia"/>
        </w:rPr>
        <w:t>his</w:t>
      </w:r>
      <w:r w:rsidR="00C72A30">
        <w:rPr>
          <w:rFonts w:eastAsiaTheme="minorEastAsia"/>
        </w:rPr>
        <w:t xml:space="preserve"> mismatch</w:t>
      </w:r>
      <w:r w:rsidR="00E97A50">
        <w:rPr>
          <w:rFonts w:eastAsiaTheme="minorEastAsia"/>
        </w:rPr>
        <w:t>.</w:t>
      </w:r>
    </w:p>
    <w:p w14:paraId="3A4F736F" w14:textId="77A62156" w:rsidR="003B2D81" w:rsidRDefault="003B2D81" w:rsidP="009E071D">
      <w:pPr>
        <w:spacing w:line="360" w:lineRule="auto"/>
        <w:rPr>
          <w:rFonts w:eastAsiaTheme="minorEastAsia"/>
        </w:rPr>
      </w:pPr>
      <w:r>
        <w:rPr>
          <w:rFonts w:eastAsiaTheme="minorEastAsia"/>
        </w:rPr>
        <w:tab/>
      </w:r>
      <w:r>
        <w:t>The model</w:t>
      </w:r>
      <w:r w:rsidR="0077315F">
        <w:t>s assume</w:t>
      </w:r>
      <w:r>
        <w:t xml:space="preserve"> that the lithosphere deforms </w:t>
      </w:r>
      <w:r w:rsidR="0077315F">
        <w:t>via</w:t>
      </w:r>
      <w:r>
        <w:t xml:space="preserve"> pure shear </w:t>
      </w:r>
      <w:r w:rsidR="00C72A30">
        <w:t xml:space="preserve">extension </w:t>
      </w:r>
      <w:r>
        <w:t>belo</w:t>
      </w:r>
      <w:r w:rsidR="0077315F">
        <w:t>w</w:t>
      </w:r>
      <w:r w:rsidR="00C72A30">
        <w:t xml:space="preserve"> the </w:t>
      </w:r>
      <w:r w:rsidR="00D275BA">
        <w:t xml:space="preserve">brittle-ductile transition </w:t>
      </w:r>
      <w:r w:rsidR="0022105B">
        <w:t>at</w:t>
      </w:r>
      <w:r w:rsidR="00566CC0">
        <w:t xml:space="preserve"> </w:t>
      </w:r>
      <w:r w:rsidR="0077315F">
        <w:t>20</w:t>
      </w:r>
      <w:r w:rsidR="00672190">
        <w:t xml:space="preserve"> </w:t>
      </w:r>
      <w:r w:rsidR="0077315F">
        <w:t xml:space="preserve">km. </w:t>
      </w:r>
      <w:r w:rsidR="00C72A30">
        <w:t>Both</w:t>
      </w:r>
      <w:r>
        <w:t xml:space="preserve"> the lateral position and magnitude of pure shear can be defined independently </w:t>
      </w:r>
      <w:r w:rsidR="00232767">
        <w:t xml:space="preserve">of the overlying </w:t>
      </w:r>
      <w:r w:rsidR="00D275BA">
        <w:t xml:space="preserve">simple shear </w:t>
      </w:r>
      <w:r w:rsidR="00232767">
        <w:t xml:space="preserve">deformation </w:t>
      </w:r>
      <w:r>
        <w:t>so as to simulate depth-dependent extension (e</w:t>
      </w:r>
      <w:r w:rsidR="004F1065">
        <w:t>.</w:t>
      </w:r>
      <w:r>
        <w:t xml:space="preserve">g. </w:t>
      </w:r>
      <w:proofErr w:type="spellStart"/>
      <w:r>
        <w:t>Royden</w:t>
      </w:r>
      <w:proofErr w:type="spellEnd"/>
      <w:r>
        <w:t xml:space="preserve"> and Keen, 1980).</w:t>
      </w:r>
      <w:r w:rsidRPr="00646647">
        <w:rPr>
          <w:rFonts w:eastAsiaTheme="minorEastAsia"/>
        </w:rPr>
        <w:t xml:space="preserve"> </w:t>
      </w:r>
      <w:r>
        <w:rPr>
          <w:rFonts w:eastAsiaTheme="minorEastAsia"/>
        </w:rPr>
        <w:t xml:space="preserve">To compensate for </w:t>
      </w:r>
      <w:r w:rsidR="00232767">
        <w:rPr>
          <w:rFonts w:eastAsiaTheme="minorEastAsia"/>
        </w:rPr>
        <w:t xml:space="preserve">a </w:t>
      </w:r>
      <w:r>
        <w:rPr>
          <w:rFonts w:eastAsiaTheme="minorEastAsia"/>
        </w:rPr>
        <w:t xml:space="preserve">low value of </w:t>
      </w:r>
      <w:r w:rsidR="00232767">
        <w:rPr>
          <w:rFonts w:eastAsiaTheme="minorEastAsia"/>
        </w:rPr>
        <w:t xml:space="preserve">upper </w:t>
      </w:r>
      <w:r>
        <w:rPr>
          <w:rFonts w:eastAsiaTheme="minorEastAsia"/>
        </w:rPr>
        <w:t>crustal extension and widely postulated regional out of plane extension (Dewey, 1982; Coward, 1993</w:t>
      </w:r>
      <w:r w:rsidRPr="004D25F2">
        <w:rPr>
          <w:rFonts w:eastAsiaTheme="minorEastAsia"/>
        </w:rPr>
        <w:t xml:space="preserve">), a maximum </w:t>
      </w:r>
      <w:r w:rsidR="0062491E">
        <w:rPr>
          <w:rFonts w:eastAsiaTheme="minorEastAsia"/>
        </w:rPr>
        <w:t xml:space="preserve">pure shear extension </w:t>
      </w:r>
      <w:r w:rsidRPr="004D25F2">
        <w:rPr>
          <w:rFonts w:eastAsiaTheme="minorEastAsia"/>
        </w:rPr>
        <w:t xml:space="preserve">value of </w:t>
      </w:r>
      <m:oMath>
        <m:r>
          <w:rPr>
            <w:rFonts w:ascii="Cambria Math" w:hAnsi="Cambria Math"/>
          </w:rPr>
          <m:t>β</m:t>
        </m:r>
      </m:oMath>
      <w:r w:rsidR="004D25F2" w:rsidRPr="004D25F2">
        <w:rPr>
          <w:rFonts w:eastAsiaTheme="minorEastAsia"/>
        </w:rPr>
        <w:t xml:space="preserve"> =</w:t>
      </w:r>
      <w:r w:rsidR="004D25F2">
        <w:rPr>
          <w:rFonts w:eastAsiaTheme="minorEastAsia"/>
        </w:rPr>
        <w:t xml:space="preserve"> </w:t>
      </w:r>
      <w:r w:rsidRPr="004D25F2">
        <w:rPr>
          <w:rFonts w:eastAsiaTheme="minorEastAsia"/>
        </w:rPr>
        <w:t xml:space="preserve">1.25 is applied. </w:t>
      </w:r>
      <w:r w:rsidR="00F6263A" w:rsidRPr="004D25F2">
        <w:rPr>
          <w:rFonts w:eastAsiaTheme="minorEastAsia"/>
        </w:rPr>
        <w:t>Pure shear is unevenly distributed a</w:t>
      </w:r>
      <w:r w:rsidR="004D25F2" w:rsidRPr="004D25F2">
        <w:rPr>
          <w:rFonts w:eastAsiaTheme="minorEastAsia"/>
        </w:rPr>
        <w:t>cross the model; subsiding lateral</w:t>
      </w:r>
      <w:r w:rsidR="00A853AE">
        <w:rPr>
          <w:rFonts w:eastAsiaTheme="minorEastAsia"/>
        </w:rPr>
        <w:t>ly from the maximum value at 75</w:t>
      </w:r>
      <w:r w:rsidR="00477177">
        <w:rPr>
          <w:rFonts w:eastAsiaTheme="minorEastAsia"/>
        </w:rPr>
        <w:t xml:space="preserve"> </w:t>
      </w:r>
      <w:r w:rsidR="004D25F2" w:rsidRPr="004D25F2">
        <w:rPr>
          <w:rFonts w:eastAsiaTheme="minorEastAsia"/>
        </w:rPr>
        <w:t xml:space="preserve">km to </w:t>
      </w:r>
      <m:oMath>
        <m:r>
          <w:rPr>
            <w:rFonts w:ascii="Cambria Math" w:hAnsi="Cambria Math"/>
          </w:rPr>
          <m:t>β</m:t>
        </m:r>
      </m:oMath>
      <w:r w:rsidR="00A853AE">
        <w:rPr>
          <w:rFonts w:eastAsiaTheme="minorEastAsia"/>
        </w:rPr>
        <w:t xml:space="preserve"> = 1 at 0 km and 1</w:t>
      </w:r>
      <w:r w:rsidR="004D25F2" w:rsidRPr="004D25F2">
        <w:rPr>
          <w:rFonts w:eastAsiaTheme="minorEastAsia"/>
        </w:rPr>
        <w:t>5</w:t>
      </w:r>
      <w:r w:rsidR="00A853AE">
        <w:rPr>
          <w:rFonts w:eastAsiaTheme="minorEastAsia"/>
        </w:rPr>
        <w:t>0</w:t>
      </w:r>
      <w:r w:rsidR="004D25F2" w:rsidRPr="004D25F2">
        <w:rPr>
          <w:rFonts w:eastAsiaTheme="minorEastAsia"/>
        </w:rPr>
        <w:t xml:space="preserve"> km.</w:t>
      </w:r>
      <w:r w:rsidR="000338EE">
        <w:rPr>
          <w:rFonts w:eastAsiaTheme="minorEastAsia"/>
        </w:rPr>
        <w:t xml:space="preserve"> </w:t>
      </w:r>
      <w:r w:rsidR="00EC6A96">
        <w:rPr>
          <w:rFonts w:eastAsiaTheme="minorEastAsia"/>
        </w:rPr>
        <w:t>The isostatic responses to the thinning of the lithosphere due to simpl</w:t>
      </w:r>
      <w:r w:rsidR="004F1065">
        <w:rPr>
          <w:rFonts w:eastAsiaTheme="minorEastAsia"/>
        </w:rPr>
        <w:t>e and pure shear are calculated.</w:t>
      </w:r>
    </w:p>
    <w:p w14:paraId="34E98132" w14:textId="0DCFE84B" w:rsidR="00BD4E65" w:rsidRDefault="00BD4E65" w:rsidP="009E071D">
      <w:pPr>
        <w:spacing w:line="360" w:lineRule="auto"/>
        <w:rPr>
          <w:rFonts w:eastAsiaTheme="minorEastAsia"/>
        </w:rPr>
      </w:pPr>
      <w:r>
        <w:rPr>
          <w:rFonts w:eastAsiaTheme="minorEastAsia"/>
        </w:rPr>
        <w:tab/>
        <w:t>The geometry of the</w:t>
      </w:r>
      <w:r w:rsidR="00037224">
        <w:rPr>
          <w:rFonts w:eastAsiaTheme="minorEastAsia"/>
        </w:rPr>
        <w:t xml:space="preserve"> modelled</w:t>
      </w:r>
      <w:r w:rsidR="0062491E">
        <w:rPr>
          <w:rFonts w:eastAsiaTheme="minorEastAsia"/>
        </w:rPr>
        <w:t xml:space="preserve"> basement and </w:t>
      </w:r>
      <w:proofErr w:type="spellStart"/>
      <w:r w:rsidR="0062491E">
        <w:rPr>
          <w:rFonts w:eastAsiaTheme="minorEastAsia"/>
        </w:rPr>
        <w:t>syn</w:t>
      </w:r>
      <w:proofErr w:type="spellEnd"/>
      <w:r w:rsidR="0062491E">
        <w:rPr>
          <w:rFonts w:eastAsiaTheme="minorEastAsia"/>
        </w:rPr>
        <w:t>-rift</w:t>
      </w:r>
      <w:r>
        <w:rPr>
          <w:rFonts w:eastAsiaTheme="minorEastAsia"/>
        </w:rPr>
        <w:t xml:space="preserve"> fill is </w:t>
      </w:r>
      <w:r w:rsidR="00B26BDD">
        <w:rPr>
          <w:rFonts w:eastAsiaTheme="minorEastAsia"/>
        </w:rPr>
        <w:t xml:space="preserve">mainly </w:t>
      </w:r>
      <w:r>
        <w:rPr>
          <w:rFonts w:eastAsiaTheme="minorEastAsia"/>
        </w:rPr>
        <w:t>a product of the underlying fault geometry and heave. The basement pro</w:t>
      </w:r>
      <w:r w:rsidR="00B1241C">
        <w:rPr>
          <w:rFonts w:eastAsiaTheme="minorEastAsia"/>
        </w:rPr>
        <w:t>file</w:t>
      </w:r>
      <w:r w:rsidR="001B37C8">
        <w:rPr>
          <w:rFonts w:eastAsiaTheme="minorEastAsia"/>
        </w:rPr>
        <w:t>s</w:t>
      </w:r>
      <w:r w:rsidR="003020EB">
        <w:rPr>
          <w:rFonts w:eastAsiaTheme="minorEastAsia"/>
        </w:rPr>
        <w:t xml:space="preserve"> portrayed in Figure</w:t>
      </w:r>
      <w:r w:rsidR="00B1241C">
        <w:rPr>
          <w:rFonts w:eastAsiaTheme="minorEastAsia"/>
        </w:rPr>
        <w:t>s</w:t>
      </w:r>
      <w:r w:rsidR="003020EB">
        <w:rPr>
          <w:rFonts w:eastAsiaTheme="minorEastAsia"/>
        </w:rPr>
        <w:t xml:space="preserve"> 9</w:t>
      </w:r>
      <w:r w:rsidR="001B37C8">
        <w:rPr>
          <w:rFonts w:eastAsiaTheme="minorEastAsia"/>
        </w:rPr>
        <w:t>a and b are</w:t>
      </w:r>
      <w:r>
        <w:rPr>
          <w:rFonts w:eastAsiaTheme="minorEastAsia"/>
        </w:rPr>
        <w:t xml:space="preserve"> based upon the interpretation of deep and relatively low </w:t>
      </w:r>
      <w:r w:rsidR="00B1241C">
        <w:rPr>
          <w:rFonts w:eastAsiaTheme="minorEastAsia"/>
        </w:rPr>
        <w:t>resolution seismic data</w:t>
      </w:r>
      <w:r w:rsidR="001B37C8">
        <w:rPr>
          <w:rFonts w:eastAsiaTheme="minorEastAsia"/>
        </w:rPr>
        <w:t xml:space="preserve"> (Chadwick et al., 1995)</w:t>
      </w:r>
      <w:r w:rsidR="004A61B6">
        <w:rPr>
          <w:rFonts w:eastAsiaTheme="minorEastAsia"/>
        </w:rPr>
        <w:t>,</w:t>
      </w:r>
      <w:r w:rsidR="004F7F45">
        <w:rPr>
          <w:rFonts w:eastAsiaTheme="minorEastAsia"/>
        </w:rPr>
        <w:t xml:space="preserve"> and are </w:t>
      </w:r>
      <w:r w:rsidR="007C518E">
        <w:rPr>
          <w:rFonts w:eastAsiaTheme="minorEastAsia"/>
        </w:rPr>
        <w:t>not necessarily structurally balanced</w:t>
      </w:r>
      <w:r>
        <w:rPr>
          <w:rFonts w:eastAsiaTheme="minorEastAsia"/>
        </w:rPr>
        <w:t xml:space="preserve">. Nonetheless, this basement profile is </w:t>
      </w:r>
      <w:r w:rsidR="00B1241C">
        <w:rPr>
          <w:rFonts w:eastAsiaTheme="minorEastAsia"/>
        </w:rPr>
        <w:t>replicated</w:t>
      </w:r>
      <w:r w:rsidR="004A61B6">
        <w:rPr>
          <w:rFonts w:eastAsiaTheme="minorEastAsia"/>
        </w:rPr>
        <w:t xml:space="preserve"> </w:t>
      </w:r>
      <w:r>
        <w:rPr>
          <w:rFonts w:eastAsiaTheme="minorEastAsia"/>
        </w:rPr>
        <w:t xml:space="preserve">best by incorporating </w:t>
      </w:r>
      <w:proofErr w:type="spellStart"/>
      <w:r w:rsidR="00B26BDD">
        <w:rPr>
          <w:rFonts w:eastAsiaTheme="minorEastAsia"/>
        </w:rPr>
        <w:t>listric</w:t>
      </w:r>
      <w:proofErr w:type="spellEnd"/>
      <w:r w:rsidR="00B26BDD">
        <w:rPr>
          <w:rFonts w:eastAsiaTheme="minorEastAsia"/>
        </w:rPr>
        <w:t xml:space="preserve"> faults with</w:t>
      </w:r>
      <w:r>
        <w:rPr>
          <w:rFonts w:eastAsiaTheme="minorEastAsia"/>
        </w:rPr>
        <w:t xml:space="preserve"> </w:t>
      </w:r>
      <w:r w:rsidR="00B26BDD">
        <w:rPr>
          <w:rFonts w:eastAsiaTheme="minorEastAsia"/>
        </w:rPr>
        <w:t xml:space="preserve">a near-surface dip of </w:t>
      </w:r>
      <w:r>
        <w:rPr>
          <w:rFonts w:eastAsiaTheme="minorEastAsia"/>
        </w:rPr>
        <w:t>5</w:t>
      </w:r>
      <w:r w:rsidR="0062491E">
        <w:rPr>
          <w:rFonts w:eastAsiaTheme="minorEastAsia"/>
        </w:rPr>
        <w:t>5</w:t>
      </w:r>
      <w:r>
        <w:rPr>
          <w:rFonts w:eastAsiaTheme="minorEastAsia" w:cstheme="minorHAnsi"/>
        </w:rPr>
        <w:t>⁰</w:t>
      </w:r>
      <w:r w:rsidR="00E10A0C">
        <w:rPr>
          <w:rFonts w:eastAsiaTheme="minorEastAsia" w:cstheme="minorHAnsi"/>
        </w:rPr>
        <w:t xml:space="preserve"> </w:t>
      </w:r>
      <w:r w:rsidR="003020EB">
        <w:rPr>
          <w:rFonts w:eastAsiaTheme="minorEastAsia"/>
        </w:rPr>
        <w:t>(Fig. 10</w:t>
      </w:r>
      <w:r w:rsidR="004A61B6">
        <w:rPr>
          <w:rFonts w:eastAsiaTheme="minorEastAsia"/>
        </w:rPr>
        <w:t xml:space="preserve">; </w:t>
      </w:r>
      <w:r w:rsidR="00A24DE4">
        <w:rPr>
          <w:rFonts w:eastAsiaTheme="minorEastAsia"/>
        </w:rPr>
        <w:t>table 3)</w:t>
      </w:r>
      <w:r>
        <w:rPr>
          <w:rFonts w:eastAsiaTheme="minorEastAsia"/>
        </w:rPr>
        <w:t xml:space="preserve">. Such structures may reflect </w:t>
      </w:r>
      <w:r w:rsidR="00734268">
        <w:rPr>
          <w:rFonts w:eastAsiaTheme="minorEastAsia"/>
        </w:rPr>
        <w:t xml:space="preserve">inheritance from </w:t>
      </w:r>
      <w:r>
        <w:rPr>
          <w:rFonts w:eastAsiaTheme="minorEastAsia"/>
        </w:rPr>
        <w:t>the pre-Carboniferous Caledonian basement</w:t>
      </w:r>
      <w:r w:rsidR="00E34557">
        <w:rPr>
          <w:rFonts w:eastAsiaTheme="minorEastAsia"/>
        </w:rPr>
        <w:t>,</w:t>
      </w:r>
      <w:r>
        <w:rPr>
          <w:rFonts w:eastAsiaTheme="minorEastAsia"/>
        </w:rPr>
        <w:t xml:space="preserve"> which is exposed to the north of the study area in the Southern Uplands</w:t>
      </w:r>
      <w:r w:rsidR="00B6477B">
        <w:rPr>
          <w:rFonts w:eastAsiaTheme="minorEastAsia"/>
        </w:rPr>
        <w:t xml:space="preserve"> </w:t>
      </w:r>
      <w:r w:rsidR="00D275BA">
        <w:rPr>
          <w:rFonts w:eastAsiaTheme="minorEastAsia"/>
        </w:rPr>
        <w:t xml:space="preserve">of Scotland </w:t>
      </w:r>
      <w:r w:rsidR="00B6477B">
        <w:rPr>
          <w:rFonts w:eastAsiaTheme="minorEastAsia"/>
        </w:rPr>
        <w:t>(</w:t>
      </w:r>
      <w:proofErr w:type="spellStart"/>
      <w:r w:rsidR="007E60DF">
        <w:rPr>
          <w:rFonts w:eastAsiaTheme="minorEastAsia"/>
        </w:rPr>
        <w:t>Pharoah</w:t>
      </w:r>
      <w:proofErr w:type="spellEnd"/>
      <w:r w:rsidR="007E60DF">
        <w:rPr>
          <w:rFonts w:eastAsiaTheme="minorEastAsia"/>
        </w:rPr>
        <w:t xml:space="preserve"> et al., 1995</w:t>
      </w:r>
      <w:r w:rsidR="00B6477B">
        <w:rPr>
          <w:rFonts w:eastAsiaTheme="minorEastAsia"/>
        </w:rPr>
        <w:t>)</w:t>
      </w:r>
      <w:r>
        <w:rPr>
          <w:rFonts w:eastAsiaTheme="minorEastAsia"/>
        </w:rPr>
        <w:t xml:space="preserve">. Much of the Carboniferous structure in northern England is believed to </w:t>
      </w:r>
      <w:r w:rsidR="001B044C">
        <w:rPr>
          <w:rFonts w:eastAsiaTheme="minorEastAsia"/>
        </w:rPr>
        <w:t>have been derived from the</w:t>
      </w:r>
      <w:r>
        <w:rPr>
          <w:rFonts w:eastAsiaTheme="minorEastAsia"/>
        </w:rPr>
        <w:t xml:space="preserve"> reactivation of late Caledonian compressional structures and the shallowly dipping, deep Iapetus suture zone (</w:t>
      </w:r>
      <w:proofErr w:type="spellStart"/>
      <w:r>
        <w:rPr>
          <w:rFonts w:eastAsiaTheme="minorEastAsia"/>
        </w:rPr>
        <w:t>Soper</w:t>
      </w:r>
      <w:proofErr w:type="spellEnd"/>
      <w:r>
        <w:rPr>
          <w:rFonts w:eastAsiaTheme="minorEastAsia"/>
        </w:rPr>
        <w:t xml:space="preserve"> et al., 1992).</w:t>
      </w:r>
    </w:p>
    <w:p w14:paraId="24CF046D" w14:textId="7D6BBBDD" w:rsidR="00BD4E65" w:rsidRDefault="00BD4E65" w:rsidP="009E071D">
      <w:pPr>
        <w:spacing w:line="360" w:lineRule="auto"/>
        <w:rPr>
          <w:rFonts w:eastAsiaTheme="minorEastAsia"/>
        </w:rPr>
      </w:pPr>
      <w:r>
        <w:rPr>
          <w:rFonts w:eastAsiaTheme="minorEastAsia"/>
        </w:rPr>
        <w:tab/>
      </w:r>
      <w:r w:rsidR="004A61B6">
        <w:rPr>
          <w:rFonts w:eastAsiaTheme="minorEastAsia"/>
        </w:rPr>
        <w:t xml:space="preserve">Following the rift phase, the models include 40 </w:t>
      </w:r>
      <w:proofErr w:type="spellStart"/>
      <w:proofErr w:type="gramStart"/>
      <w:r>
        <w:rPr>
          <w:rFonts w:eastAsiaTheme="minorEastAsia"/>
        </w:rPr>
        <w:t>My</w:t>
      </w:r>
      <w:proofErr w:type="spellEnd"/>
      <w:proofErr w:type="gramEnd"/>
      <w:r>
        <w:rPr>
          <w:rFonts w:eastAsiaTheme="minorEastAsia"/>
        </w:rPr>
        <w:t xml:space="preserve"> of post-</w:t>
      </w:r>
      <w:r w:rsidR="004A61B6">
        <w:rPr>
          <w:rFonts w:eastAsiaTheme="minorEastAsia"/>
        </w:rPr>
        <w:t>rift,</w:t>
      </w:r>
      <w:r>
        <w:rPr>
          <w:rFonts w:eastAsiaTheme="minorEastAsia"/>
        </w:rPr>
        <w:t xml:space="preserve"> thermal subsidence. If deformation is assumed to have begun during the latest Devonian (~360</w:t>
      </w:r>
      <w:r w:rsidR="001B044C">
        <w:rPr>
          <w:rFonts w:eastAsiaTheme="minorEastAsia"/>
        </w:rPr>
        <w:t xml:space="preserve"> </w:t>
      </w:r>
      <w:r>
        <w:rPr>
          <w:rFonts w:eastAsiaTheme="minorEastAsia"/>
        </w:rPr>
        <w:t xml:space="preserve">Ma; as suggested by Chadwick et al., 1995; </w:t>
      </w:r>
      <w:r w:rsidR="00734268">
        <w:rPr>
          <w:rFonts w:eastAsiaTheme="minorEastAsia"/>
        </w:rPr>
        <w:t>Monaghan and Parrish</w:t>
      </w:r>
      <w:r>
        <w:rPr>
          <w:rFonts w:eastAsiaTheme="minorEastAsia"/>
        </w:rPr>
        <w:t xml:space="preserve">, 2006), the model then effectively calculates sedimentation until the late Namurian or early </w:t>
      </w:r>
      <w:proofErr w:type="spellStart"/>
      <w:r>
        <w:rPr>
          <w:rFonts w:eastAsiaTheme="minorEastAsia"/>
        </w:rPr>
        <w:t>Bashkirian</w:t>
      </w:r>
      <w:proofErr w:type="spellEnd"/>
      <w:r w:rsidR="001B044C">
        <w:rPr>
          <w:rFonts w:eastAsiaTheme="minorEastAsia"/>
        </w:rPr>
        <w:t xml:space="preserve"> (~320 Ma)</w:t>
      </w:r>
      <w:r w:rsidR="009F6365">
        <w:rPr>
          <w:rFonts w:eastAsiaTheme="minorEastAsia"/>
        </w:rPr>
        <w:t xml:space="preserve"> Stage</w:t>
      </w:r>
      <w:r w:rsidR="004A61B6">
        <w:rPr>
          <w:rFonts w:eastAsiaTheme="minorEastAsia"/>
        </w:rPr>
        <w:t>,</w:t>
      </w:r>
      <w:r>
        <w:rPr>
          <w:rFonts w:eastAsiaTheme="minorEastAsia"/>
        </w:rPr>
        <w:t xml:space="preserve"> after which the rate of sedimentation increases during the Westphalian or late </w:t>
      </w:r>
      <w:proofErr w:type="spellStart"/>
      <w:r>
        <w:rPr>
          <w:rFonts w:eastAsiaTheme="minorEastAsia"/>
        </w:rPr>
        <w:t>Bashkirian</w:t>
      </w:r>
      <w:proofErr w:type="spellEnd"/>
      <w:r w:rsidR="008C6600">
        <w:rPr>
          <w:rFonts w:eastAsiaTheme="minorEastAsia"/>
        </w:rPr>
        <w:t xml:space="preserve"> </w:t>
      </w:r>
      <w:r w:rsidR="009F6365">
        <w:rPr>
          <w:rFonts w:eastAsiaTheme="minorEastAsia"/>
        </w:rPr>
        <w:t xml:space="preserve">stages </w:t>
      </w:r>
      <w:r w:rsidR="008C6600">
        <w:rPr>
          <w:rFonts w:eastAsiaTheme="minorEastAsia"/>
        </w:rPr>
        <w:t>(</w:t>
      </w:r>
      <w:r w:rsidR="0057314B">
        <w:rPr>
          <w:rFonts w:eastAsiaTheme="minorEastAsia"/>
        </w:rPr>
        <w:t xml:space="preserve">Peace and </w:t>
      </w:r>
      <w:proofErr w:type="spellStart"/>
      <w:r w:rsidR="0057314B">
        <w:rPr>
          <w:rFonts w:eastAsiaTheme="minorEastAsia"/>
        </w:rPr>
        <w:t>Besly</w:t>
      </w:r>
      <w:proofErr w:type="spellEnd"/>
      <w:r w:rsidR="0057314B">
        <w:rPr>
          <w:rFonts w:eastAsiaTheme="minorEastAsia"/>
        </w:rPr>
        <w:t>, 1997</w:t>
      </w:r>
      <w:r w:rsidR="008C6600">
        <w:rPr>
          <w:rFonts w:eastAsiaTheme="minorEastAsia"/>
        </w:rPr>
        <w:t>)</w:t>
      </w:r>
      <w:r>
        <w:rPr>
          <w:rFonts w:eastAsiaTheme="minorEastAsia"/>
        </w:rPr>
        <w:t xml:space="preserve">. </w:t>
      </w:r>
      <w:r w:rsidR="002000F7">
        <w:rPr>
          <w:rFonts w:eastAsiaTheme="minorEastAsia"/>
        </w:rPr>
        <w:t xml:space="preserve">Post-rift basin fill is more uniformly distributed </w:t>
      </w:r>
      <w:r w:rsidR="009F6365">
        <w:rPr>
          <w:rFonts w:eastAsiaTheme="minorEastAsia"/>
        </w:rPr>
        <w:t>than</w:t>
      </w:r>
      <w:r w:rsidR="002000F7">
        <w:rPr>
          <w:rFonts w:eastAsiaTheme="minorEastAsia"/>
        </w:rPr>
        <w:t xml:space="preserve"> </w:t>
      </w:r>
      <w:proofErr w:type="spellStart"/>
      <w:r w:rsidR="002000F7">
        <w:rPr>
          <w:rFonts w:eastAsiaTheme="minorEastAsia"/>
        </w:rPr>
        <w:t>syn</w:t>
      </w:r>
      <w:proofErr w:type="spellEnd"/>
      <w:r w:rsidR="002000F7">
        <w:rPr>
          <w:rFonts w:eastAsiaTheme="minorEastAsia"/>
        </w:rPr>
        <w:t xml:space="preserve">-rift basin fill. Whereas </w:t>
      </w:r>
      <w:proofErr w:type="spellStart"/>
      <w:r w:rsidR="002000F7">
        <w:rPr>
          <w:rFonts w:eastAsiaTheme="minorEastAsia"/>
        </w:rPr>
        <w:t>syn</w:t>
      </w:r>
      <w:proofErr w:type="spellEnd"/>
      <w:r w:rsidR="002000F7">
        <w:rPr>
          <w:rFonts w:eastAsiaTheme="minorEastAsia"/>
        </w:rPr>
        <w:t>-rift basin fill is controlled predominantly by faulting, post-rift is controlled by more uniformly distributed pure shear which is responsible for thinning the lower lithosphere and raising the lithosphere-asthenosphere boundary.</w:t>
      </w:r>
    </w:p>
    <w:p w14:paraId="32EA9674" w14:textId="24140C79" w:rsidR="00B72629" w:rsidRDefault="00B72629" w:rsidP="009E071D">
      <w:pPr>
        <w:spacing w:line="360" w:lineRule="auto"/>
        <w:rPr>
          <w:rFonts w:eastAsiaTheme="minorEastAsia"/>
        </w:rPr>
      </w:pPr>
      <w:r>
        <w:rPr>
          <w:rFonts w:eastAsiaTheme="minorEastAsia"/>
        </w:rPr>
        <w:lastRenderedPageBreak/>
        <w:tab/>
        <w:t>The modelled maximum basin thickness is ~3.5</w:t>
      </w:r>
      <w:r w:rsidR="004F1065">
        <w:rPr>
          <w:rFonts w:eastAsiaTheme="minorEastAsia"/>
        </w:rPr>
        <w:t xml:space="preserve"> </w:t>
      </w:r>
      <w:r>
        <w:rPr>
          <w:rFonts w:eastAsiaTheme="minorEastAsia"/>
        </w:rPr>
        <w:t>km</w:t>
      </w:r>
      <w:r w:rsidR="004A61B6">
        <w:rPr>
          <w:rFonts w:eastAsiaTheme="minorEastAsia"/>
        </w:rPr>
        <w:t xml:space="preserve"> (Fig. 10</w:t>
      </w:r>
      <w:r w:rsidR="00285E29">
        <w:rPr>
          <w:rFonts w:eastAsiaTheme="minorEastAsia"/>
        </w:rPr>
        <w:t>d</w:t>
      </w:r>
      <w:r w:rsidR="004A61B6">
        <w:rPr>
          <w:rFonts w:eastAsiaTheme="minorEastAsia"/>
        </w:rPr>
        <w:t>)</w:t>
      </w:r>
      <w:r>
        <w:rPr>
          <w:rFonts w:eastAsiaTheme="minorEastAsia"/>
        </w:rPr>
        <w:t xml:space="preserve">, </w:t>
      </w:r>
      <w:r w:rsidR="004A61B6">
        <w:rPr>
          <w:rFonts w:eastAsiaTheme="minorEastAsia"/>
        </w:rPr>
        <w:t xml:space="preserve">which is </w:t>
      </w:r>
      <w:r>
        <w:rPr>
          <w:rFonts w:eastAsiaTheme="minorEastAsia"/>
        </w:rPr>
        <w:t>less t</w:t>
      </w:r>
      <w:r w:rsidR="00BD102D">
        <w:rPr>
          <w:rFonts w:eastAsiaTheme="minorEastAsia"/>
        </w:rPr>
        <w:t>han the ~5</w:t>
      </w:r>
      <w:r w:rsidR="004F1065">
        <w:rPr>
          <w:rFonts w:eastAsiaTheme="minorEastAsia"/>
        </w:rPr>
        <w:t xml:space="preserve"> </w:t>
      </w:r>
      <w:r>
        <w:rPr>
          <w:rFonts w:eastAsiaTheme="minorEastAsia"/>
        </w:rPr>
        <w:t xml:space="preserve">km </w:t>
      </w:r>
      <w:r w:rsidR="00D54392">
        <w:rPr>
          <w:rFonts w:eastAsiaTheme="minorEastAsia"/>
        </w:rPr>
        <w:t xml:space="preserve">succession of </w:t>
      </w:r>
      <w:r w:rsidR="00734268">
        <w:rPr>
          <w:rFonts w:eastAsiaTheme="minorEastAsia"/>
        </w:rPr>
        <w:t>preserved</w:t>
      </w:r>
      <w:r w:rsidR="00EC5F46">
        <w:rPr>
          <w:rFonts w:eastAsiaTheme="minorEastAsia"/>
        </w:rPr>
        <w:t xml:space="preserve"> </w:t>
      </w:r>
      <w:r w:rsidR="00D54392">
        <w:rPr>
          <w:rFonts w:eastAsiaTheme="minorEastAsia"/>
        </w:rPr>
        <w:t xml:space="preserve">early-mid Carboniferous succession </w:t>
      </w:r>
      <w:r>
        <w:rPr>
          <w:rFonts w:eastAsiaTheme="minorEastAsia"/>
        </w:rPr>
        <w:t xml:space="preserve">observed in the Northumberland </w:t>
      </w:r>
      <w:r w:rsidR="00E97D2B">
        <w:rPr>
          <w:rFonts w:eastAsiaTheme="minorEastAsia"/>
        </w:rPr>
        <w:t>Trough</w:t>
      </w:r>
      <w:r w:rsidR="009A1C1F">
        <w:rPr>
          <w:rFonts w:eastAsiaTheme="minorEastAsia"/>
        </w:rPr>
        <w:t xml:space="preserve"> (</w:t>
      </w:r>
      <w:r w:rsidR="003020EB">
        <w:rPr>
          <w:rFonts w:eastAsiaTheme="minorEastAsia"/>
        </w:rPr>
        <w:t>Fig. 9</w:t>
      </w:r>
      <w:r w:rsidR="00F87386">
        <w:rPr>
          <w:rFonts w:eastAsiaTheme="minorEastAsia"/>
        </w:rPr>
        <w:t>a;</w:t>
      </w:r>
      <w:r w:rsidR="003F5E89">
        <w:rPr>
          <w:rFonts w:eastAsiaTheme="minorEastAsia"/>
        </w:rPr>
        <w:t xml:space="preserve"> </w:t>
      </w:r>
      <w:r w:rsidR="009A1C1F">
        <w:rPr>
          <w:rFonts w:eastAsiaTheme="minorEastAsia"/>
        </w:rPr>
        <w:t>Day, 1970)</w:t>
      </w:r>
      <w:r>
        <w:rPr>
          <w:rFonts w:eastAsiaTheme="minorEastAsia"/>
        </w:rPr>
        <w:t xml:space="preserve">. This under-estimation likely relates to the low </w:t>
      </w:r>
      <w:r w:rsidR="00E83055">
        <w:rPr>
          <w:rFonts w:eastAsiaTheme="minorEastAsia"/>
        </w:rPr>
        <w:t>magnitude of extension</w:t>
      </w:r>
      <w:r>
        <w:rPr>
          <w:rFonts w:eastAsiaTheme="minorEastAsia"/>
        </w:rPr>
        <w:t xml:space="preserve"> derived from observed fault heave values. </w:t>
      </w:r>
      <w:r w:rsidR="0062491E">
        <w:rPr>
          <w:rFonts w:eastAsiaTheme="minorEastAsia"/>
        </w:rPr>
        <w:t>I</w:t>
      </w:r>
      <w:r>
        <w:rPr>
          <w:rFonts w:eastAsiaTheme="minorEastAsia"/>
        </w:rPr>
        <w:t xml:space="preserve">ncorporating greater heave within the model would dishonour </w:t>
      </w:r>
      <w:r w:rsidR="00734268">
        <w:rPr>
          <w:rFonts w:eastAsiaTheme="minorEastAsia"/>
        </w:rPr>
        <w:t xml:space="preserve">the interpretations of </w:t>
      </w:r>
      <w:r w:rsidR="0062491E">
        <w:rPr>
          <w:rFonts w:eastAsiaTheme="minorEastAsia"/>
        </w:rPr>
        <w:t>Chadwick et al</w:t>
      </w:r>
      <w:r w:rsidR="00734268">
        <w:rPr>
          <w:rFonts w:eastAsiaTheme="minorEastAsia"/>
        </w:rPr>
        <w:t>.</w:t>
      </w:r>
      <w:r w:rsidR="0062491E">
        <w:rPr>
          <w:rFonts w:eastAsiaTheme="minorEastAsia"/>
        </w:rPr>
        <w:t xml:space="preserve"> (1995)</w:t>
      </w:r>
      <w:r w:rsidR="00734268">
        <w:rPr>
          <w:rFonts w:eastAsiaTheme="minorEastAsia"/>
        </w:rPr>
        <w:t xml:space="preserve">, </w:t>
      </w:r>
      <w:r>
        <w:rPr>
          <w:rFonts w:eastAsiaTheme="minorEastAsia"/>
        </w:rPr>
        <w:t>utilising greater pure shear</w:t>
      </w:r>
      <w:r w:rsidR="009E1FEC">
        <w:rPr>
          <w:rFonts w:eastAsiaTheme="minorEastAsia"/>
        </w:rPr>
        <w:t xml:space="preserve"> values</w:t>
      </w:r>
      <w:r>
        <w:rPr>
          <w:rFonts w:eastAsiaTheme="minorEastAsia"/>
        </w:rPr>
        <w:t xml:space="preserve"> would invoke perhaps unrealistic depth-dependent extension and ‘space issues’ (e</w:t>
      </w:r>
      <w:r w:rsidR="00B05165">
        <w:rPr>
          <w:rFonts w:eastAsiaTheme="minorEastAsia"/>
        </w:rPr>
        <w:t>.</w:t>
      </w:r>
      <w:r>
        <w:rPr>
          <w:rFonts w:eastAsiaTheme="minorEastAsia"/>
        </w:rPr>
        <w:t>g. Egan and Meredith, 2007). Although a discrepancy</w:t>
      </w:r>
      <w:r w:rsidR="009E1FEC">
        <w:rPr>
          <w:rFonts w:eastAsiaTheme="minorEastAsia"/>
        </w:rPr>
        <w:t xml:space="preserve"> in</w:t>
      </w:r>
      <w:r w:rsidR="00077EA5">
        <w:rPr>
          <w:rFonts w:eastAsiaTheme="minorEastAsia"/>
        </w:rPr>
        <w:t xml:space="preserve"> basin depth</w:t>
      </w:r>
      <w:r>
        <w:rPr>
          <w:rFonts w:eastAsiaTheme="minorEastAsia"/>
        </w:rPr>
        <w:t xml:space="preserve"> is recognised, the model is deemed satisfactory for the purposes of this study.</w:t>
      </w:r>
    </w:p>
    <w:p w14:paraId="093C1C6A" w14:textId="6309A37C" w:rsidR="000B4683" w:rsidRDefault="008E1E82" w:rsidP="009E071D">
      <w:pPr>
        <w:spacing w:line="360" w:lineRule="auto"/>
        <w:rPr>
          <w:rFonts w:eastAsiaTheme="minorEastAsia"/>
        </w:rPr>
      </w:pPr>
      <w:r>
        <w:rPr>
          <w:rFonts w:eastAsiaTheme="minorEastAsia"/>
        </w:rPr>
        <w:tab/>
        <w:t xml:space="preserve">As </w:t>
      </w:r>
      <w:r w:rsidR="004717DA">
        <w:rPr>
          <w:rFonts w:eastAsiaTheme="minorEastAsia"/>
        </w:rPr>
        <w:t>expected</w:t>
      </w:r>
      <w:r>
        <w:rPr>
          <w:rFonts w:eastAsiaTheme="minorEastAsia"/>
        </w:rPr>
        <w:t>, the difference</w:t>
      </w:r>
      <w:r w:rsidR="009F6365">
        <w:rPr>
          <w:rFonts w:eastAsiaTheme="minorEastAsia"/>
        </w:rPr>
        <w:t>s</w:t>
      </w:r>
      <w:r w:rsidR="00B1241C">
        <w:rPr>
          <w:rFonts w:eastAsiaTheme="minorEastAsia"/>
        </w:rPr>
        <w:t xml:space="preserve"> between the modelled basin geometries </w:t>
      </w:r>
      <w:r w:rsidR="00B336F5">
        <w:rPr>
          <w:rFonts w:eastAsiaTheme="minorEastAsia"/>
        </w:rPr>
        <w:t>with and without</w:t>
      </w:r>
      <w:r w:rsidR="004C63BB">
        <w:rPr>
          <w:rFonts w:eastAsiaTheme="minorEastAsia"/>
        </w:rPr>
        <w:t xml:space="preserve"> </w:t>
      </w:r>
      <w:r w:rsidR="00B1241C">
        <w:rPr>
          <w:rFonts w:eastAsiaTheme="minorEastAsia"/>
        </w:rPr>
        <w:t xml:space="preserve">incorporating </w:t>
      </w:r>
      <w:r w:rsidR="004C63BB">
        <w:rPr>
          <w:rFonts w:eastAsiaTheme="minorEastAsia"/>
        </w:rPr>
        <w:t>granite-in</w:t>
      </w:r>
      <w:r w:rsidR="003020EB">
        <w:rPr>
          <w:rFonts w:eastAsiaTheme="minorEastAsia"/>
        </w:rPr>
        <w:t>duced density contrasts (Figs. 10a and 10</w:t>
      </w:r>
      <w:r>
        <w:rPr>
          <w:rFonts w:eastAsiaTheme="minorEastAsia"/>
        </w:rPr>
        <w:t>b</w:t>
      </w:r>
      <w:r w:rsidR="0006395A">
        <w:rPr>
          <w:rFonts w:eastAsiaTheme="minorEastAsia"/>
        </w:rPr>
        <w:t>, respectively</w:t>
      </w:r>
      <w:r w:rsidR="00B1241C">
        <w:rPr>
          <w:rFonts w:eastAsiaTheme="minorEastAsia"/>
        </w:rPr>
        <w:t>) can be observed</w:t>
      </w:r>
      <w:r>
        <w:rPr>
          <w:rFonts w:eastAsiaTheme="minorEastAsia"/>
        </w:rPr>
        <w:t xml:space="preserve"> on t</w:t>
      </w:r>
      <w:r w:rsidR="004C63BB">
        <w:rPr>
          <w:rFonts w:eastAsiaTheme="minorEastAsia"/>
        </w:rPr>
        <w:t xml:space="preserve">he </w:t>
      </w:r>
      <w:r w:rsidR="0006395A">
        <w:rPr>
          <w:rFonts w:eastAsiaTheme="minorEastAsia"/>
        </w:rPr>
        <w:t>Alston B</w:t>
      </w:r>
      <w:r w:rsidR="004C63BB">
        <w:rPr>
          <w:rFonts w:eastAsiaTheme="minorEastAsia"/>
        </w:rPr>
        <w:t>lock</w:t>
      </w:r>
      <w:r>
        <w:rPr>
          <w:rFonts w:eastAsiaTheme="minorEastAsia"/>
        </w:rPr>
        <w:t>. When no granite is incorporated within the</w:t>
      </w:r>
      <w:r w:rsidR="00D73650">
        <w:rPr>
          <w:rFonts w:eastAsiaTheme="minorEastAsia"/>
        </w:rPr>
        <w:t xml:space="preserve"> model (Fig. 10</w:t>
      </w:r>
      <w:r w:rsidR="00B60DC7">
        <w:rPr>
          <w:rFonts w:eastAsiaTheme="minorEastAsia"/>
        </w:rPr>
        <w:t>a)</w:t>
      </w:r>
      <w:r>
        <w:rPr>
          <w:rFonts w:eastAsiaTheme="minorEastAsia"/>
        </w:rPr>
        <w:t>, top basement</w:t>
      </w:r>
      <w:r w:rsidR="008B38B0">
        <w:rPr>
          <w:rFonts w:eastAsiaTheme="minorEastAsia"/>
        </w:rPr>
        <w:t xml:space="preserve"> forming the Alston block</w:t>
      </w:r>
      <w:r>
        <w:rPr>
          <w:rFonts w:eastAsiaTheme="minorEastAsia"/>
        </w:rPr>
        <w:t xml:space="preserve"> is characterised by two </w:t>
      </w:r>
      <w:r w:rsidR="004C63BB">
        <w:rPr>
          <w:rFonts w:eastAsiaTheme="minorEastAsia"/>
        </w:rPr>
        <w:t>inwardly dipping margins</w:t>
      </w:r>
      <w:r>
        <w:rPr>
          <w:rFonts w:eastAsiaTheme="minorEastAsia"/>
        </w:rPr>
        <w:t>.</w:t>
      </w:r>
      <w:r w:rsidR="001348B0">
        <w:rPr>
          <w:rFonts w:eastAsiaTheme="minorEastAsia"/>
        </w:rPr>
        <w:t xml:space="preserve"> This geometry </w:t>
      </w:r>
      <w:r w:rsidR="004C63BB">
        <w:rPr>
          <w:rFonts w:eastAsiaTheme="minorEastAsia"/>
        </w:rPr>
        <w:t>represents the flexural response to</w:t>
      </w:r>
      <w:r w:rsidR="00CC1E0A">
        <w:rPr>
          <w:rFonts w:eastAsiaTheme="minorEastAsia"/>
        </w:rPr>
        <w:t xml:space="preserve"> lithosphere</w:t>
      </w:r>
      <w:r w:rsidR="001348B0">
        <w:rPr>
          <w:rFonts w:eastAsiaTheme="minorEastAsia"/>
        </w:rPr>
        <w:t xml:space="preserve"> unloading along regions of cr</w:t>
      </w:r>
      <w:r w:rsidR="005B30FE">
        <w:rPr>
          <w:rFonts w:eastAsiaTheme="minorEastAsia"/>
        </w:rPr>
        <w:t>u</w:t>
      </w:r>
      <w:r w:rsidR="001348B0">
        <w:rPr>
          <w:rFonts w:eastAsiaTheme="minorEastAsia"/>
        </w:rPr>
        <w:t>stal thinning due t</w:t>
      </w:r>
      <w:r w:rsidR="00ED1B8C">
        <w:rPr>
          <w:rFonts w:eastAsiaTheme="minorEastAsia"/>
        </w:rPr>
        <w:t xml:space="preserve">o </w:t>
      </w:r>
      <w:r w:rsidR="00B1241C">
        <w:rPr>
          <w:rFonts w:eastAsiaTheme="minorEastAsia"/>
        </w:rPr>
        <w:t xml:space="preserve">the </w:t>
      </w:r>
      <w:r w:rsidR="0006395A">
        <w:rPr>
          <w:rFonts w:eastAsiaTheme="minorEastAsia"/>
        </w:rPr>
        <w:t>two</w:t>
      </w:r>
      <w:r w:rsidR="00B1241C">
        <w:rPr>
          <w:rFonts w:eastAsiaTheme="minorEastAsia"/>
        </w:rPr>
        <w:t xml:space="preserve"> dominant</w:t>
      </w:r>
      <w:r w:rsidR="0006395A">
        <w:rPr>
          <w:rFonts w:eastAsiaTheme="minorEastAsia"/>
        </w:rPr>
        <w:t xml:space="preserve"> </w:t>
      </w:r>
      <w:r w:rsidR="00ED1B8C">
        <w:rPr>
          <w:rFonts w:eastAsiaTheme="minorEastAsia"/>
        </w:rPr>
        <w:t>faul</w:t>
      </w:r>
      <w:r w:rsidR="00B1241C">
        <w:rPr>
          <w:rFonts w:eastAsiaTheme="minorEastAsia"/>
        </w:rPr>
        <w:t>t systems which have opposing dip directions</w:t>
      </w:r>
      <w:r w:rsidR="00ED1B8C">
        <w:rPr>
          <w:rFonts w:eastAsiaTheme="minorEastAsia"/>
        </w:rPr>
        <w:t xml:space="preserve"> (</w:t>
      </w:r>
      <w:proofErr w:type="spellStart"/>
      <w:r w:rsidR="00ED1B8C">
        <w:rPr>
          <w:rFonts w:eastAsiaTheme="minorEastAsia"/>
        </w:rPr>
        <w:t>Kusznir</w:t>
      </w:r>
      <w:proofErr w:type="spellEnd"/>
      <w:r w:rsidR="00ED1B8C">
        <w:rPr>
          <w:rFonts w:eastAsiaTheme="minorEastAsia"/>
        </w:rPr>
        <w:t xml:space="preserve"> et al., 1991</w:t>
      </w:r>
      <w:r w:rsidR="001348B0">
        <w:rPr>
          <w:rFonts w:eastAsiaTheme="minorEastAsia"/>
        </w:rPr>
        <w:t>).</w:t>
      </w:r>
      <w:r w:rsidR="005B30FE">
        <w:rPr>
          <w:rFonts w:eastAsiaTheme="minorEastAsia"/>
        </w:rPr>
        <w:t xml:space="preserve"> In the absence of granite, </w:t>
      </w:r>
      <w:r w:rsidR="009F6365">
        <w:rPr>
          <w:rFonts w:eastAsiaTheme="minorEastAsia"/>
        </w:rPr>
        <w:t>the</w:t>
      </w:r>
      <w:r w:rsidR="00B1241C">
        <w:rPr>
          <w:rFonts w:eastAsiaTheme="minorEastAsia"/>
        </w:rPr>
        <w:t xml:space="preserve"> modelled</w:t>
      </w:r>
      <w:r w:rsidR="009F6365">
        <w:rPr>
          <w:rFonts w:eastAsiaTheme="minorEastAsia"/>
        </w:rPr>
        <w:t xml:space="preserve"> thickness of </w:t>
      </w:r>
      <w:r w:rsidR="009003AA">
        <w:rPr>
          <w:rFonts w:eastAsiaTheme="minorEastAsia"/>
        </w:rPr>
        <w:t>the sedimentary succession</w:t>
      </w:r>
      <w:r w:rsidR="00B1241C">
        <w:rPr>
          <w:rFonts w:eastAsiaTheme="minorEastAsia"/>
        </w:rPr>
        <w:t xml:space="preserve"> on the Alston Block</w:t>
      </w:r>
      <w:r w:rsidR="005B30FE">
        <w:rPr>
          <w:rFonts w:eastAsiaTheme="minorEastAsia"/>
        </w:rPr>
        <w:t xml:space="preserve"> is </w:t>
      </w:r>
      <w:r w:rsidR="009003AA">
        <w:rPr>
          <w:rFonts w:eastAsiaTheme="minorEastAsia"/>
        </w:rPr>
        <w:t>~1500 metres</w:t>
      </w:r>
      <w:r w:rsidR="005B30FE">
        <w:rPr>
          <w:rFonts w:eastAsiaTheme="minorEastAsia"/>
        </w:rPr>
        <w:t>. This is significantly greater than the ~</w:t>
      </w:r>
      <w:r w:rsidR="009003AA">
        <w:rPr>
          <w:rFonts w:eastAsiaTheme="minorEastAsia"/>
        </w:rPr>
        <w:t>700 metre-thick</w:t>
      </w:r>
      <w:r w:rsidR="005B30FE">
        <w:rPr>
          <w:rFonts w:eastAsiaTheme="minorEastAsia"/>
        </w:rPr>
        <w:t xml:space="preserve"> </w:t>
      </w:r>
      <w:proofErr w:type="spellStart"/>
      <w:r w:rsidR="009003AA">
        <w:rPr>
          <w:rFonts w:eastAsiaTheme="minorEastAsia"/>
        </w:rPr>
        <w:t>Visean</w:t>
      </w:r>
      <w:proofErr w:type="spellEnd"/>
      <w:r w:rsidR="009003AA">
        <w:rPr>
          <w:rFonts w:eastAsiaTheme="minorEastAsia"/>
        </w:rPr>
        <w:t>-Namurian</w:t>
      </w:r>
      <w:r w:rsidR="005B30FE">
        <w:rPr>
          <w:rFonts w:eastAsiaTheme="minorEastAsia"/>
        </w:rPr>
        <w:t xml:space="preserve"> succession preserved </w:t>
      </w:r>
      <w:r w:rsidR="009003AA">
        <w:rPr>
          <w:rFonts w:eastAsiaTheme="minorEastAsia"/>
        </w:rPr>
        <w:t>along</w:t>
      </w:r>
      <w:r w:rsidR="005B30FE">
        <w:rPr>
          <w:rFonts w:eastAsiaTheme="minorEastAsia"/>
        </w:rPr>
        <w:t xml:space="preserve"> the </w:t>
      </w:r>
      <w:r w:rsidR="009003AA">
        <w:rPr>
          <w:rFonts w:eastAsiaTheme="minorEastAsia"/>
        </w:rPr>
        <w:t xml:space="preserve">western extent and </w:t>
      </w:r>
      <w:r w:rsidR="005B30FE">
        <w:rPr>
          <w:rFonts w:eastAsiaTheme="minorEastAsia"/>
        </w:rPr>
        <w:t xml:space="preserve">centre of the Alston Block, despite a lower </w:t>
      </w:r>
      <w:r w:rsidR="00E83055">
        <w:rPr>
          <w:rFonts w:eastAsiaTheme="minorEastAsia"/>
        </w:rPr>
        <w:t>magnitude of extension</w:t>
      </w:r>
      <w:r w:rsidR="002D1A72">
        <w:rPr>
          <w:rFonts w:eastAsiaTheme="minorEastAsia"/>
        </w:rPr>
        <w:t xml:space="preserve"> being utilised</w:t>
      </w:r>
      <w:r w:rsidR="005B30FE">
        <w:rPr>
          <w:rFonts w:eastAsiaTheme="minorEastAsia"/>
        </w:rPr>
        <w:t xml:space="preserve"> in the modelled example.</w:t>
      </w:r>
    </w:p>
    <w:p w14:paraId="328942CD" w14:textId="374C740B" w:rsidR="00061161" w:rsidRDefault="0006395A" w:rsidP="009E071D">
      <w:pPr>
        <w:pStyle w:val="Heading3"/>
        <w:spacing w:line="360" w:lineRule="auto"/>
        <w:rPr>
          <w:rFonts w:eastAsiaTheme="minorEastAsia"/>
        </w:rPr>
      </w:pPr>
      <w:r>
        <w:rPr>
          <w:rFonts w:eastAsiaTheme="minorEastAsia"/>
        </w:rPr>
        <w:t>5.2.2</w:t>
      </w:r>
      <w:r w:rsidR="00061161">
        <w:rPr>
          <w:rFonts w:eastAsiaTheme="minorEastAsia"/>
        </w:rPr>
        <w:t xml:space="preserve"> </w:t>
      </w:r>
      <w:r w:rsidR="004841DF">
        <w:rPr>
          <w:rFonts w:eastAsiaTheme="minorEastAsia"/>
        </w:rPr>
        <w:t>Modelling the effects of granite emplacement</w:t>
      </w:r>
      <w:r w:rsidR="00BE3C91">
        <w:rPr>
          <w:rFonts w:eastAsiaTheme="minorEastAsia"/>
        </w:rPr>
        <w:t xml:space="preserve"> – cross-line</w:t>
      </w:r>
    </w:p>
    <w:p w14:paraId="6258BC5F" w14:textId="2A3C79F2" w:rsidR="00A84A4B" w:rsidRDefault="00157624" w:rsidP="009E071D">
      <w:pPr>
        <w:spacing w:line="360" w:lineRule="auto"/>
        <w:rPr>
          <w:rFonts w:eastAsiaTheme="minorEastAsia"/>
        </w:rPr>
      </w:pPr>
      <w:r>
        <w:rPr>
          <w:rFonts w:eastAsiaTheme="minorEastAsia"/>
        </w:rPr>
        <w:tab/>
      </w:r>
      <w:r w:rsidR="004C63BB">
        <w:rPr>
          <w:rFonts w:eastAsiaTheme="minorEastAsia"/>
        </w:rPr>
        <w:t>The model presented in figure</w:t>
      </w:r>
      <w:r w:rsidR="00251490">
        <w:rPr>
          <w:rFonts w:eastAsiaTheme="minorEastAsia"/>
        </w:rPr>
        <w:t xml:space="preserve"> 1</w:t>
      </w:r>
      <w:r w:rsidR="00CA3071">
        <w:rPr>
          <w:rFonts w:eastAsiaTheme="minorEastAsia"/>
        </w:rPr>
        <w:t>0</w:t>
      </w:r>
      <w:r w:rsidR="00251490">
        <w:rPr>
          <w:rFonts w:eastAsiaTheme="minorEastAsia"/>
        </w:rPr>
        <w:t>b</w:t>
      </w:r>
      <w:r>
        <w:rPr>
          <w:rFonts w:eastAsiaTheme="minorEastAsia"/>
        </w:rPr>
        <w:t xml:space="preserve"> incorporates a 2D gr</w:t>
      </w:r>
      <w:r w:rsidR="00D73650">
        <w:rPr>
          <w:rFonts w:eastAsiaTheme="minorEastAsia"/>
        </w:rPr>
        <w:t xml:space="preserve">anite thickness </w:t>
      </w:r>
      <w:r w:rsidR="000F6AAE">
        <w:rPr>
          <w:rFonts w:eastAsiaTheme="minorEastAsia"/>
        </w:rPr>
        <w:t>profile (Figs. 9a and 10c</w:t>
      </w:r>
      <w:r>
        <w:rPr>
          <w:rFonts w:eastAsiaTheme="minorEastAsia"/>
        </w:rPr>
        <w:t xml:space="preserve">) based on </w:t>
      </w:r>
      <w:r w:rsidR="00041937">
        <w:rPr>
          <w:rFonts w:eastAsiaTheme="minorEastAsia"/>
        </w:rPr>
        <w:t>prior</w:t>
      </w:r>
      <w:r>
        <w:rPr>
          <w:rFonts w:eastAsiaTheme="minorEastAsia"/>
        </w:rPr>
        <w:t xml:space="preserve"> interpretation of geophysical data (</w:t>
      </w:r>
      <w:proofErr w:type="spellStart"/>
      <w:r>
        <w:rPr>
          <w:rFonts w:eastAsiaTheme="minorEastAsia"/>
        </w:rPr>
        <w:t>Kimbell</w:t>
      </w:r>
      <w:proofErr w:type="spellEnd"/>
      <w:r>
        <w:rPr>
          <w:rFonts w:eastAsiaTheme="minorEastAsia"/>
        </w:rPr>
        <w:t xml:space="preserve"> et al., 2006). This </w:t>
      </w:r>
      <w:r w:rsidR="007142CD">
        <w:rPr>
          <w:rFonts w:eastAsiaTheme="minorEastAsia"/>
        </w:rPr>
        <w:t>cross-line section</w:t>
      </w:r>
      <w:r>
        <w:rPr>
          <w:rFonts w:eastAsiaTheme="minorEastAsia"/>
        </w:rPr>
        <w:t xml:space="preserve"> is taken along the same trend as Figure 9</w:t>
      </w:r>
      <w:r w:rsidR="000F6AAE">
        <w:rPr>
          <w:rFonts w:eastAsiaTheme="minorEastAsia"/>
        </w:rPr>
        <w:t>a</w:t>
      </w:r>
      <w:r>
        <w:rPr>
          <w:rFonts w:eastAsiaTheme="minorEastAsia"/>
        </w:rPr>
        <w:t>.</w:t>
      </w:r>
      <w:r w:rsidR="00CD5582">
        <w:rPr>
          <w:rFonts w:eastAsiaTheme="minorEastAsia"/>
        </w:rPr>
        <w:t xml:space="preserve"> </w:t>
      </w:r>
      <w:r w:rsidR="00BF137E">
        <w:rPr>
          <w:rFonts w:eastAsiaTheme="minorEastAsia"/>
        </w:rPr>
        <w:t>T</w:t>
      </w:r>
      <w:r w:rsidR="00CD5582">
        <w:rPr>
          <w:rFonts w:eastAsiaTheme="minorEastAsia"/>
        </w:rPr>
        <w:t>he granite thickness value is used to calculate the overall bulk crustal density at a given point</w:t>
      </w:r>
      <w:r w:rsidR="00AD09B9">
        <w:rPr>
          <w:rFonts w:eastAsiaTheme="minorEastAsia"/>
        </w:rPr>
        <w:t xml:space="preserve">, </w:t>
      </w:r>
      <m:oMath>
        <m:sSub>
          <m:sSubPr>
            <m:ctrlPr>
              <w:rPr>
                <w:rFonts w:ascii="Cambria Math" w:hAnsi="Cambria Math"/>
                <w:i/>
              </w:rPr>
            </m:ctrlPr>
          </m:sSubPr>
          <m:e>
            <m:r>
              <w:rPr>
                <w:rFonts w:ascii="Cambria Math" w:eastAsia="Times New Roman" w:hAnsi="Cambria Math" w:cs="Times New Roman"/>
                <w:color w:val="000000"/>
                <w:lang w:eastAsia="en-GB"/>
              </w:rPr>
              <m:t>ρ</m:t>
            </m:r>
          </m:e>
          <m:sub>
            <m:sSub>
              <m:sSubPr>
                <m:ctrlPr>
                  <w:rPr>
                    <w:rFonts w:ascii="Cambria Math" w:hAnsi="Cambria Math"/>
                    <w:i/>
                  </w:rPr>
                </m:ctrlPr>
              </m:sSubPr>
              <m:e>
                <m:r>
                  <w:rPr>
                    <w:rFonts w:ascii="Cambria Math" w:hAnsi="Cambria Math"/>
                  </w:rPr>
                  <m:t>gc</m:t>
                </m:r>
              </m:e>
              <m:sub>
                <m:d>
                  <m:dPr>
                    <m:ctrlPr>
                      <w:rPr>
                        <w:rFonts w:ascii="Cambria Math" w:hAnsi="Cambria Math"/>
                        <w:i/>
                      </w:rPr>
                    </m:ctrlPr>
                  </m:dPr>
                  <m:e>
                    <m:r>
                      <w:rPr>
                        <w:rFonts w:ascii="Cambria Math" w:hAnsi="Cambria Math"/>
                      </w:rPr>
                      <m:t>x</m:t>
                    </m:r>
                  </m:e>
                </m:d>
              </m:sub>
            </m:sSub>
          </m:sub>
        </m:sSub>
      </m:oMath>
      <w:r w:rsidR="00CD5582">
        <w:rPr>
          <w:rFonts w:eastAsiaTheme="minorEastAsia"/>
        </w:rPr>
        <w:t xml:space="preserve"> </w:t>
      </w:r>
      <w:r w:rsidR="004C63BB">
        <w:rPr>
          <w:rFonts w:eastAsiaTheme="minorEastAsia"/>
        </w:rPr>
        <w:t>(</w:t>
      </w:r>
      <w:r w:rsidR="00CD5582">
        <w:rPr>
          <w:rFonts w:eastAsiaTheme="minorEastAsia"/>
        </w:rPr>
        <w:t>equation 2.5)</w:t>
      </w:r>
      <w:r w:rsidR="00331469">
        <w:rPr>
          <w:rFonts w:eastAsiaTheme="minorEastAsia"/>
        </w:rPr>
        <w:t>,</w:t>
      </w:r>
      <w:r w:rsidR="00CD5582">
        <w:rPr>
          <w:rFonts w:eastAsiaTheme="minorEastAsia"/>
        </w:rPr>
        <w:t xml:space="preserve"> as well as the imposed load on the lithosphere (equation 3.4).</w:t>
      </w:r>
    </w:p>
    <w:p w14:paraId="11EB5CB1" w14:textId="6ADFED92" w:rsidR="003C0D3F" w:rsidRDefault="0042400F" w:rsidP="009E071D">
      <w:pPr>
        <w:spacing w:line="360" w:lineRule="auto"/>
        <w:ind w:firstLine="720"/>
        <w:rPr>
          <w:rFonts w:eastAsiaTheme="minorEastAsia"/>
        </w:rPr>
      </w:pPr>
      <w:r>
        <w:rPr>
          <w:rFonts w:eastAsiaTheme="minorEastAsia"/>
        </w:rPr>
        <w:t>A relatively low elastic thickness</w:t>
      </w:r>
      <w:r w:rsidR="00130E1A">
        <w:rPr>
          <w:rFonts w:eastAsiaTheme="minorEastAsia"/>
        </w:rPr>
        <w:t xml:space="preserve"> (</w:t>
      </w:r>
      <m:oMath>
        <m:r>
          <w:rPr>
            <w:rFonts w:ascii="Cambria Math" w:eastAsiaTheme="minorEastAsia" w:hAnsi="Cambria Math"/>
          </w:rPr>
          <m:t>Te</m:t>
        </m:r>
      </m:oMath>
      <w:r w:rsidR="00130E1A">
        <w:rPr>
          <w:rFonts w:eastAsiaTheme="minorEastAsia"/>
        </w:rPr>
        <w:t>)</w:t>
      </w:r>
      <w:r>
        <w:rPr>
          <w:rFonts w:eastAsiaTheme="minorEastAsia"/>
        </w:rPr>
        <w:t xml:space="preserve"> value of 5</w:t>
      </w:r>
      <w:r w:rsidR="00672190">
        <w:rPr>
          <w:rFonts w:eastAsiaTheme="minorEastAsia"/>
        </w:rPr>
        <w:t xml:space="preserve"> </w:t>
      </w:r>
      <w:r>
        <w:rPr>
          <w:rFonts w:eastAsiaTheme="minorEastAsia"/>
        </w:rPr>
        <w:t>km is assumed. This is part</w:t>
      </w:r>
      <w:r w:rsidR="006171A1">
        <w:rPr>
          <w:rFonts w:eastAsiaTheme="minorEastAsia"/>
        </w:rPr>
        <w:t>ly justified in order</w:t>
      </w:r>
      <w:r>
        <w:rPr>
          <w:rFonts w:eastAsiaTheme="minorEastAsia"/>
        </w:rPr>
        <w:t xml:space="preserve"> to replicate the</w:t>
      </w:r>
      <w:r w:rsidR="00C66B87">
        <w:rPr>
          <w:rFonts w:eastAsiaTheme="minorEastAsia"/>
        </w:rPr>
        <w:t xml:space="preserve"> generally</w:t>
      </w:r>
      <w:r>
        <w:rPr>
          <w:rFonts w:eastAsiaTheme="minorEastAsia"/>
        </w:rPr>
        <w:t xml:space="preserve"> low </w:t>
      </w:r>
      <w:r w:rsidR="00073A05">
        <w:rPr>
          <w:rFonts w:eastAsiaTheme="minorEastAsia"/>
        </w:rPr>
        <w:t xml:space="preserve">elastic </w:t>
      </w:r>
      <w:r>
        <w:rPr>
          <w:rFonts w:eastAsiaTheme="minorEastAsia"/>
        </w:rPr>
        <w:t xml:space="preserve">thicknesses </w:t>
      </w:r>
      <w:r w:rsidR="00F826C9">
        <w:rPr>
          <w:rFonts w:eastAsiaTheme="minorEastAsia"/>
        </w:rPr>
        <w:t>estimated</w:t>
      </w:r>
      <w:r>
        <w:rPr>
          <w:rFonts w:eastAsiaTheme="minorEastAsia"/>
        </w:rPr>
        <w:t xml:space="preserve"> in extensional</w:t>
      </w:r>
      <w:r w:rsidR="005A2AAB">
        <w:rPr>
          <w:rFonts w:eastAsiaTheme="minorEastAsia"/>
        </w:rPr>
        <w:t xml:space="preserve"> tectonic</w:t>
      </w:r>
      <w:r>
        <w:rPr>
          <w:rFonts w:eastAsiaTheme="minorEastAsia"/>
        </w:rPr>
        <w:t xml:space="preserve"> s</w:t>
      </w:r>
      <w:r w:rsidR="00073A05">
        <w:rPr>
          <w:rFonts w:eastAsiaTheme="minorEastAsia"/>
        </w:rPr>
        <w:t>ettings</w:t>
      </w:r>
      <w:r w:rsidR="00331469">
        <w:rPr>
          <w:rFonts w:eastAsiaTheme="minorEastAsia"/>
        </w:rPr>
        <w:t>,</w:t>
      </w:r>
      <w:r w:rsidR="00A96684">
        <w:rPr>
          <w:rFonts w:eastAsiaTheme="minorEastAsia"/>
        </w:rPr>
        <w:t xml:space="preserve"> that</w:t>
      </w:r>
      <w:r w:rsidR="006307E2">
        <w:rPr>
          <w:rFonts w:eastAsiaTheme="minorEastAsia"/>
        </w:rPr>
        <w:t xml:space="preserve"> </w:t>
      </w:r>
      <w:r w:rsidR="004C63BB">
        <w:rPr>
          <w:rFonts w:eastAsiaTheme="minorEastAsia"/>
        </w:rPr>
        <w:t>relate</w:t>
      </w:r>
      <w:r w:rsidR="00C66B87">
        <w:rPr>
          <w:rFonts w:eastAsiaTheme="minorEastAsia"/>
        </w:rPr>
        <w:t xml:space="preserve"> in part</w:t>
      </w:r>
      <w:r w:rsidR="006307E2">
        <w:rPr>
          <w:rFonts w:eastAsiaTheme="minorEastAsia"/>
        </w:rPr>
        <w:t xml:space="preserve"> to </w:t>
      </w:r>
      <w:r w:rsidR="00C66B87">
        <w:rPr>
          <w:rFonts w:eastAsiaTheme="minorEastAsia"/>
        </w:rPr>
        <w:t xml:space="preserve">the associated </w:t>
      </w:r>
      <w:r w:rsidR="006307E2">
        <w:rPr>
          <w:rFonts w:eastAsiaTheme="minorEastAsia"/>
        </w:rPr>
        <w:t xml:space="preserve">elevated </w:t>
      </w:r>
      <w:proofErr w:type="spellStart"/>
      <w:r w:rsidR="006307E2">
        <w:rPr>
          <w:rFonts w:eastAsiaTheme="minorEastAsia"/>
        </w:rPr>
        <w:t>geotherm</w:t>
      </w:r>
      <w:proofErr w:type="spellEnd"/>
      <w:r>
        <w:rPr>
          <w:rFonts w:eastAsiaTheme="minorEastAsia"/>
        </w:rPr>
        <w:t xml:space="preserve"> </w:t>
      </w:r>
      <w:r w:rsidR="007E4725">
        <w:rPr>
          <w:rFonts w:eastAsiaTheme="minorEastAsia"/>
        </w:rPr>
        <w:t>(</w:t>
      </w:r>
      <w:proofErr w:type="spellStart"/>
      <w:r w:rsidR="007E4725">
        <w:rPr>
          <w:rFonts w:eastAsiaTheme="minorEastAsia"/>
        </w:rPr>
        <w:t>Kusznir</w:t>
      </w:r>
      <w:proofErr w:type="spellEnd"/>
      <w:r w:rsidR="007E4725">
        <w:rPr>
          <w:rFonts w:eastAsiaTheme="minorEastAsia"/>
        </w:rPr>
        <w:t xml:space="preserve"> et al., 1991).</w:t>
      </w:r>
      <w:r>
        <w:rPr>
          <w:rFonts w:eastAsiaTheme="minorEastAsia"/>
        </w:rPr>
        <w:t xml:space="preserve"> </w:t>
      </w:r>
      <w:r w:rsidR="007E4725">
        <w:rPr>
          <w:rFonts w:eastAsiaTheme="minorEastAsia"/>
        </w:rPr>
        <w:t>Additionally, a low elastic thickness</w:t>
      </w:r>
      <w:r w:rsidR="00400D07">
        <w:rPr>
          <w:rFonts w:eastAsiaTheme="minorEastAsia"/>
        </w:rPr>
        <w:t xml:space="preserve"> value</w:t>
      </w:r>
      <w:r w:rsidR="007E4725">
        <w:rPr>
          <w:rFonts w:eastAsiaTheme="minorEastAsia"/>
        </w:rPr>
        <w:t xml:space="preserve"> is adopted </w:t>
      </w:r>
      <w:r>
        <w:rPr>
          <w:rFonts w:eastAsiaTheme="minorEastAsia"/>
        </w:rPr>
        <w:t xml:space="preserve">to </w:t>
      </w:r>
      <w:r w:rsidR="00400D07">
        <w:rPr>
          <w:rFonts w:eastAsiaTheme="minorEastAsia"/>
        </w:rPr>
        <w:t xml:space="preserve">approximate </w:t>
      </w:r>
      <w:r>
        <w:rPr>
          <w:rFonts w:eastAsiaTheme="minorEastAsia"/>
        </w:rPr>
        <w:t>the partial detachment and failure of the lithosphere associated with faulting.</w:t>
      </w:r>
      <w:r w:rsidR="006307E2">
        <w:rPr>
          <w:rFonts w:eastAsiaTheme="minorEastAsia"/>
        </w:rPr>
        <w:t xml:space="preserve"> Prior to faulting, a more cohesive lithosphere</w:t>
      </w:r>
      <w:r w:rsidR="00C81A8F">
        <w:rPr>
          <w:rFonts w:eastAsiaTheme="minorEastAsia"/>
        </w:rPr>
        <w:t xml:space="preserve"> is likely to</w:t>
      </w:r>
      <w:r w:rsidR="006307E2">
        <w:rPr>
          <w:rFonts w:eastAsiaTheme="minorEastAsia"/>
        </w:rPr>
        <w:t xml:space="preserve"> limit the isostatic compensation</w:t>
      </w:r>
      <w:r w:rsidR="00E164AF">
        <w:rPr>
          <w:rFonts w:eastAsiaTheme="minorEastAsia"/>
        </w:rPr>
        <w:t xml:space="preserve"> due to the granite body (Fig. 6</w:t>
      </w:r>
      <w:r w:rsidR="006307E2">
        <w:rPr>
          <w:rFonts w:eastAsiaTheme="minorEastAsia"/>
        </w:rPr>
        <w:t xml:space="preserve">). As basin scale faults propagate, the crust becomes less cohesive and the ability of the lithosphere to limit </w:t>
      </w:r>
      <w:r w:rsidR="00882A49">
        <w:rPr>
          <w:rFonts w:eastAsiaTheme="minorEastAsia"/>
        </w:rPr>
        <w:t>localised isos</w:t>
      </w:r>
      <w:r w:rsidR="006307E2">
        <w:rPr>
          <w:rFonts w:eastAsiaTheme="minorEastAsia"/>
        </w:rPr>
        <w:t>tatic uplift reduces. Elastic thickness is</w:t>
      </w:r>
      <w:r w:rsidR="00C66B87">
        <w:rPr>
          <w:rFonts w:eastAsiaTheme="minorEastAsia"/>
        </w:rPr>
        <w:t xml:space="preserve"> however, independent of</w:t>
      </w:r>
      <w:r w:rsidR="006307E2">
        <w:rPr>
          <w:rFonts w:eastAsiaTheme="minorEastAsia"/>
        </w:rPr>
        <w:t xml:space="preserve"> faulting</w:t>
      </w:r>
      <w:r w:rsidR="00C66B87">
        <w:rPr>
          <w:rFonts w:eastAsiaTheme="minorEastAsia"/>
        </w:rPr>
        <w:t>.</w:t>
      </w:r>
    </w:p>
    <w:p w14:paraId="4FC2D1AC" w14:textId="0E2D7142" w:rsidR="00534BE5" w:rsidRDefault="003C0D3F" w:rsidP="009E071D">
      <w:pPr>
        <w:spacing w:line="360" w:lineRule="auto"/>
        <w:ind w:firstLine="720"/>
      </w:pPr>
      <w:r>
        <w:lastRenderedPageBreak/>
        <w:t xml:space="preserve">The most obvious difference </w:t>
      </w:r>
      <w:r w:rsidR="004C63BB">
        <w:t>observed when granite is incorporat</w:t>
      </w:r>
      <w:r w:rsidR="00331469">
        <w:t>ed</w:t>
      </w:r>
      <w:r w:rsidR="000F6AAE">
        <w:t xml:space="preserve"> into calculations (Fig. 10</w:t>
      </w:r>
      <w:r w:rsidR="004C63BB">
        <w:t>b)</w:t>
      </w:r>
      <w:r>
        <w:t xml:space="preserve"> is the significantly thinner sediment</w:t>
      </w:r>
      <w:r w:rsidR="00331469">
        <w:t xml:space="preserve">ary </w:t>
      </w:r>
      <w:r w:rsidR="008A0644">
        <w:t>succession</w:t>
      </w:r>
      <w:r w:rsidR="00E57008">
        <w:t xml:space="preserve"> (~400 metres)</w:t>
      </w:r>
      <w:r w:rsidR="008A0644">
        <w:t xml:space="preserve"> modelled </w:t>
      </w:r>
      <w:r w:rsidR="00331469">
        <w:t>over</w:t>
      </w:r>
      <w:r>
        <w:t xml:space="preserve"> the centr</w:t>
      </w:r>
      <w:r w:rsidR="004C63BB">
        <w:t xml:space="preserve">e of the </w:t>
      </w:r>
      <w:r w:rsidR="00F66443">
        <w:t>Alston B</w:t>
      </w:r>
      <w:r w:rsidR="00856C6D">
        <w:t>lock. This</w:t>
      </w:r>
      <w:r w:rsidR="00F66443">
        <w:t xml:space="preserve"> </w:t>
      </w:r>
      <w:r w:rsidR="00856C6D">
        <w:t>coincides</w:t>
      </w:r>
      <w:r>
        <w:t xml:space="preserve"> with the thickest </w:t>
      </w:r>
      <w:r w:rsidR="00F66443">
        <w:t>part</w:t>
      </w:r>
      <w:r w:rsidR="004C63BB">
        <w:t xml:space="preserve"> of </w:t>
      </w:r>
      <w:r w:rsidR="00F66443">
        <w:t xml:space="preserve">the </w:t>
      </w:r>
      <w:r w:rsidR="00856C6D">
        <w:t>North Pennine Batholith</w:t>
      </w:r>
      <w:r w:rsidR="004C63BB">
        <w:t xml:space="preserve"> (Fig. 10</w:t>
      </w:r>
      <w:r>
        <w:t xml:space="preserve">). This arrangement better replicates the thin Carboniferous succession </w:t>
      </w:r>
      <w:r w:rsidR="00205C72">
        <w:t xml:space="preserve">that is observed </w:t>
      </w:r>
      <w:r>
        <w:t>on the Als</w:t>
      </w:r>
      <w:r w:rsidR="005C4A81">
        <w:t>ton Block (</w:t>
      </w:r>
      <w:r w:rsidR="00635455">
        <w:t xml:space="preserve">Day, 1970; </w:t>
      </w:r>
      <w:r w:rsidR="00534BE5">
        <w:t xml:space="preserve">Stone et al., 2010). </w:t>
      </w:r>
      <w:r w:rsidR="005C4A81">
        <w:t xml:space="preserve">A further significant </w:t>
      </w:r>
      <w:r w:rsidR="008A0644">
        <w:t>difference observe</w:t>
      </w:r>
      <w:r w:rsidR="00BD13C2">
        <w:t>d</w:t>
      </w:r>
      <w:r w:rsidR="008A0644">
        <w:t xml:space="preserve"> in the granite model is </w:t>
      </w:r>
      <w:r w:rsidR="005C4A81">
        <w:t xml:space="preserve">the </w:t>
      </w:r>
      <w:r w:rsidR="008E5019">
        <w:t xml:space="preserve">drape-like, broad </w:t>
      </w:r>
      <w:r w:rsidR="005C4A81">
        <w:t>monocline shape of the top basement along the north of the block</w:t>
      </w:r>
      <w:r w:rsidR="00D43188">
        <w:t xml:space="preserve"> (Fig. 10b)</w:t>
      </w:r>
      <w:r w:rsidR="005C4A81">
        <w:t xml:space="preserve">. This geometry is likely exaggerated in the model compared with the cross-section </w:t>
      </w:r>
      <w:r w:rsidR="00A1032B">
        <w:t>as a consequence of the</w:t>
      </w:r>
      <w:r w:rsidR="005C4A81">
        <w:t xml:space="preserve"> </w:t>
      </w:r>
      <w:r w:rsidR="00E164AF">
        <w:t>solely two-dimensional</w:t>
      </w:r>
      <w:r w:rsidR="008A0644">
        <w:t xml:space="preserve"> nature of the model</w:t>
      </w:r>
      <w:r w:rsidR="00E164AF">
        <w:t>. Figure 1</w:t>
      </w:r>
      <w:r w:rsidR="005C4A81">
        <w:t xml:space="preserve"> shows the adopted trend-line intersecting two cupolas of the North Pennine </w:t>
      </w:r>
      <w:r w:rsidR="008A0644">
        <w:t>B</w:t>
      </w:r>
      <w:r w:rsidR="005C4A81">
        <w:t>atholith towards the north-east of the block which are likely to have invoked further out-of-plane uplift and flexure. This monocline mimics the trends of the uplif</w:t>
      </w:r>
      <w:r w:rsidR="00E164AF">
        <w:t>ted flanks portrayed in Figure 6</w:t>
      </w:r>
      <w:r w:rsidR="005C4A81">
        <w:t>.</w:t>
      </w:r>
    </w:p>
    <w:p w14:paraId="65CC4223" w14:textId="17D02AC1" w:rsidR="00D934E2" w:rsidRDefault="00D934E2" w:rsidP="009E071D">
      <w:pPr>
        <w:spacing w:line="360" w:lineRule="auto"/>
        <w:ind w:firstLine="720"/>
      </w:pPr>
      <w:r>
        <w:t xml:space="preserve">Interestingly, the basement monocline observed </w:t>
      </w:r>
      <w:r w:rsidR="00D103FD">
        <w:t>when incorporating granite</w:t>
      </w:r>
      <w:r>
        <w:t xml:space="preserve"> (Fig. 1</w:t>
      </w:r>
      <w:r w:rsidR="000F6AAE">
        <w:t>0</w:t>
      </w:r>
      <w:r>
        <w:t>b) echoes the north-eastern and offshore margins of the Alston Block</w:t>
      </w:r>
      <w:r w:rsidR="000F6AAE">
        <w:t xml:space="preserve"> (e</w:t>
      </w:r>
      <w:r w:rsidR="00B05165">
        <w:t>.</w:t>
      </w:r>
      <w:r w:rsidR="000F6AAE">
        <w:t>g. Murchison, 2004; also see Fig. 9</w:t>
      </w:r>
      <w:r>
        <w:t xml:space="preserve">b). Various authors have stated that the margins of the granite-cored highs are characterised by ‘hinge-lines’ onto which early Carboniferous strata </w:t>
      </w:r>
      <w:proofErr w:type="spellStart"/>
      <w:r>
        <w:t>onlap</w:t>
      </w:r>
      <w:proofErr w:type="spellEnd"/>
      <w:r>
        <w:t xml:space="preserve"> (George, 1958; </w:t>
      </w:r>
      <w:proofErr w:type="spellStart"/>
      <w:r>
        <w:t>Bott</w:t>
      </w:r>
      <w:proofErr w:type="spellEnd"/>
      <w:r>
        <w:t xml:space="preserve">, 1967; Johnson, 1967; </w:t>
      </w:r>
      <w:proofErr w:type="spellStart"/>
      <w:r>
        <w:t>Leeder</w:t>
      </w:r>
      <w:proofErr w:type="spellEnd"/>
      <w:r>
        <w:t>, 1975). These hinge lines are commonly faulted but are also locally characterised by monoclines simila</w:t>
      </w:r>
      <w:r w:rsidR="00D103FD">
        <w:t>r</w:t>
      </w:r>
      <w:r w:rsidR="000F6AAE">
        <w:t xml:space="preserve"> to those observed in Figures </w:t>
      </w:r>
      <w:r w:rsidR="00E164AF">
        <w:t>6</w:t>
      </w:r>
      <w:r w:rsidR="000F6AAE">
        <w:t xml:space="preserve"> and 10</w:t>
      </w:r>
      <w:r>
        <w:t xml:space="preserve">b. Both </w:t>
      </w:r>
      <w:r w:rsidR="00734268">
        <w:t xml:space="preserve">types of </w:t>
      </w:r>
      <w:r>
        <w:t>structure are believed to form in crust relatively free from granite that is immediately adjacent to granite-cored crust (</w:t>
      </w:r>
      <w:proofErr w:type="spellStart"/>
      <w:r>
        <w:t>Leeder</w:t>
      </w:r>
      <w:proofErr w:type="spellEnd"/>
      <w:r>
        <w:t xml:space="preserve">, 1975). Constraints on the deeper concealed stratigraphy of the Alston Block are sparse so perhaps the best illustration of this basement monocline </w:t>
      </w:r>
      <w:r w:rsidR="00D103FD">
        <w:t>are the early-mid Carboniferous thickness trends.</w:t>
      </w:r>
      <w:r>
        <w:t xml:space="preserve"> Despite anticipating a thin cap of mid-late Carboniferous stratigraphy akin </w:t>
      </w:r>
      <w:r w:rsidR="00D103FD">
        <w:t>to</w:t>
      </w:r>
      <w:r>
        <w:t xml:space="preserve"> the ~390</w:t>
      </w:r>
      <w:r w:rsidR="00D5410B">
        <w:t xml:space="preserve"> </w:t>
      </w:r>
      <w:r>
        <w:t>m</w:t>
      </w:r>
      <w:r w:rsidR="00D5410B">
        <w:t>etres</w:t>
      </w:r>
      <w:r>
        <w:t xml:space="preserve"> encountered in th</w:t>
      </w:r>
      <w:r w:rsidR="00D103FD">
        <w:t xml:space="preserve">e </w:t>
      </w:r>
      <w:proofErr w:type="spellStart"/>
      <w:r w:rsidR="00D103FD">
        <w:t>Rookhope</w:t>
      </w:r>
      <w:proofErr w:type="spellEnd"/>
      <w:r w:rsidR="00D103FD">
        <w:t xml:space="preserve"> borehole (Fig. </w:t>
      </w:r>
      <w:r w:rsidR="000F6AAE">
        <w:t>9</w:t>
      </w:r>
      <w:r>
        <w:t>b</w:t>
      </w:r>
      <w:r w:rsidR="00205C72">
        <w:t>;</w:t>
      </w:r>
      <w:r w:rsidR="00D920EB">
        <w:t xml:space="preserve"> </w:t>
      </w:r>
      <w:r>
        <w:t>Dunham et al., 1965), ~1800</w:t>
      </w:r>
      <w:r w:rsidR="00D5410B">
        <w:t xml:space="preserve"> </w:t>
      </w:r>
      <w:r>
        <w:t>m</w:t>
      </w:r>
      <w:r w:rsidR="00D5410B">
        <w:t>etres</w:t>
      </w:r>
      <w:r>
        <w:t xml:space="preserve"> of </w:t>
      </w:r>
      <w:proofErr w:type="spellStart"/>
      <w:r>
        <w:t>Visean</w:t>
      </w:r>
      <w:proofErr w:type="spellEnd"/>
      <w:r>
        <w:t>-Westphalian (</w:t>
      </w:r>
      <w:proofErr w:type="spellStart"/>
      <w:r>
        <w:t>Bashkirian</w:t>
      </w:r>
      <w:proofErr w:type="spellEnd"/>
      <w:r>
        <w:t>) stratigraphy was encountered</w:t>
      </w:r>
      <w:r w:rsidR="00D103FD">
        <w:t xml:space="preserve"> at </w:t>
      </w:r>
      <w:proofErr w:type="spellStart"/>
      <w:r w:rsidR="00D103FD">
        <w:t>Harton</w:t>
      </w:r>
      <w:proofErr w:type="spellEnd"/>
      <w:r w:rsidR="00D103FD">
        <w:t xml:space="preserve"> Dome</w:t>
      </w:r>
      <w:r>
        <w:t xml:space="preserve"> without reaching basement before drilling finally ceased (</w:t>
      </w:r>
      <w:proofErr w:type="spellStart"/>
      <w:r>
        <w:t>Ridd</w:t>
      </w:r>
      <w:proofErr w:type="spellEnd"/>
      <w:r>
        <w:t xml:space="preserve"> et al., 1970).</w:t>
      </w:r>
    </w:p>
    <w:p w14:paraId="29B02952" w14:textId="22C46568" w:rsidR="006E41CC" w:rsidRPr="006E41CC" w:rsidRDefault="006E41CC" w:rsidP="009E071D">
      <w:pPr>
        <w:pStyle w:val="Heading3"/>
        <w:spacing w:line="360" w:lineRule="auto"/>
        <w:rPr>
          <w:rFonts w:eastAsiaTheme="minorEastAsia"/>
        </w:rPr>
      </w:pPr>
      <w:r>
        <w:rPr>
          <w:rFonts w:eastAsiaTheme="minorEastAsia"/>
        </w:rPr>
        <w:t xml:space="preserve">6.3 </w:t>
      </w:r>
      <w:r w:rsidR="00BE3C91">
        <w:rPr>
          <w:rFonts w:eastAsiaTheme="minorEastAsia"/>
        </w:rPr>
        <w:t>I</w:t>
      </w:r>
      <w:r>
        <w:rPr>
          <w:rFonts w:eastAsiaTheme="minorEastAsia"/>
        </w:rPr>
        <w:t>n-line</w:t>
      </w:r>
    </w:p>
    <w:p w14:paraId="45CB11DD" w14:textId="0B827A09" w:rsidR="00B41BD7" w:rsidRDefault="00D934E2" w:rsidP="009E071D">
      <w:pPr>
        <w:spacing w:line="360" w:lineRule="auto"/>
        <w:ind w:firstLine="720"/>
      </w:pPr>
      <w:r>
        <w:t>T</w:t>
      </w:r>
      <w:r w:rsidR="000A2D75">
        <w:t xml:space="preserve">he effects of granite emplacement have </w:t>
      </w:r>
      <w:r w:rsidR="00473125">
        <w:t>been</w:t>
      </w:r>
      <w:r>
        <w:t xml:space="preserve"> further</w:t>
      </w:r>
      <w:r w:rsidR="00473125">
        <w:t xml:space="preserve"> investigated by the generation </w:t>
      </w:r>
      <w:r w:rsidR="003211A5">
        <w:t>of</w:t>
      </w:r>
      <w:r>
        <w:t xml:space="preserve"> an additional forward model</w:t>
      </w:r>
      <w:r w:rsidR="000F6AAE">
        <w:t xml:space="preserve"> (Fig. 11</w:t>
      </w:r>
      <w:r w:rsidR="00B41BD7">
        <w:t>)</w:t>
      </w:r>
      <w:r w:rsidR="000F33E4">
        <w:t xml:space="preserve"> represent</w:t>
      </w:r>
      <w:r w:rsidR="00EC31B4">
        <w:t>ing</w:t>
      </w:r>
      <w:r w:rsidR="000F33E4">
        <w:t xml:space="preserve"> the approximately </w:t>
      </w:r>
      <w:r>
        <w:t xml:space="preserve">E-W </w:t>
      </w:r>
      <w:r w:rsidR="007142CD">
        <w:t xml:space="preserve">in-line </w:t>
      </w:r>
      <w:r w:rsidR="000F33E4">
        <w:t xml:space="preserve">section </w:t>
      </w:r>
      <w:r>
        <w:t>across the Lake District Block, Vale of Eden Basin and Alston Block</w:t>
      </w:r>
      <w:r w:rsidR="000F6AAE">
        <w:t xml:space="preserve"> (Fig. 9</w:t>
      </w:r>
      <w:r w:rsidR="007F5CDE">
        <w:t>b)</w:t>
      </w:r>
      <w:r>
        <w:t xml:space="preserve">. As the section </w:t>
      </w:r>
      <w:r w:rsidR="00734268">
        <w:t xml:space="preserve">is oriented </w:t>
      </w:r>
      <w:r>
        <w:t xml:space="preserve">roughly parallel to the dominant structural trend, faulting is largely removed. </w:t>
      </w:r>
      <w:r w:rsidR="00716398">
        <w:t>A uniform pure shear beta-value of 1.25 is applied</w:t>
      </w:r>
      <w:r w:rsidR="008A0644">
        <w:t xml:space="preserve"> that is</w:t>
      </w:r>
      <w:r w:rsidR="00734268">
        <w:t xml:space="preserve"> </w:t>
      </w:r>
      <w:r w:rsidR="00716398">
        <w:t>consistent with the cross-line section</w:t>
      </w:r>
      <w:r>
        <w:t xml:space="preserve">. Permian fill of the Vale of Eden Basin is bound to the east by the Pennine </w:t>
      </w:r>
      <w:r w:rsidR="008A0644">
        <w:t>F</w:t>
      </w:r>
      <w:r>
        <w:t>ault</w:t>
      </w:r>
      <w:r w:rsidR="003F776B">
        <w:t>; h</w:t>
      </w:r>
      <w:r>
        <w:t>owever, as Carboniferous strata shows no si</w:t>
      </w:r>
      <w:r w:rsidR="00B41BD7">
        <w:t>gnificant thickening across the</w:t>
      </w:r>
      <w:r>
        <w:t xml:space="preserve"> fault</w:t>
      </w:r>
      <w:r w:rsidR="00DD1088">
        <w:t>,</w:t>
      </w:r>
      <w:r>
        <w:t xml:space="preserve"> only 0.25</w:t>
      </w:r>
      <w:r w:rsidR="007142CD">
        <w:t xml:space="preserve"> </w:t>
      </w:r>
      <w:r>
        <w:t>k</w:t>
      </w:r>
      <w:r w:rsidR="00B41BD7">
        <w:t>m of horizontal displacement is</w:t>
      </w:r>
      <w:r>
        <w:t xml:space="preserve"> modelled. </w:t>
      </w:r>
      <w:r w:rsidR="001F62D1">
        <w:t xml:space="preserve">40 </w:t>
      </w:r>
      <w:proofErr w:type="spellStart"/>
      <w:r w:rsidR="001F62D1">
        <w:t>My</w:t>
      </w:r>
      <w:proofErr w:type="spellEnd"/>
      <w:r w:rsidR="001F62D1">
        <w:t xml:space="preserve"> </w:t>
      </w:r>
      <w:r w:rsidR="00616694">
        <w:t xml:space="preserve">of post-rift thermal </w:t>
      </w:r>
      <w:r w:rsidR="00C16C78">
        <w:t xml:space="preserve">subsidence </w:t>
      </w:r>
      <w:r w:rsidR="00616694">
        <w:t xml:space="preserve">is included in the model </w:t>
      </w:r>
      <w:r w:rsidR="00213C61">
        <w:t xml:space="preserve">which </w:t>
      </w:r>
      <w:r w:rsidR="00C95A9E">
        <w:t>produces</w:t>
      </w:r>
      <w:r w:rsidR="00213C61">
        <w:t xml:space="preserve"> an </w:t>
      </w:r>
      <w:r w:rsidR="00AE5C79">
        <w:t xml:space="preserve">evenly distributed, </w:t>
      </w:r>
      <w:r w:rsidR="00AE5C79">
        <w:lastRenderedPageBreak/>
        <w:t>uniform</w:t>
      </w:r>
      <w:r w:rsidR="00C95A9E">
        <w:t>ly thick</w:t>
      </w:r>
      <w:r w:rsidR="00AE5C79">
        <w:t xml:space="preserve"> </w:t>
      </w:r>
      <w:r w:rsidR="00C95A9E">
        <w:t>succession</w:t>
      </w:r>
      <w:r w:rsidR="00AE5C79">
        <w:t xml:space="preserve"> of ~</w:t>
      </w:r>
      <w:r w:rsidR="00C52832">
        <w:t>1.3 km due to</w:t>
      </w:r>
      <w:r w:rsidR="00B41BD7">
        <w:t xml:space="preserve"> a</w:t>
      </w:r>
      <w:r w:rsidR="00B3648F">
        <w:t xml:space="preserve"> combination of </w:t>
      </w:r>
      <w:r w:rsidR="00B819DF">
        <w:t xml:space="preserve">assuming </w:t>
      </w:r>
      <w:r w:rsidR="00B3648F">
        <w:t>a</w:t>
      </w:r>
      <w:r w:rsidR="00B41BD7">
        <w:t xml:space="preserve"> uniform beta-value,</w:t>
      </w:r>
      <w:r>
        <w:t xml:space="preserve"> no crustal density variations</w:t>
      </w:r>
      <w:r w:rsidR="00B41BD7">
        <w:t xml:space="preserve"> and a single</w:t>
      </w:r>
      <w:r w:rsidR="00C95A9E">
        <w:t xml:space="preserve"> fault with small</w:t>
      </w:r>
      <w:r w:rsidR="00DD1088">
        <w:t xml:space="preserve"> </w:t>
      </w:r>
      <w:r w:rsidR="00B41BD7">
        <w:t>displacement (Fig. 1</w:t>
      </w:r>
      <w:r w:rsidR="000F6AAE">
        <w:t>1</w:t>
      </w:r>
      <w:r w:rsidR="00B41BD7">
        <w:t>a).</w:t>
      </w:r>
    </w:p>
    <w:p w14:paraId="18EBF53A" w14:textId="5DFB349D" w:rsidR="00B41BD7" w:rsidRDefault="00D934E2" w:rsidP="009E071D">
      <w:pPr>
        <w:spacing w:line="360" w:lineRule="auto"/>
        <w:ind w:firstLine="720"/>
      </w:pPr>
      <w:r>
        <w:t xml:space="preserve">When crustal density is varied according to the thickness of the underlying granite bodies, a highly </w:t>
      </w:r>
      <w:proofErr w:type="spellStart"/>
      <w:r>
        <w:t>undulose</w:t>
      </w:r>
      <w:proofErr w:type="spellEnd"/>
      <w:r>
        <w:t xml:space="preserve"> basement topography is </w:t>
      </w:r>
      <w:r w:rsidR="004C479F">
        <w:t>generated</w:t>
      </w:r>
      <w:r w:rsidR="000F6AAE">
        <w:t xml:space="preserve"> (Fig. 11</w:t>
      </w:r>
      <w:r>
        <w:t xml:space="preserve">b). Despite </w:t>
      </w:r>
      <w:r w:rsidR="00B41BD7">
        <w:t>modelling limited faulting</w:t>
      </w:r>
      <w:r>
        <w:t>, the general absence of low</w:t>
      </w:r>
      <w:r w:rsidR="00CC187A">
        <w:t>-</w:t>
      </w:r>
      <w:r>
        <w:t xml:space="preserve">density granite underlying the Vale of Eden compared with the surrounding Alston Block and Lake District Block </w:t>
      </w:r>
      <w:r w:rsidR="00784201">
        <w:t>predicts</w:t>
      </w:r>
      <w:r>
        <w:t xml:space="preserve"> a narrow</w:t>
      </w:r>
      <w:r w:rsidR="00B41BD7">
        <w:t>,</w:t>
      </w:r>
      <w:r>
        <w:t xml:space="preserve"> </w:t>
      </w:r>
      <w:r w:rsidR="00734268">
        <w:t>trough-</w:t>
      </w:r>
      <w:r>
        <w:t>shaped basin. Along the eastern extent of the model</w:t>
      </w:r>
      <w:r w:rsidR="00DD1088">
        <w:t>,</w:t>
      </w:r>
      <w:r>
        <w:t xml:space="preserve"> </w:t>
      </w:r>
      <w:proofErr w:type="spellStart"/>
      <w:r>
        <w:t>syn</w:t>
      </w:r>
      <w:proofErr w:type="spellEnd"/>
      <w:r>
        <w:t>-</w:t>
      </w:r>
      <w:r w:rsidR="004C479F">
        <w:t>rift</w:t>
      </w:r>
      <w:r>
        <w:t xml:space="preserve"> basin fill thickness increases significantly</w:t>
      </w:r>
      <w:r w:rsidR="004C479F">
        <w:t>,</w:t>
      </w:r>
      <w:r>
        <w:t xml:space="preserve"> again mimicking the thickness trends encountered in the </w:t>
      </w:r>
      <w:proofErr w:type="spellStart"/>
      <w:r>
        <w:t>Harton</w:t>
      </w:r>
      <w:proofErr w:type="spellEnd"/>
      <w:r>
        <w:t xml:space="preserve"> Dome well compared with the </w:t>
      </w:r>
      <w:proofErr w:type="spellStart"/>
      <w:r>
        <w:t>Rookhope</w:t>
      </w:r>
      <w:proofErr w:type="spellEnd"/>
      <w:r>
        <w:t xml:space="preserve"> well</w:t>
      </w:r>
      <w:r w:rsidR="000F6AAE">
        <w:t xml:space="preserve"> (Fig. 9</w:t>
      </w:r>
      <w:r w:rsidR="00B41BD7">
        <w:t>b)</w:t>
      </w:r>
      <w:r>
        <w:t>. As only minimal amounts of crustal thinning are calculated due to the absence of large Carboniferous faults along the section, post-</w:t>
      </w:r>
      <w:r w:rsidR="00462657">
        <w:t>rift</w:t>
      </w:r>
      <w:r>
        <w:t xml:space="preserve"> basin fill thickness is largely uniform except for where </w:t>
      </w:r>
      <w:proofErr w:type="spellStart"/>
      <w:r>
        <w:t>syn</w:t>
      </w:r>
      <w:proofErr w:type="spellEnd"/>
      <w:r>
        <w:t>-</w:t>
      </w:r>
      <w:r w:rsidR="00462657">
        <w:t>rift</w:t>
      </w:r>
      <w:r>
        <w:t xml:space="preserve"> subsidence alone is not sufficient to lower the basement elevation be</w:t>
      </w:r>
      <w:r w:rsidR="00B41BD7">
        <w:t>low sea level.</w:t>
      </w:r>
    </w:p>
    <w:p w14:paraId="49ADC2D4" w14:textId="75751883" w:rsidR="00D934E2" w:rsidRDefault="00B41BD7" w:rsidP="009E071D">
      <w:pPr>
        <w:spacing w:line="360" w:lineRule="auto"/>
        <w:ind w:firstLine="720"/>
      </w:pPr>
      <w:r>
        <w:t>Top basement monoclines and</w:t>
      </w:r>
      <w:r w:rsidR="00D934E2">
        <w:t xml:space="preserve"> significant sediment thickness variations related to the underlying thickness</w:t>
      </w:r>
      <w:r>
        <w:t>es</w:t>
      </w:r>
      <w:r w:rsidR="00D934E2">
        <w:t xml:space="preserve"> of granite bodies are predicted in our numerical modelling experime</w:t>
      </w:r>
      <w:r>
        <w:t xml:space="preserve">nts. It is suggested </w:t>
      </w:r>
      <w:r w:rsidR="00734268">
        <w:t xml:space="preserve">therefore </w:t>
      </w:r>
      <w:r>
        <w:t xml:space="preserve">that </w:t>
      </w:r>
      <w:r w:rsidR="00D934E2">
        <w:t>early Carboniferous thickness discrepancies</w:t>
      </w:r>
      <w:r>
        <w:t xml:space="preserve"> in the North Pennine </w:t>
      </w:r>
      <w:r w:rsidR="00CC187A">
        <w:t>B</w:t>
      </w:r>
      <w:r>
        <w:t>asin</w:t>
      </w:r>
      <w:r w:rsidR="00D934E2">
        <w:t xml:space="preserve"> are</w:t>
      </w:r>
      <w:r w:rsidR="00285E29">
        <w:t>, in part, due to</w:t>
      </w:r>
      <w:r w:rsidR="00D934E2">
        <w:t xml:space="preserve"> the flexural response of the lithosphere to low density granite bodies</w:t>
      </w:r>
      <w:r w:rsidR="00734268">
        <w:t xml:space="preserve"> and the later superimposed effects of lithospheric extension</w:t>
      </w:r>
      <w:r w:rsidR="00D934E2">
        <w:t>.</w:t>
      </w:r>
    </w:p>
    <w:p w14:paraId="1E426198" w14:textId="7A8CDDF0" w:rsidR="00534BE5" w:rsidRDefault="000710A2" w:rsidP="009E071D">
      <w:pPr>
        <w:pStyle w:val="Heading1"/>
        <w:spacing w:line="360" w:lineRule="auto"/>
      </w:pPr>
      <w:r>
        <w:t>7</w:t>
      </w:r>
      <w:r w:rsidR="00534BE5">
        <w:t>.0 Discussion</w:t>
      </w:r>
    </w:p>
    <w:p w14:paraId="2DB9D92B" w14:textId="5F625595" w:rsidR="0095705A" w:rsidRDefault="0095705A" w:rsidP="009E071D">
      <w:pPr>
        <w:spacing w:line="360" w:lineRule="auto"/>
        <w:ind w:firstLine="720"/>
      </w:pPr>
      <w:r>
        <w:t>Nu</w:t>
      </w:r>
      <w:r w:rsidR="00CC1E0A">
        <w:t>merical modelling of lithospheric</w:t>
      </w:r>
      <w:r>
        <w:t xml:space="preserve"> extension and basin formation has provided evidence that large basement granite bodies can strongly influence basin architecture and form areas of strong relief, as was first proposed by </w:t>
      </w:r>
      <w:proofErr w:type="spellStart"/>
      <w:r>
        <w:t>Bott</w:t>
      </w:r>
      <w:proofErr w:type="spellEnd"/>
      <w:r>
        <w:t xml:space="preserve"> (1958). By accounting for large</w:t>
      </w:r>
      <w:r w:rsidR="006F7BC2">
        <w:t>,</w:t>
      </w:r>
      <w:r>
        <w:t xml:space="preserve"> low</w:t>
      </w:r>
      <w:r w:rsidR="006F7BC2">
        <w:t>-</w:t>
      </w:r>
      <w:r>
        <w:t xml:space="preserve">density granite bodies, it is possible </w:t>
      </w:r>
      <w:r w:rsidR="00C95A9E">
        <w:t>to replicate some of the geometries observed in</w:t>
      </w:r>
      <w:r>
        <w:t xml:space="preserve"> </w:t>
      </w:r>
      <w:r w:rsidR="00C95A9E">
        <w:t xml:space="preserve">the </w:t>
      </w:r>
      <w:r>
        <w:t xml:space="preserve">North Pennine </w:t>
      </w:r>
      <w:r w:rsidR="006F7BC2">
        <w:t>B</w:t>
      </w:r>
      <w:r>
        <w:t>asin. H</w:t>
      </w:r>
      <w:r w:rsidR="00784201">
        <w:t>owever, contrary to common perception,</w:t>
      </w:r>
      <w:r>
        <w:t xml:space="preserve"> relatively buoyant granite-cored crust is not capable of resisting subsidence during lithospheric extension.</w:t>
      </w:r>
    </w:p>
    <w:p w14:paraId="68C010D0" w14:textId="33C8A330" w:rsidR="0095705A" w:rsidRDefault="0095705A" w:rsidP="009E071D">
      <w:pPr>
        <w:spacing w:line="360" w:lineRule="auto"/>
        <w:ind w:firstLine="720"/>
      </w:pPr>
      <w:r>
        <w:t>The emplacement of typically low</w:t>
      </w:r>
      <w:r w:rsidR="006F7BC2">
        <w:t>-</w:t>
      </w:r>
      <w:r>
        <w:t xml:space="preserve">density granite prompts an incomplete isostatic response; even when associated temperature fluctuations are ignored. This generates a regional flexural profile prior to lithospheric extension and leaves residual second-order stresses associated with the under-compensated buoyancy of the granite and flexural tension (e.g. </w:t>
      </w:r>
      <w:proofErr w:type="spellStart"/>
      <w:r>
        <w:t>Sonder</w:t>
      </w:r>
      <w:proofErr w:type="spellEnd"/>
      <w:r>
        <w:t xml:space="preserve">, 1990; </w:t>
      </w:r>
      <w:proofErr w:type="spellStart"/>
      <w:r>
        <w:t>Zoback</w:t>
      </w:r>
      <w:proofErr w:type="spellEnd"/>
      <w:r>
        <w:t xml:space="preserve"> </w:t>
      </w:r>
      <w:r w:rsidRPr="000445F2">
        <w:rPr>
          <w:i/>
        </w:rPr>
        <w:t>et al</w:t>
      </w:r>
      <w:r>
        <w:t>., 1992; Fig. 12). The, up until now, neglected pre-existing structural framework of the region likely plays an important role in determining the geometry of the granite body and effective elastic thickness of the lithosphere (</w:t>
      </w:r>
      <m:oMath>
        <m:r>
          <w:rPr>
            <w:rFonts w:ascii="Cambria Math" w:hAnsi="Cambria Math"/>
          </w:rPr>
          <m:t>Te</m:t>
        </m:r>
      </m:oMath>
      <w:r>
        <w:t>); both of which have a direct influence on our numerical simulations of this flexural profile.</w:t>
      </w:r>
    </w:p>
    <w:p w14:paraId="4E21946E" w14:textId="77777777" w:rsidR="0095705A" w:rsidRDefault="0095705A" w:rsidP="009E071D">
      <w:pPr>
        <w:spacing w:line="360" w:lineRule="auto"/>
        <w:ind w:firstLine="720"/>
        <w:rPr>
          <w:rFonts w:eastAsiaTheme="minorEastAsia"/>
        </w:rPr>
      </w:pPr>
      <w:r>
        <w:lastRenderedPageBreak/>
        <w:t xml:space="preserve">The depth of emplacement of a granitic body is likely to influence subsidence and structural partitioning within the crust. The incorporation of a bulk crustal density value, such as is the case here, effectively assumes the proportion of granitic and non-granitic crustal material deforming by simple and pure shear is equal. However, if the granite body were to reside solely within the upper crust, then the granite body would not deform via the mechanism of pure shear at all. Crustal material removed from the lower lithosphere overburden by means of pure shear therefore, would have the same density as ‘standard’ crustal material, regardless of the presence or absence of granite in the upper crust. The calculated subsidence in response to pure shear would be identical to that of ‘standard’ lithosphere. </w:t>
      </w:r>
      <w:r>
        <w:rPr>
          <w:rFonts w:eastAsiaTheme="minorEastAsia"/>
        </w:rPr>
        <w:t>Alternatively, if a granite body were to reside solely within the lower, more ductile crust, thinning of the granite body due to pure shear would be underestimated when utilising a bulk crustal density value (</w:t>
      </w:r>
      <m:oMath>
        <m:sSub>
          <m:sSubPr>
            <m:ctrlPr>
              <w:rPr>
                <w:rFonts w:ascii="Cambria Math" w:hAnsi="Cambria Math"/>
                <w:i/>
              </w:rPr>
            </m:ctrlPr>
          </m:sSubPr>
          <m:e>
            <m:r>
              <w:rPr>
                <w:rFonts w:ascii="Cambria Math" w:hAnsi="Cambria Math"/>
              </w:rPr>
              <m:t>ρ</m:t>
            </m:r>
          </m:e>
          <m:sub>
            <m:r>
              <w:rPr>
                <w:rFonts w:ascii="Cambria Math" w:hAnsi="Cambria Math"/>
              </w:rPr>
              <m:t>gc</m:t>
            </m:r>
          </m:sub>
        </m:sSub>
      </m:oMath>
      <w:r>
        <w:rPr>
          <w:rFonts w:eastAsiaTheme="minorEastAsia"/>
        </w:rPr>
        <w:t>), as would subsidence.</w:t>
      </w:r>
    </w:p>
    <w:p w14:paraId="1164251F" w14:textId="78794299" w:rsidR="0095705A" w:rsidRDefault="0095705A" w:rsidP="009E071D">
      <w:pPr>
        <w:spacing w:line="360" w:lineRule="auto"/>
        <w:ind w:firstLine="720"/>
        <w:rPr>
          <w:rFonts w:eastAsiaTheme="minorEastAsia"/>
        </w:rPr>
      </w:pPr>
      <w:r>
        <w:rPr>
          <w:rFonts w:eastAsiaTheme="minorEastAsia"/>
        </w:rPr>
        <w:t>During lithospheric extension</w:t>
      </w:r>
      <w:r w:rsidR="00CF5343">
        <w:rPr>
          <w:rFonts w:eastAsiaTheme="minorEastAsia"/>
        </w:rPr>
        <w:t>,</w:t>
      </w:r>
      <w:r>
        <w:rPr>
          <w:rFonts w:eastAsiaTheme="minorEastAsia"/>
        </w:rPr>
        <w:t xml:space="preserve"> subsidence provides accommodation space which, provided there is an active sediment supply, permits sediment infill into the basin and the exaggeration of the already generated regional flexural profile. The reduced effective thickness of the lithosphere (</w:t>
      </w:r>
      <m:oMath>
        <m:r>
          <w:rPr>
            <w:rFonts w:ascii="Cambria Math" w:eastAsiaTheme="minorEastAsia" w:hAnsi="Cambria Math"/>
          </w:rPr>
          <m:t>Te</m:t>
        </m:r>
      </m:oMath>
      <w:r>
        <w:rPr>
          <w:rFonts w:eastAsiaTheme="minorEastAsia"/>
        </w:rPr>
        <w:t>) associated with extensional basins (</w:t>
      </w:r>
      <w:proofErr w:type="spellStart"/>
      <w:r>
        <w:rPr>
          <w:rFonts w:eastAsiaTheme="minorEastAsia"/>
        </w:rPr>
        <w:t>Kusznir</w:t>
      </w:r>
      <w:proofErr w:type="spellEnd"/>
      <w:r>
        <w:rPr>
          <w:rFonts w:eastAsiaTheme="minorEastAsia"/>
        </w:rPr>
        <w:t xml:space="preserve"> and Park, 1987) is likely to further increase the amplitude of this flexural profile.</w:t>
      </w:r>
    </w:p>
    <w:p w14:paraId="5E299E1C" w14:textId="7AD9CF2D" w:rsidR="0095705A" w:rsidRDefault="0095705A" w:rsidP="009E071D">
      <w:pPr>
        <w:spacing w:line="360" w:lineRule="auto"/>
        <w:ind w:firstLine="720"/>
      </w:pPr>
      <w:r>
        <w:rPr>
          <w:rFonts w:eastAsiaTheme="minorEastAsia"/>
        </w:rPr>
        <w:t>Regional scale extensional faulting is another feature strongly linked with this tectonic framework. There is a strong link between the flexural response to granite and the localisation of extensional strain along the hinges of the flexural profile (Fig. 6) or peripheral margins of the granite body at depth (Fig. 1).</w:t>
      </w:r>
      <w:r w:rsidRPr="003B7A2E">
        <w:rPr>
          <w:rFonts w:eastAsiaTheme="minorEastAsia"/>
        </w:rPr>
        <w:t xml:space="preserve"> </w:t>
      </w:r>
      <w:r>
        <w:t xml:space="preserve">Figure 12 illustrates how tectonic stresses due to extensional tectonism and residual second-order stresses could constructively interfere. </w:t>
      </w:r>
      <w:r w:rsidR="00CF5343">
        <w:t>However, a</w:t>
      </w:r>
      <w:r>
        <w:rPr>
          <w:rFonts w:eastAsiaTheme="minorEastAsia"/>
        </w:rPr>
        <w:t xml:space="preserve">t </w:t>
      </w:r>
      <w:r w:rsidR="00CF5343">
        <w:rPr>
          <w:rFonts w:eastAsiaTheme="minorEastAsia"/>
        </w:rPr>
        <w:t xml:space="preserve">the </w:t>
      </w:r>
      <w:r>
        <w:rPr>
          <w:rFonts w:eastAsiaTheme="minorEastAsia"/>
        </w:rPr>
        <w:t xml:space="preserve">regional scale, large basin-bounding faults, particularly their orientation, are not so apparently guided by the subsurface granite extent. It is likely that older inherited Caledonian lineaments are more important here </w:t>
      </w:r>
      <w:r>
        <w:t>(e.g. Coward, 1993; Corfield et al., 1996). Nonetheless, the interaction of these stress fields could perceivably impose the localisation of stress conditions more favourable to the normal reactivation of ancient lineaments within basement surrounding intruded granite.</w:t>
      </w:r>
      <w:r w:rsidRPr="00E429A7">
        <w:t xml:space="preserve"> </w:t>
      </w:r>
      <w:r>
        <w:t>Where exposed, crystalline granite bodies of northern England lack the internal inconsistencies of the surrounding metamorphosed basement (Stone et al., 2010) so conversely, are likely to be less favourable for fault propagation. Second-order stresses are capable of driving preferential propagation of basin-bounding faults during early stage extension</w:t>
      </w:r>
      <w:r w:rsidR="002F7616">
        <w:t>,</w:t>
      </w:r>
      <w:r>
        <w:t xml:space="preserve"> which along with the likely decrease of the effective elastic thickness of the lithosphere is likely to prompt more complete isostatic compensation of granite-cored blocks and relax these stresses. The absence of faults surrounding the largest fault structures may be explained by a ‘strain shadow’ effect (e.g. Nicol et al., 2005), whereby tensile </w:t>
      </w:r>
      <w:r>
        <w:lastRenderedPageBreak/>
        <w:t>stress is relieved by large fault structures, negating the need for further brittle failure in the immediately surrounding area.</w:t>
      </w:r>
    </w:p>
    <w:p w14:paraId="7BEC36BB" w14:textId="47A6BAAA" w:rsidR="001602B7" w:rsidRDefault="001602B7" w:rsidP="001602B7">
      <w:pPr>
        <w:spacing w:line="360" w:lineRule="auto"/>
        <w:ind w:firstLine="720"/>
      </w:pPr>
      <w:r>
        <w:t xml:space="preserve">Traditionally, the Carboniferous </w:t>
      </w:r>
      <w:r w:rsidR="002F7616">
        <w:t xml:space="preserve">basins of the </w:t>
      </w:r>
      <w:r>
        <w:t>North Pennine</w:t>
      </w:r>
      <w:r w:rsidR="002F7616">
        <w:t>s</w:t>
      </w:r>
      <w:r>
        <w:t xml:space="preserve"> of northern England and </w:t>
      </w:r>
      <w:r w:rsidR="002F7616">
        <w:t xml:space="preserve">those of </w:t>
      </w:r>
      <w:r>
        <w:t xml:space="preserve">the Midland Valley of Scotland are regarded as tectonically distinct; although more recent work has begun to highlight the tectonic similarities between the late Carboniferous to earliest Permian frameworks of the two regions (De Paola et al., 2005; </w:t>
      </w:r>
      <w:r w:rsidR="000A1EC6">
        <w:t>Monaghan and Parrish</w:t>
      </w:r>
      <w:r>
        <w:t xml:space="preserve">, 2006; </w:t>
      </w:r>
      <w:proofErr w:type="spellStart"/>
      <w:r>
        <w:t>Holdsworth</w:t>
      </w:r>
      <w:proofErr w:type="spellEnd"/>
      <w:r>
        <w:t xml:space="preserve"> et al., 2015). During the early Carboniferous</w:t>
      </w:r>
      <w:r w:rsidR="002F7616">
        <w:t xml:space="preserve"> Period</w:t>
      </w:r>
      <w:r>
        <w:t xml:space="preserve">, the Midland Valley of Scotland is characterised by </w:t>
      </w:r>
      <w:proofErr w:type="spellStart"/>
      <w:r>
        <w:t>sinistral</w:t>
      </w:r>
      <w:proofErr w:type="spellEnd"/>
      <w:r>
        <w:t xml:space="preserve"> wrench tectonism (e.g. Ritchie et al., 2003; Caldwell and Young, 2013), whereas the North Pennine </w:t>
      </w:r>
      <w:r w:rsidR="002F7616">
        <w:t>B</w:t>
      </w:r>
      <w:r>
        <w:t xml:space="preserve">asin is classically interpreted as having formed under N-S orientated extension (e.g. Fraser and </w:t>
      </w:r>
      <w:proofErr w:type="spellStart"/>
      <w:r>
        <w:t>Gawthorpe</w:t>
      </w:r>
      <w:proofErr w:type="spellEnd"/>
      <w:r>
        <w:t xml:space="preserve">, 2003). This is despite both regions forming at the same time and within close proximity. </w:t>
      </w:r>
      <w:r w:rsidRPr="001D7CAD">
        <w:t xml:space="preserve">The </w:t>
      </w:r>
      <w:r w:rsidRPr="00F34DE9">
        <w:rPr>
          <w:i/>
        </w:rPr>
        <w:t>maximum vertical displacement to length</w:t>
      </w:r>
      <w:r w:rsidRPr="001D7CAD">
        <w:t xml:space="preserve"> </w:t>
      </w:r>
      <w:r>
        <w:t xml:space="preserve">ratio </w:t>
      </w:r>
      <w:r w:rsidRPr="001D7CAD">
        <w:t>along faults has</w:t>
      </w:r>
      <w:r>
        <w:t xml:space="preserve"> been used often </w:t>
      </w:r>
      <w:r w:rsidRPr="001D7CAD">
        <w:t xml:space="preserve">to infer oblique movement in </w:t>
      </w:r>
      <w:proofErr w:type="spellStart"/>
      <w:r w:rsidRPr="001D7CAD">
        <w:t>transtensional</w:t>
      </w:r>
      <w:proofErr w:type="spellEnd"/>
      <w:r w:rsidRPr="001D7CAD">
        <w:t xml:space="preserve"> settings (e</w:t>
      </w:r>
      <w:r>
        <w:t>.</w:t>
      </w:r>
      <w:r w:rsidRPr="001D7CAD">
        <w:t xml:space="preserve">g. Cowie and </w:t>
      </w:r>
      <w:proofErr w:type="spellStart"/>
      <w:r w:rsidRPr="001D7CAD">
        <w:t>Scholz</w:t>
      </w:r>
      <w:proofErr w:type="spellEnd"/>
      <w:r w:rsidRPr="001D7CAD">
        <w:t>, 1992)</w:t>
      </w:r>
      <w:r>
        <w:t xml:space="preserve">. Although the constraints upon the major bounding faults of the North Pennine Basin are too poor to consider an in-depth quantitative analysis, the hypothesis that the high vertical displacements of the major bounding faults of the North Pennine Basin were a result of roughly perpendicular stresses could otherwise be considered fair. However, based on the assumption that second-order forces, particularly buoyancy forces, relating to the incompletely compensated-for granite body could drive additional vertical fault propagation (Fig. 12), it could be suggested that maximum vertical displacement is exaggerated across faults such as the Ninety Fathom and </w:t>
      </w:r>
      <w:proofErr w:type="spellStart"/>
      <w:r>
        <w:t>Stublick</w:t>
      </w:r>
      <w:proofErr w:type="spellEnd"/>
      <w:r>
        <w:t xml:space="preserve"> with respect to faults not influenced by isostatic variations. Therefore, it need not be necessary to discount wrench tectonism solely due to a high </w:t>
      </w:r>
      <w:r w:rsidRPr="009C4F0B">
        <w:rPr>
          <w:i/>
        </w:rPr>
        <w:t>maximum vertical displacement to fault length</w:t>
      </w:r>
      <w:r>
        <w:t xml:space="preserve"> ratio. Early Carboniferous </w:t>
      </w:r>
      <w:proofErr w:type="spellStart"/>
      <w:r>
        <w:t>transtension</w:t>
      </w:r>
      <w:proofErr w:type="spellEnd"/>
      <w:r>
        <w:t xml:space="preserve"> (e.g. Coward, 1993) appears altogether more appealing considering the under-estimation of basin subsidence based on the modelled fault offsets (Fig. 10b). On this basis, the contrasting styles of the block and basins of the</w:t>
      </w:r>
      <w:r w:rsidR="002F7616">
        <w:t xml:space="preserve"> </w:t>
      </w:r>
      <w:r>
        <w:t xml:space="preserve">Pennines and the wrench basins of the Midland Valley of Scotland may be, amongst </w:t>
      </w:r>
      <w:r w:rsidR="008D5A49">
        <w:t>other factors</w:t>
      </w:r>
      <w:r w:rsidR="00D111EE">
        <w:t xml:space="preserve"> including the superimposed structural arrangement of the pre-existing Iapetus Suture in northern England (Freeman et al., 1988)</w:t>
      </w:r>
      <w:r>
        <w:t>, in part due to the general absence of large, pre-tectonic low density granite bodies in the Midland Valley of Scotland.</w:t>
      </w:r>
    </w:p>
    <w:p w14:paraId="031D25F9" w14:textId="0F20E48A" w:rsidR="0095705A" w:rsidRDefault="0095705A" w:rsidP="009E071D">
      <w:pPr>
        <w:pStyle w:val="Heading1"/>
        <w:spacing w:line="360" w:lineRule="auto"/>
      </w:pPr>
      <w:r>
        <w:t>8.0 Conclusions</w:t>
      </w:r>
    </w:p>
    <w:p w14:paraId="104668F3" w14:textId="4BBEC0A6" w:rsidR="0095705A" w:rsidRDefault="0095705A" w:rsidP="009E071D">
      <w:pPr>
        <w:spacing w:line="360" w:lineRule="auto"/>
        <w:ind w:firstLine="720"/>
      </w:pPr>
      <w:r>
        <w:t>In this</w:t>
      </w:r>
      <w:r w:rsidR="00CC1E0A">
        <w:t xml:space="preserve"> study, we have used lithospheric</w:t>
      </w:r>
      <w:r>
        <w:t xml:space="preserve"> scale numerical modelling of extensional tectonics to investigate the possible effects of granite emplacement. Model results have provided the following important insights into the effects of the granite during basin evolution:</w:t>
      </w:r>
    </w:p>
    <w:p w14:paraId="7834DB30" w14:textId="77777777" w:rsidR="0095705A" w:rsidRDefault="0095705A" w:rsidP="009E071D">
      <w:pPr>
        <w:pStyle w:val="ListParagraph"/>
        <w:numPr>
          <w:ilvl w:val="0"/>
          <w:numId w:val="21"/>
        </w:numPr>
        <w:spacing w:line="360" w:lineRule="auto"/>
      </w:pPr>
      <w:r>
        <w:lastRenderedPageBreak/>
        <w:t>It is possible to generate basement relief by incorporating density contrasts within the crust such as those created by the emplacement of a granitic body.</w:t>
      </w:r>
      <w:r w:rsidRPr="00AA2167">
        <w:t xml:space="preserve"> </w:t>
      </w:r>
      <w:r>
        <w:t>However, contrary to common beliefs, the relative buoyancy of granite bodies with respect to accommodating crust is not capable of resisting subsidence during lithospheric extension.</w:t>
      </w:r>
    </w:p>
    <w:p w14:paraId="1EC9B807" w14:textId="55E4A946" w:rsidR="0095705A" w:rsidRDefault="00CC1E0A" w:rsidP="009E071D">
      <w:pPr>
        <w:pStyle w:val="ListParagraph"/>
        <w:numPr>
          <w:ilvl w:val="0"/>
          <w:numId w:val="21"/>
        </w:numPr>
        <w:spacing w:line="360" w:lineRule="auto"/>
      </w:pPr>
      <w:r>
        <w:t>Lithospheric</w:t>
      </w:r>
      <w:r w:rsidR="0095705A">
        <w:t xml:space="preserve"> flexure reduces the initial isostatic compensation in response to the less dense granite body in terms of amplitude but increases the wavelength of the isostatic deflection (Watts, 2001). A regional flexural profile is generated prior to lithospheric extension and residual second-order stresses associated with the under-compensated buoyancy of the granite and flexural tension remain.</w:t>
      </w:r>
    </w:p>
    <w:p w14:paraId="3BA5941F" w14:textId="77777777" w:rsidR="0095705A" w:rsidRDefault="0095705A" w:rsidP="009E071D">
      <w:pPr>
        <w:pStyle w:val="ListParagraph"/>
        <w:numPr>
          <w:ilvl w:val="0"/>
          <w:numId w:val="21"/>
        </w:numPr>
        <w:spacing w:line="360" w:lineRule="auto"/>
      </w:pPr>
      <w:r>
        <w:t>There is a strong correlation between the distribution of large extensional faults and concealed granite bodies. These faults generally coincide with areas of non-granite cored crust immediately adjacent to concealed granite bodies. The interaction of tectonic forces, second-order isostatic or flexural forces and inherited basement fabric is suggested to justify this relationship.</w:t>
      </w:r>
    </w:p>
    <w:p w14:paraId="5A305036" w14:textId="108CCDFD" w:rsidR="0095705A" w:rsidRDefault="0095705A" w:rsidP="009E071D">
      <w:pPr>
        <w:pStyle w:val="ListParagraph"/>
        <w:numPr>
          <w:ilvl w:val="0"/>
          <w:numId w:val="21"/>
        </w:numPr>
        <w:spacing w:line="360" w:lineRule="auto"/>
      </w:pPr>
      <w:r>
        <w:t>It is proposed that the interaction of three factors ultimately dictate the tectonic framework within a partially granitic, brittle-ductile lithosphere and the occurrence of inter-</w:t>
      </w:r>
      <w:proofErr w:type="spellStart"/>
      <w:r>
        <w:t>basinal</w:t>
      </w:r>
      <w:proofErr w:type="spellEnd"/>
      <w:r>
        <w:t xml:space="preserve"> highs: 1) non-tectonic, ‘second-order’ stresses such as the flexural response of the lithosphere and</w:t>
      </w:r>
      <w:r w:rsidR="00B60A10">
        <w:t xml:space="preserve"> residual, under-compensated</w:t>
      </w:r>
      <w:r>
        <w:t xml:space="preserve"> buoyancy forces in relation to granite bodies; 2) extensional tectonic stress and importantly; 3)</w:t>
      </w:r>
      <w:r w:rsidRPr="003B7A2E">
        <w:t xml:space="preserve"> </w:t>
      </w:r>
      <w:r>
        <w:t>inherited basement fabric.</w:t>
      </w:r>
    </w:p>
    <w:p w14:paraId="04C70E5F" w14:textId="6918CDAE" w:rsidR="00ED75DA" w:rsidRDefault="00ED75DA" w:rsidP="00ED75DA">
      <w:pPr>
        <w:spacing w:line="360" w:lineRule="auto"/>
        <w:ind w:firstLine="720"/>
      </w:pPr>
      <w:r>
        <w:t>It is hoped that this more conceptual-based study will lend itself to more evidence-based investigations of the early Carboniferous successions of the North Pennine Basin of northern England and other basins influenced by large granite bodies.</w:t>
      </w:r>
    </w:p>
    <w:p w14:paraId="1E8412C2" w14:textId="77777777" w:rsidR="001117D4" w:rsidRDefault="001117D4" w:rsidP="00F60C94">
      <w:pPr>
        <w:pStyle w:val="Heading1"/>
        <w:spacing w:line="360" w:lineRule="auto"/>
      </w:pPr>
      <w:r>
        <w:t>Acknowledgements</w:t>
      </w:r>
    </w:p>
    <w:p w14:paraId="6CCB6984" w14:textId="6455151F" w:rsidR="003338F9" w:rsidRDefault="00F60C94" w:rsidP="00F60C94">
      <w:pPr>
        <w:spacing w:line="360" w:lineRule="auto"/>
      </w:pPr>
      <w:r>
        <w:t xml:space="preserve">The </w:t>
      </w:r>
      <w:r w:rsidR="00CA62CE">
        <w:t xml:space="preserve">authors </w:t>
      </w:r>
      <w:r>
        <w:t>would like to thank</w:t>
      </w:r>
      <w:r w:rsidR="00CC1CB0">
        <w:t xml:space="preserve"> the Basin Dynamics Resear</w:t>
      </w:r>
      <w:r w:rsidR="00CE47B9">
        <w:t xml:space="preserve">ch Group at </w:t>
      </w:r>
      <w:proofErr w:type="spellStart"/>
      <w:r w:rsidR="00CE47B9">
        <w:t>Keele</w:t>
      </w:r>
      <w:proofErr w:type="spellEnd"/>
      <w:r w:rsidR="00CE47B9">
        <w:t xml:space="preserve"> University</w:t>
      </w:r>
      <w:r w:rsidR="0014091E">
        <w:t xml:space="preserve"> and</w:t>
      </w:r>
      <w:r w:rsidR="00CC1CB0">
        <w:t xml:space="preserve"> the British Geological S</w:t>
      </w:r>
      <w:r w:rsidR="00784201">
        <w:t>urvey</w:t>
      </w:r>
      <w:r w:rsidR="00CC1CB0">
        <w:t xml:space="preserve"> for stimulating discussion during the preparation of the manuscript. </w:t>
      </w:r>
      <w:r w:rsidR="007D3BAC">
        <w:t xml:space="preserve">Noel </w:t>
      </w:r>
      <w:r w:rsidR="009110FA">
        <w:t>Howell</w:t>
      </w:r>
      <w:r w:rsidR="006E474C">
        <w:t xml:space="preserve"> is thanked for benefit</w:t>
      </w:r>
      <w:r w:rsidR="007D3BAC">
        <w:t>ing us with his expertise in mathematics.</w:t>
      </w:r>
    </w:p>
    <w:p w14:paraId="28A57CA7" w14:textId="6F36025E" w:rsidR="00700503" w:rsidRPr="005C341E" w:rsidRDefault="00EA1D3F" w:rsidP="00F60C94">
      <w:pPr>
        <w:spacing w:line="360" w:lineRule="auto"/>
      </w:pPr>
      <w:r>
        <w:t xml:space="preserve">The work contained in this paper contains work conducted during a PhD study undertaken as part of the Natural Environment Research Council (NERC) Centre for Doctoral Training (CDT) in Oil &amp; Gas [grant number NEM00578X/1]. It is sponsored by NERC, the </w:t>
      </w:r>
      <w:proofErr w:type="spellStart"/>
      <w:r>
        <w:t>Keele</w:t>
      </w:r>
      <w:proofErr w:type="spellEnd"/>
      <w:r>
        <w:t xml:space="preserve"> University Acorn Fund and the National Productivity Investment Fund (NPIF) whose support is gratefully acknowledged.</w:t>
      </w:r>
      <w:r w:rsidR="00700503">
        <w:br w:type="page"/>
      </w:r>
    </w:p>
    <w:p w14:paraId="55E64C51" w14:textId="6162B68E" w:rsidR="00CE3103" w:rsidRDefault="00CE3103" w:rsidP="00CE3103">
      <w:pPr>
        <w:pStyle w:val="Heading1"/>
        <w:spacing w:line="360" w:lineRule="auto"/>
      </w:pPr>
      <w:r>
        <w:lastRenderedPageBreak/>
        <w:t>Tables</w:t>
      </w:r>
    </w:p>
    <w:p w14:paraId="721115C9" w14:textId="07C61A29" w:rsidR="00B13E0E" w:rsidRDefault="00B13E0E" w:rsidP="00CE3103">
      <w:pPr>
        <w:spacing w:line="360" w:lineRule="auto"/>
      </w:pPr>
      <w:r>
        <w:t>Table 1</w:t>
      </w:r>
      <w:r w:rsidR="009110FA">
        <w:t xml:space="preserve">. </w:t>
      </w:r>
      <w:r w:rsidR="009C0907">
        <w:t>One-dimensional and two-dimensional modelling variables.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1441"/>
      </w:tblGrid>
      <w:tr w:rsidR="00B13E0E" w14:paraId="66F847B2" w14:textId="77777777" w:rsidTr="001F5F44">
        <w:tc>
          <w:tcPr>
            <w:tcW w:w="4508" w:type="dxa"/>
            <w:shd w:val="clear" w:color="auto" w:fill="D0CECE" w:themeFill="background2" w:themeFillShade="E6"/>
          </w:tcPr>
          <w:p w14:paraId="147DB06A" w14:textId="77777777" w:rsidR="00B13E0E" w:rsidRDefault="00B13E0E" w:rsidP="009E071D">
            <w:pPr>
              <w:spacing w:line="360" w:lineRule="auto"/>
              <w:jc w:val="center"/>
            </w:pPr>
            <w:r>
              <w:t>Parameters</w:t>
            </w:r>
          </w:p>
        </w:tc>
        <w:tc>
          <w:tcPr>
            <w:tcW w:w="1441" w:type="dxa"/>
            <w:shd w:val="clear" w:color="auto" w:fill="D0CECE" w:themeFill="background2" w:themeFillShade="E6"/>
          </w:tcPr>
          <w:p w14:paraId="34E597AB" w14:textId="77777777" w:rsidR="00B13E0E" w:rsidRDefault="00B13E0E" w:rsidP="009E071D">
            <w:pPr>
              <w:spacing w:line="360" w:lineRule="auto"/>
              <w:jc w:val="center"/>
            </w:pPr>
            <w:r>
              <w:t>Abbreviation</w:t>
            </w:r>
          </w:p>
        </w:tc>
      </w:tr>
      <w:tr w:rsidR="004C5571" w14:paraId="021119EF" w14:textId="77777777" w:rsidTr="001F5F44">
        <w:tc>
          <w:tcPr>
            <w:tcW w:w="4508" w:type="dxa"/>
          </w:tcPr>
          <w:p w14:paraId="3A931198" w14:textId="77777777" w:rsidR="004C5571" w:rsidRDefault="004C5571" w:rsidP="009E071D">
            <w:pPr>
              <w:spacing w:line="360" w:lineRule="auto"/>
            </w:pPr>
            <w:r>
              <w:t>Basement elevation (km)</w:t>
            </w:r>
          </w:p>
        </w:tc>
        <w:tc>
          <w:tcPr>
            <w:tcW w:w="1441" w:type="dxa"/>
          </w:tcPr>
          <w:p w14:paraId="3716D5B4" w14:textId="77777777" w:rsidR="004C5571" w:rsidRPr="00E31618"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Basement</m:t>
                    </m:r>
                  </m:e>
                  <m:sub>
                    <m:r>
                      <w:rPr>
                        <w:rFonts w:ascii="Cambria Math" w:eastAsia="Calibri" w:hAnsi="Cambria Math" w:cs="Times New Roman"/>
                      </w:rPr>
                      <m:t>(x)</m:t>
                    </m:r>
                  </m:sub>
                </m:sSub>
              </m:oMath>
            </m:oMathPara>
          </w:p>
        </w:tc>
      </w:tr>
      <w:tr w:rsidR="004C5571" w14:paraId="1C507896" w14:textId="77777777" w:rsidTr="001F5F44">
        <w:tc>
          <w:tcPr>
            <w:tcW w:w="4508" w:type="dxa"/>
          </w:tcPr>
          <w:p w14:paraId="651C9A7F" w14:textId="0941EA33" w:rsidR="004C5571" w:rsidRDefault="004C5571" w:rsidP="00E83055">
            <w:pPr>
              <w:spacing w:line="360" w:lineRule="auto"/>
            </w:pPr>
            <w:r>
              <w:t>Basin infill density (kg</w:t>
            </w:r>
            <w:r w:rsidR="00E83055">
              <w:t xml:space="preserve"> </w:t>
            </w:r>
            <w:r>
              <w:t>m</w:t>
            </w:r>
            <w:r>
              <w:rPr>
                <w:vertAlign w:val="superscript"/>
              </w:rPr>
              <w:t>-3</w:t>
            </w:r>
            <w:r>
              <w:t>)</w:t>
            </w:r>
          </w:p>
        </w:tc>
        <w:tc>
          <w:tcPr>
            <w:tcW w:w="1441" w:type="dxa"/>
          </w:tcPr>
          <w:p w14:paraId="155FEE95" w14:textId="77777777" w:rsidR="004C5571" w:rsidRPr="00235AAF"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i</m:t>
                    </m:r>
                  </m:sub>
                </m:sSub>
              </m:oMath>
            </m:oMathPara>
          </w:p>
        </w:tc>
      </w:tr>
      <w:tr w:rsidR="004C5571" w14:paraId="33A8CA0B" w14:textId="77777777" w:rsidTr="001F5F44">
        <w:tc>
          <w:tcPr>
            <w:tcW w:w="4508" w:type="dxa"/>
          </w:tcPr>
          <w:p w14:paraId="562EDDA5" w14:textId="6483BD23" w:rsidR="004C5571" w:rsidRDefault="004C5571" w:rsidP="009E071D">
            <w:pPr>
              <w:spacing w:line="360" w:lineRule="auto"/>
              <w:rPr>
                <w:rFonts w:eastAsiaTheme="minorEastAsia"/>
              </w:rPr>
            </w:pPr>
            <w:r>
              <w:rPr>
                <w:rFonts w:eastAsiaTheme="minorEastAsia"/>
              </w:rPr>
              <w:t>Constant used for Fast Fourier Transform</w:t>
            </w:r>
            <w:r w:rsidR="002E2D7F">
              <w:rPr>
                <w:rFonts w:eastAsiaTheme="minorEastAsia"/>
              </w:rPr>
              <w:t xml:space="preserve"> representing width of model in frequency domain.</w:t>
            </w:r>
          </w:p>
        </w:tc>
        <w:tc>
          <w:tcPr>
            <w:tcW w:w="1441" w:type="dxa"/>
          </w:tcPr>
          <w:p w14:paraId="5EF9E3E6" w14:textId="77777777" w:rsidR="004C5571" w:rsidRDefault="004C5571" w:rsidP="009E071D">
            <w:pPr>
              <w:spacing w:line="360" w:lineRule="auto"/>
              <w:rPr>
                <w:rFonts w:ascii="Calibri" w:eastAsia="Calibri" w:hAnsi="Calibri" w:cs="Times New Roman"/>
              </w:rPr>
            </w:pPr>
            <m:oMathPara>
              <m:oMath>
                <m:r>
                  <w:rPr>
                    <w:rFonts w:ascii="Cambria Math" w:eastAsia="Calibri" w:hAnsi="Cambria Math" w:cs="Times New Roman"/>
                  </w:rPr>
                  <m:t>N</m:t>
                </m:r>
              </m:oMath>
            </m:oMathPara>
          </w:p>
        </w:tc>
      </w:tr>
      <w:tr w:rsidR="004C5571" w14:paraId="64D5F21B" w14:textId="77777777" w:rsidTr="001F5F44">
        <w:tc>
          <w:tcPr>
            <w:tcW w:w="4508" w:type="dxa"/>
          </w:tcPr>
          <w:p w14:paraId="6D5BD984" w14:textId="77777777" w:rsidR="004C5571" w:rsidRDefault="004C5571" w:rsidP="009E071D">
            <w:pPr>
              <w:spacing w:line="360" w:lineRule="auto"/>
              <w:rPr>
                <w:rFonts w:eastAsiaTheme="minorEastAsia"/>
              </w:rPr>
            </w:pPr>
            <w:r>
              <w:rPr>
                <w:rFonts w:eastAsiaTheme="minorEastAsia"/>
              </w:rPr>
              <w:t>Crustal thinning due to simple shear (km)</w:t>
            </w:r>
          </w:p>
        </w:tc>
        <w:tc>
          <w:tcPr>
            <w:tcW w:w="1441" w:type="dxa"/>
          </w:tcPr>
          <w:p w14:paraId="77B48EC4" w14:textId="77777777" w:rsidR="004C5571" w:rsidRDefault="002B6EBB" w:rsidP="009E071D">
            <w:pPr>
              <w:spacing w:line="360" w:lineRule="auto"/>
              <w:rPr>
                <w:rFonts w:ascii="Calibri" w:eastAsia="Times New Roman" w:hAnsi="Calibri" w:cs="Times New Roman"/>
              </w:rPr>
            </w:pPr>
            <m:oMathPara>
              <m:oMath>
                <m:sSub>
                  <m:sSubPr>
                    <m:ctrlPr>
                      <w:rPr>
                        <w:rFonts w:ascii="Cambria Math" w:hAnsi="Cambria Math"/>
                        <w:i/>
                      </w:rPr>
                    </m:ctrlPr>
                  </m:sSubPr>
                  <m:e>
                    <m:r>
                      <w:rPr>
                        <w:rFonts w:ascii="Cambria Math" w:hAnsi="Cambria Math"/>
                      </w:rPr>
                      <m:t>CTS</m:t>
                    </m:r>
                  </m:e>
                  <m:sub>
                    <m:r>
                      <w:rPr>
                        <w:rFonts w:ascii="Cambria Math" w:hAnsi="Cambria Math"/>
                      </w:rPr>
                      <m:t>(x)</m:t>
                    </m:r>
                  </m:sub>
                </m:sSub>
              </m:oMath>
            </m:oMathPara>
          </w:p>
        </w:tc>
      </w:tr>
      <w:tr w:rsidR="004C5571" w14:paraId="77F4E7BF" w14:textId="77777777" w:rsidTr="001F5F44">
        <w:tc>
          <w:tcPr>
            <w:tcW w:w="4508" w:type="dxa"/>
          </w:tcPr>
          <w:p w14:paraId="7EB5EE37" w14:textId="33ED9C92" w:rsidR="004C5571" w:rsidRPr="004A709C" w:rsidRDefault="004C5571" w:rsidP="009E071D">
            <w:pPr>
              <w:spacing w:line="360" w:lineRule="auto"/>
            </w:pPr>
            <w:r>
              <w:t>Den</w:t>
            </w:r>
            <w:r w:rsidR="00E83055">
              <w:t xml:space="preserve">sity of granite-cored crust (kg </w:t>
            </w:r>
            <w:r>
              <w:t>m</w:t>
            </w:r>
            <w:r>
              <w:rPr>
                <w:vertAlign w:val="superscript"/>
              </w:rPr>
              <w:t>-3</w:t>
            </w:r>
            <w:r>
              <w:t>)</w:t>
            </w:r>
          </w:p>
        </w:tc>
        <w:tc>
          <w:tcPr>
            <w:tcW w:w="1441" w:type="dxa"/>
          </w:tcPr>
          <w:p w14:paraId="2480B037"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gc</m:t>
                    </m:r>
                  </m:sub>
                </m:sSub>
              </m:oMath>
            </m:oMathPara>
          </w:p>
        </w:tc>
      </w:tr>
      <w:tr w:rsidR="004C5571" w14:paraId="62981BA8" w14:textId="77777777" w:rsidTr="001F5F44">
        <w:tc>
          <w:tcPr>
            <w:tcW w:w="4508" w:type="dxa"/>
          </w:tcPr>
          <w:p w14:paraId="096B8C51" w14:textId="066BA2A7" w:rsidR="004C5571" w:rsidRDefault="004C5571" w:rsidP="009E071D">
            <w:pPr>
              <w:spacing w:line="360" w:lineRule="auto"/>
            </w:pPr>
            <w:r>
              <w:t>Den</w:t>
            </w:r>
            <w:r w:rsidR="00E83055">
              <w:t xml:space="preserve">sity of granite-cored crust (kg </w:t>
            </w:r>
            <w:r>
              <w:t>m</w:t>
            </w:r>
            <w:r>
              <w:rPr>
                <w:vertAlign w:val="superscript"/>
              </w:rPr>
              <w:t>-3</w:t>
            </w:r>
            <w:r>
              <w:t>)</w:t>
            </w:r>
          </w:p>
        </w:tc>
        <w:tc>
          <w:tcPr>
            <w:tcW w:w="1441" w:type="dxa"/>
          </w:tcPr>
          <w:p w14:paraId="7DF2B1B3" w14:textId="77777777" w:rsidR="004C5571" w:rsidRPr="00264927"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sSub>
                      <m:sSubPr>
                        <m:ctrlPr>
                          <w:rPr>
                            <w:rFonts w:ascii="Cambria Math" w:eastAsia="Calibri" w:hAnsi="Cambria Math" w:cs="Times New Roman"/>
                            <w:i/>
                          </w:rPr>
                        </m:ctrlPr>
                      </m:sSubPr>
                      <m:e>
                        <m:r>
                          <w:rPr>
                            <w:rFonts w:ascii="Cambria Math" w:eastAsia="Calibri" w:hAnsi="Cambria Math" w:cs="Times New Roman"/>
                          </w:rPr>
                          <m:t>gc</m:t>
                        </m:r>
                      </m:e>
                      <m:sub>
                        <m:r>
                          <w:rPr>
                            <w:rFonts w:ascii="Cambria Math" w:eastAsia="Calibri" w:hAnsi="Cambria Math" w:cs="Times New Roman"/>
                          </w:rPr>
                          <m:t>(x)</m:t>
                        </m:r>
                      </m:sub>
                    </m:sSub>
                  </m:sub>
                </m:sSub>
              </m:oMath>
            </m:oMathPara>
          </w:p>
        </w:tc>
      </w:tr>
      <w:tr w:rsidR="004C5571" w14:paraId="0452AC2C" w14:textId="77777777" w:rsidTr="001F5F44">
        <w:tc>
          <w:tcPr>
            <w:tcW w:w="4508" w:type="dxa"/>
          </w:tcPr>
          <w:p w14:paraId="0069F126" w14:textId="77777777" w:rsidR="004C5571" w:rsidRDefault="004C5571" w:rsidP="009E071D">
            <w:pPr>
              <w:spacing w:line="360" w:lineRule="auto"/>
              <w:rPr>
                <w:rFonts w:eastAsiaTheme="minorEastAsia"/>
              </w:rPr>
            </w:pPr>
            <w:r>
              <w:rPr>
                <w:rFonts w:eastAsiaTheme="minorEastAsia"/>
              </w:rPr>
              <w:t>Depth to fault (km)</w:t>
            </w:r>
          </w:p>
        </w:tc>
        <w:tc>
          <w:tcPr>
            <w:tcW w:w="1441" w:type="dxa"/>
          </w:tcPr>
          <w:p w14:paraId="7B54EE9B" w14:textId="77777777" w:rsidR="004C5571" w:rsidRPr="002463CF" w:rsidRDefault="002B6EBB" w:rsidP="009E071D">
            <w:pPr>
              <w:spacing w:line="360" w:lineRule="auto"/>
              <w:rPr>
                <w:rFonts w:ascii="Calibri" w:eastAsia="Times New Roman" w:hAnsi="Calibri" w:cs="Times New Roman"/>
              </w:rPr>
            </w:pPr>
            <m:oMathPara>
              <m:oMath>
                <m:sSub>
                  <m:sSubPr>
                    <m:ctrlPr>
                      <w:rPr>
                        <w:rFonts w:ascii="Cambria Math" w:hAnsi="Cambria Math"/>
                        <w:i/>
                      </w:rPr>
                    </m:ctrlPr>
                  </m:sSubPr>
                  <m:e>
                    <m:r>
                      <w:rPr>
                        <w:rFonts w:ascii="Cambria Math" w:hAnsi="Cambria Math"/>
                      </w:rPr>
                      <m:t>Fd</m:t>
                    </m:r>
                  </m:e>
                  <m:sub>
                    <m:r>
                      <w:rPr>
                        <w:rFonts w:ascii="Cambria Math" w:hAnsi="Cambria Math"/>
                      </w:rPr>
                      <m:t>(x)</m:t>
                    </m:r>
                  </m:sub>
                </m:sSub>
              </m:oMath>
            </m:oMathPara>
          </w:p>
        </w:tc>
      </w:tr>
      <w:tr w:rsidR="004C5571" w14:paraId="0975AF4D" w14:textId="77777777" w:rsidTr="001F5F44">
        <w:tc>
          <w:tcPr>
            <w:tcW w:w="4508" w:type="dxa"/>
          </w:tcPr>
          <w:p w14:paraId="72A3B939" w14:textId="77777777" w:rsidR="004C5571" w:rsidRDefault="004C5571" w:rsidP="009E071D">
            <w:pPr>
              <w:spacing w:line="360" w:lineRule="auto"/>
            </w:pPr>
            <w:r>
              <w:t>Elastic thickness (km)</w:t>
            </w:r>
          </w:p>
        </w:tc>
        <w:tc>
          <w:tcPr>
            <w:tcW w:w="1441" w:type="dxa"/>
          </w:tcPr>
          <w:p w14:paraId="0E05A41D" w14:textId="10E66307" w:rsidR="004C5571" w:rsidRPr="009515EF" w:rsidRDefault="001D1723" w:rsidP="009E071D">
            <w:pPr>
              <w:spacing w:line="360" w:lineRule="auto"/>
              <w:rPr>
                <w:rFonts w:ascii="Calibri" w:eastAsia="Calibri" w:hAnsi="Calibri" w:cs="Times New Roman"/>
              </w:rPr>
            </w:pPr>
            <m:oMathPara>
              <m:oMath>
                <m:r>
                  <w:rPr>
                    <w:rFonts w:ascii="Cambria Math" w:eastAsia="Calibri" w:hAnsi="Cambria Math" w:cs="Times New Roman"/>
                  </w:rPr>
                  <m:t>Te</m:t>
                </m:r>
              </m:oMath>
            </m:oMathPara>
          </w:p>
        </w:tc>
      </w:tr>
      <w:tr w:rsidR="004C5571" w14:paraId="11C49D07" w14:textId="77777777" w:rsidTr="001F5F44">
        <w:tc>
          <w:tcPr>
            <w:tcW w:w="4508" w:type="dxa"/>
          </w:tcPr>
          <w:p w14:paraId="02D2CA62" w14:textId="3F00D5E4" w:rsidR="004C5571" w:rsidRDefault="00E83055" w:rsidP="009E071D">
            <w:pPr>
              <w:spacing w:line="360" w:lineRule="auto"/>
            </w:pPr>
            <w:r>
              <w:t>Magnitude of extension</w:t>
            </w:r>
          </w:p>
        </w:tc>
        <w:tc>
          <w:tcPr>
            <w:tcW w:w="1441" w:type="dxa"/>
          </w:tcPr>
          <w:p w14:paraId="6BAAC7EC" w14:textId="77777777" w:rsidR="004C5571" w:rsidRDefault="004C5571" w:rsidP="009E071D">
            <w:pPr>
              <w:spacing w:line="360" w:lineRule="auto"/>
            </w:pPr>
            <m:oMathPara>
              <m:oMath>
                <m:r>
                  <w:rPr>
                    <w:rFonts w:ascii="Cambria Math" w:hAnsi="Cambria Math"/>
                  </w:rPr>
                  <m:t>β</m:t>
                </m:r>
              </m:oMath>
            </m:oMathPara>
          </w:p>
        </w:tc>
      </w:tr>
      <w:tr w:rsidR="004C5571" w14:paraId="71219E5F" w14:textId="77777777" w:rsidTr="001F5F44">
        <w:tc>
          <w:tcPr>
            <w:tcW w:w="4508" w:type="dxa"/>
          </w:tcPr>
          <w:p w14:paraId="3EC8DC80" w14:textId="595BFB42" w:rsidR="004C5571" w:rsidRDefault="004C5571" w:rsidP="009E071D">
            <w:pPr>
              <w:spacing w:line="360" w:lineRule="auto"/>
            </w:pPr>
            <w:r>
              <w:t>Flexural rigidity</w:t>
            </w:r>
            <w:r w:rsidR="002E2D7F">
              <w:t xml:space="preserve"> (</w:t>
            </w:r>
            <w:r w:rsidR="00CD70DE">
              <w:t>N m</w:t>
            </w:r>
            <w:r w:rsidR="002E2D7F">
              <w:t>)</w:t>
            </w:r>
          </w:p>
        </w:tc>
        <w:tc>
          <w:tcPr>
            <w:tcW w:w="1441" w:type="dxa"/>
          </w:tcPr>
          <w:p w14:paraId="3ABFF4DD" w14:textId="77777777" w:rsidR="004C5571" w:rsidRPr="000707B8" w:rsidRDefault="004C5571" w:rsidP="009E071D">
            <w:pPr>
              <w:spacing w:line="360" w:lineRule="auto"/>
              <w:rPr>
                <w:rFonts w:ascii="Calibri" w:eastAsia="Calibri" w:hAnsi="Calibri" w:cs="Times New Roman"/>
              </w:rPr>
            </w:pPr>
            <m:oMathPara>
              <m:oMath>
                <m:r>
                  <w:rPr>
                    <w:rFonts w:ascii="Cambria Math" w:eastAsia="Calibri" w:hAnsi="Cambria Math" w:cs="Times New Roman"/>
                  </w:rPr>
                  <m:t>D</m:t>
                </m:r>
              </m:oMath>
            </m:oMathPara>
          </w:p>
        </w:tc>
      </w:tr>
      <w:tr w:rsidR="004C5571" w14:paraId="5F1FAE4E" w14:textId="77777777" w:rsidTr="001F5F44">
        <w:tc>
          <w:tcPr>
            <w:tcW w:w="4508" w:type="dxa"/>
          </w:tcPr>
          <w:p w14:paraId="31C5856B" w14:textId="1C1B2180" w:rsidR="004C5571" w:rsidRDefault="00273B8A" w:rsidP="009E071D">
            <w:pPr>
              <w:spacing w:line="360" w:lineRule="auto"/>
            </w:pPr>
            <w:r>
              <w:t>Vertical granite body thickness at a given point</w:t>
            </w:r>
            <w:r w:rsidR="004C5571">
              <w:t xml:space="preserve"> (km)</w:t>
            </w:r>
          </w:p>
        </w:tc>
        <w:tc>
          <w:tcPr>
            <w:tcW w:w="1441" w:type="dxa"/>
          </w:tcPr>
          <w:p w14:paraId="019C2AB9"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GR</m:t>
                    </m:r>
                  </m:e>
                  <m:sub>
                    <m:r>
                      <w:rPr>
                        <w:rFonts w:ascii="Cambria Math" w:eastAsia="Calibri" w:hAnsi="Cambria Math" w:cs="Times New Roman"/>
                      </w:rPr>
                      <m:t>(x)</m:t>
                    </m:r>
                  </m:sub>
                </m:sSub>
              </m:oMath>
            </m:oMathPara>
          </w:p>
        </w:tc>
      </w:tr>
      <w:tr w:rsidR="004C5571" w14:paraId="11BB9838" w14:textId="77777777" w:rsidTr="001F5F44">
        <w:tc>
          <w:tcPr>
            <w:tcW w:w="4508" w:type="dxa"/>
          </w:tcPr>
          <w:p w14:paraId="5D6EE1E4" w14:textId="77777777" w:rsidR="004C5571" w:rsidRDefault="004C5571" w:rsidP="009E071D">
            <w:pPr>
              <w:spacing w:line="360" w:lineRule="auto"/>
              <w:rPr>
                <w:rFonts w:eastAsiaTheme="minorEastAsia"/>
              </w:rPr>
            </w:pPr>
            <w:r>
              <w:rPr>
                <w:rFonts w:eastAsiaTheme="minorEastAsia"/>
              </w:rPr>
              <w:t>Horizontal extension or heave (km)</w:t>
            </w:r>
          </w:p>
        </w:tc>
        <w:tc>
          <w:tcPr>
            <w:tcW w:w="1441" w:type="dxa"/>
          </w:tcPr>
          <w:p w14:paraId="01DCE14A" w14:textId="77777777" w:rsidR="004C5571" w:rsidRPr="007256E7" w:rsidRDefault="004C5571" w:rsidP="009E071D">
            <w:pPr>
              <w:spacing w:line="360" w:lineRule="auto"/>
              <w:rPr>
                <w:rFonts w:ascii="Calibri" w:eastAsia="Times New Roman" w:hAnsi="Calibri" w:cs="Times New Roman"/>
              </w:rPr>
            </w:pPr>
            <m:oMathPara>
              <m:oMath>
                <m:r>
                  <w:rPr>
                    <w:rFonts w:ascii="Cambria Math" w:eastAsia="Times New Roman" w:hAnsi="Cambria Math" w:cs="Times New Roman"/>
                  </w:rPr>
                  <m:t>h</m:t>
                </m:r>
              </m:oMath>
            </m:oMathPara>
          </w:p>
        </w:tc>
      </w:tr>
      <w:tr w:rsidR="004C5571" w14:paraId="7AEFB650" w14:textId="77777777" w:rsidTr="001F5F44">
        <w:tc>
          <w:tcPr>
            <w:tcW w:w="4508" w:type="dxa"/>
          </w:tcPr>
          <w:p w14:paraId="64CB68FF" w14:textId="0FD62A7B" w:rsidR="004C5571" w:rsidRDefault="00D263B0" w:rsidP="009E071D">
            <w:pPr>
              <w:spacing w:line="360" w:lineRule="auto"/>
            </w:pPr>
            <w:r>
              <w:t>Load at a given point (N)</w:t>
            </w:r>
          </w:p>
        </w:tc>
        <w:tc>
          <w:tcPr>
            <w:tcW w:w="1441" w:type="dxa"/>
          </w:tcPr>
          <w:p w14:paraId="6A87E882"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Load</m:t>
                    </m:r>
                  </m:e>
                  <m:sub>
                    <m:r>
                      <w:rPr>
                        <w:rFonts w:ascii="Cambria Math" w:eastAsia="Calibri" w:hAnsi="Cambria Math" w:cs="Times New Roman"/>
                      </w:rPr>
                      <m:t>(x)</m:t>
                    </m:r>
                  </m:sub>
                </m:sSub>
              </m:oMath>
            </m:oMathPara>
          </w:p>
        </w:tc>
      </w:tr>
      <w:tr w:rsidR="004C5571" w14:paraId="080C0924" w14:textId="77777777" w:rsidTr="001F5F44">
        <w:tc>
          <w:tcPr>
            <w:tcW w:w="4508" w:type="dxa"/>
          </w:tcPr>
          <w:p w14:paraId="59321B43" w14:textId="77777777" w:rsidR="004C5571" w:rsidRDefault="004C5571" w:rsidP="009E071D">
            <w:pPr>
              <w:spacing w:line="360" w:lineRule="auto"/>
            </w:pPr>
            <w:r>
              <w:t>Local isostatic rebound due to granite emplacement (km)</w:t>
            </w:r>
          </w:p>
        </w:tc>
        <w:tc>
          <w:tcPr>
            <w:tcW w:w="1441" w:type="dxa"/>
          </w:tcPr>
          <w:p w14:paraId="724CD172" w14:textId="77777777" w:rsidR="004C5571" w:rsidRDefault="004C5571" w:rsidP="009E071D">
            <w:pPr>
              <w:spacing w:line="360" w:lineRule="auto"/>
            </w:pPr>
            <m:oMathPara>
              <m:oMath>
                <m:r>
                  <w:rPr>
                    <w:rFonts w:ascii="Cambria Math" w:hAnsi="Cambria Math"/>
                  </w:rPr>
                  <m:t>IR</m:t>
                </m:r>
              </m:oMath>
            </m:oMathPara>
          </w:p>
        </w:tc>
      </w:tr>
      <w:tr w:rsidR="004C5571" w14:paraId="6C2ACE1B" w14:textId="77777777" w:rsidTr="001F5F44">
        <w:tc>
          <w:tcPr>
            <w:tcW w:w="4508" w:type="dxa"/>
          </w:tcPr>
          <w:p w14:paraId="50C74DF8" w14:textId="77777777" w:rsidR="004C5571" w:rsidRDefault="004C5571" w:rsidP="009E071D">
            <w:pPr>
              <w:spacing w:line="360" w:lineRule="auto"/>
            </w:pPr>
            <w:r>
              <w:t>Original granite height/thickness (km)</w:t>
            </w:r>
          </w:p>
        </w:tc>
        <w:tc>
          <w:tcPr>
            <w:tcW w:w="1441" w:type="dxa"/>
          </w:tcPr>
          <w:p w14:paraId="0906FD29" w14:textId="77777777" w:rsidR="004C5571" w:rsidRDefault="002B6EBB" w:rsidP="009E071D">
            <w:pPr>
              <w:spacing w:line="360" w:lineRule="auto"/>
            </w:pPr>
            <m:oMathPara>
              <m:oMath>
                <m:sSub>
                  <m:sSubPr>
                    <m:ctrlPr>
                      <w:rPr>
                        <w:rFonts w:ascii="Cambria Math" w:hAnsi="Cambria Math"/>
                        <w:i/>
                      </w:rPr>
                    </m:ctrlPr>
                  </m:sSubPr>
                  <m:e>
                    <m:r>
                      <w:rPr>
                        <w:rFonts w:ascii="Cambria Math" w:hAnsi="Cambria Math"/>
                      </w:rPr>
                      <m:t>GR</m:t>
                    </m:r>
                  </m:e>
                  <m:sub>
                    <m:r>
                      <w:rPr>
                        <w:rFonts w:ascii="Cambria Math" w:hAnsi="Cambria Math"/>
                      </w:rPr>
                      <m:t>o</m:t>
                    </m:r>
                  </m:sub>
                </m:sSub>
              </m:oMath>
            </m:oMathPara>
          </w:p>
        </w:tc>
      </w:tr>
      <w:tr w:rsidR="004C5571" w14:paraId="600F7CED" w14:textId="77777777" w:rsidTr="001F5F44">
        <w:tc>
          <w:tcPr>
            <w:tcW w:w="4508" w:type="dxa"/>
          </w:tcPr>
          <w:p w14:paraId="4131D533" w14:textId="77777777" w:rsidR="004C5571" w:rsidRDefault="004C5571" w:rsidP="009E071D">
            <w:pPr>
              <w:spacing w:line="360" w:lineRule="auto"/>
            </w:pPr>
            <w:r>
              <w:t>Original lithosphere thickness for granite-cored lithosphere (km)</w:t>
            </w:r>
          </w:p>
        </w:tc>
        <w:tc>
          <w:tcPr>
            <w:tcW w:w="1441" w:type="dxa"/>
          </w:tcPr>
          <w:p w14:paraId="2FCCD4E1"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A</m:t>
                    </m:r>
                  </m:e>
                  <m:sub>
                    <m:r>
                      <w:rPr>
                        <w:rFonts w:ascii="Cambria Math" w:eastAsia="Calibri" w:hAnsi="Cambria Math" w:cs="Times New Roman"/>
                      </w:rPr>
                      <m:t>og</m:t>
                    </m:r>
                  </m:sub>
                </m:sSub>
              </m:oMath>
            </m:oMathPara>
          </w:p>
        </w:tc>
      </w:tr>
      <w:tr w:rsidR="004C5571" w14:paraId="5F3FB4C7" w14:textId="77777777" w:rsidTr="001F5F44">
        <w:tc>
          <w:tcPr>
            <w:tcW w:w="4508" w:type="dxa"/>
          </w:tcPr>
          <w:p w14:paraId="4D386AFC" w14:textId="77777777" w:rsidR="004C5571" w:rsidRDefault="004C5571" w:rsidP="009E071D">
            <w:pPr>
              <w:spacing w:line="360" w:lineRule="auto"/>
            </w:pPr>
            <w:r>
              <w:t>Subsidence (km)</w:t>
            </w:r>
          </w:p>
        </w:tc>
        <w:tc>
          <w:tcPr>
            <w:tcW w:w="1441" w:type="dxa"/>
          </w:tcPr>
          <w:p w14:paraId="086D2C0D" w14:textId="77777777" w:rsidR="004C5571" w:rsidRDefault="004C5571" w:rsidP="009E071D">
            <w:pPr>
              <w:spacing w:line="360" w:lineRule="auto"/>
              <w:rPr>
                <w:rFonts w:ascii="Calibri" w:eastAsia="Calibri" w:hAnsi="Calibri" w:cs="Times New Roman"/>
              </w:rPr>
            </w:pPr>
            <m:oMathPara>
              <m:oMath>
                <m:r>
                  <w:rPr>
                    <w:rFonts w:ascii="Cambria Math" w:eastAsia="Calibri" w:hAnsi="Cambria Math" w:cs="Times New Roman"/>
                  </w:rPr>
                  <m:t>S</m:t>
                </m:r>
              </m:oMath>
            </m:oMathPara>
          </w:p>
        </w:tc>
      </w:tr>
      <w:tr w:rsidR="004C5571" w14:paraId="2F19F0E2" w14:textId="77777777" w:rsidTr="001F5F44">
        <w:tc>
          <w:tcPr>
            <w:tcW w:w="4508" w:type="dxa"/>
          </w:tcPr>
          <w:p w14:paraId="2A073021" w14:textId="77777777" w:rsidR="004C5571" w:rsidRDefault="004C5571" w:rsidP="009E071D">
            <w:pPr>
              <w:spacing w:line="360" w:lineRule="auto"/>
            </w:pPr>
            <w:r>
              <w:lastRenderedPageBreak/>
              <w:t>Subsidence of granite-cored crust (km)</w:t>
            </w:r>
          </w:p>
        </w:tc>
        <w:tc>
          <w:tcPr>
            <w:tcW w:w="1441" w:type="dxa"/>
          </w:tcPr>
          <w:p w14:paraId="70CE22CC"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S</m:t>
                    </m:r>
                  </m:e>
                  <m:sub>
                    <m:r>
                      <w:rPr>
                        <w:rFonts w:ascii="Cambria Math" w:eastAsia="Calibri" w:hAnsi="Cambria Math" w:cs="Times New Roman"/>
                      </w:rPr>
                      <m:t>g</m:t>
                    </m:r>
                  </m:sub>
                </m:sSub>
              </m:oMath>
            </m:oMathPara>
          </w:p>
        </w:tc>
      </w:tr>
      <w:tr w:rsidR="004C5571" w14:paraId="516C7588" w14:textId="77777777" w:rsidTr="001F5F44">
        <w:tc>
          <w:tcPr>
            <w:tcW w:w="4508" w:type="dxa"/>
          </w:tcPr>
          <w:p w14:paraId="113AE2D9" w14:textId="77777777" w:rsidR="004C5571" w:rsidRDefault="004C5571" w:rsidP="009E071D">
            <w:pPr>
              <w:spacing w:line="360" w:lineRule="auto"/>
            </w:pPr>
            <w:r>
              <w:t>Thermal diffusivity</w:t>
            </w:r>
          </w:p>
        </w:tc>
        <w:tc>
          <w:tcPr>
            <w:tcW w:w="1441" w:type="dxa"/>
          </w:tcPr>
          <w:p w14:paraId="1B1D6305" w14:textId="77777777" w:rsidR="004C5571" w:rsidRPr="009515EF" w:rsidRDefault="004C5571" w:rsidP="009E071D">
            <w:pPr>
              <w:spacing w:line="360" w:lineRule="auto"/>
              <w:rPr>
                <w:rFonts w:ascii="Calibri" w:eastAsia="Calibri" w:hAnsi="Calibri" w:cs="Times New Roman"/>
              </w:rPr>
            </w:pPr>
            <m:oMathPara>
              <m:oMath>
                <m:r>
                  <w:rPr>
                    <w:rFonts w:ascii="Cambria Math" w:eastAsia="Calibri" w:hAnsi="Cambria Math" w:cs="Times New Roman"/>
                  </w:rPr>
                  <m:t>i</m:t>
                </m:r>
              </m:oMath>
            </m:oMathPara>
          </w:p>
        </w:tc>
      </w:tr>
      <w:tr w:rsidR="004C5571" w14:paraId="2EDDE57B" w14:textId="77777777" w:rsidTr="001F5F44">
        <w:tc>
          <w:tcPr>
            <w:tcW w:w="4508" w:type="dxa"/>
          </w:tcPr>
          <w:p w14:paraId="48E5BD85" w14:textId="77777777" w:rsidR="004C5571" w:rsidRDefault="004C5571" w:rsidP="009E071D">
            <w:pPr>
              <w:spacing w:line="360" w:lineRule="auto"/>
            </w:pPr>
            <w:r>
              <w:t>Thermal time constant (</w:t>
            </w:r>
            <w:proofErr w:type="spellStart"/>
            <w:r>
              <w:t>Myr</w:t>
            </w:r>
            <w:proofErr w:type="spellEnd"/>
            <w:r>
              <w:t xml:space="preserve">; Parsons and </w:t>
            </w:r>
            <w:proofErr w:type="spellStart"/>
            <w:r>
              <w:t>Sclater</w:t>
            </w:r>
            <w:proofErr w:type="spellEnd"/>
            <w:r>
              <w:t>, 1977)</w:t>
            </w:r>
          </w:p>
        </w:tc>
        <w:tc>
          <w:tcPr>
            <w:tcW w:w="1441" w:type="dxa"/>
          </w:tcPr>
          <w:p w14:paraId="30A46C5C" w14:textId="77777777" w:rsidR="004C5571" w:rsidRPr="009515EF" w:rsidRDefault="004C5571" w:rsidP="009E071D">
            <w:pPr>
              <w:spacing w:line="360" w:lineRule="auto"/>
              <w:rPr>
                <w:rFonts w:ascii="Calibri" w:eastAsia="Calibri" w:hAnsi="Calibri" w:cs="Times New Roman"/>
              </w:rPr>
            </w:pPr>
            <m:oMathPara>
              <m:oMath>
                <m:r>
                  <w:rPr>
                    <w:rFonts w:ascii="Cambria Math" w:eastAsia="Calibri" w:hAnsi="Cambria Math" w:cs="Calibri"/>
                  </w:rPr>
                  <m:t>τ</m:t>
                </m:r>
              </m:oMath>
            </m:oMathPara>
          </w:p>
        </w:tc>
      </w:tr>
      <w:tr w:rsidR="004C5571" w14:paraId="50E5F0BD" w14:textId="77777777" w:rsidTr="001F5F44">
        <w:tc>
          <w:tcPr>
            <w:tcW w:w="4508" w:type="dxa"/>
          </w:tcPr>
          <w:p w14:paraId="11B97448" w14:textId="2F1E25F4" w:rsidR="004C5571" w:rsidRDefault="004C5571" w:rsidP="009E071D">
            <w:pPr>
              <w:spacing w:line="360" w:lineRule="auto"/>
            </w:pPr>
            <w:r>
              <w:rPr>
                <w:rFonts w:eastAsiaTheme="minorEastAsia"/>
              </w:rPr>
              <w:t>Wavenumber of the load in the</w:t>
            </w:r>
            <w:r w:rsidR="00D61601">
              <w:rPr>
                <w:rFonts w:eastAsiaTheme="minorEastAsia"/>
              </w:rPr>
              <w:t xml:space="preserve"> frequency domain</w:t>
            </w:r>
            <w:r>
              <w:rPr>
                <w:rFonts w:eastAsiaTheme="minorEastAsia"/>
              </w:rPr>
              <w:t xml:space="preserve"> </w:t>
            </w:r>
          </w:p>
        </w:tc>
        <w:tc>
          <w:tcPr>
            <w:tcW w:w="1441" w:type="dxa"/>
          </w:tcPr>
          <w:p w14:paraId="12AEA468" w14:textId="77777777" w:rsidR="004C5571" w:rsidRPr="00100791" w:rsidRDefault="004C5571" w:rsidP="009E071D">
            <w:pPr>
              <w:spacing w:line="360" w:lineRule="auto"/>
              <w:rPr>
                <w:rFonts w:ascii="Calibri" w:eastAsia="Calibri" w:hAnsi="Calibri" w:cs="Times New Roman"/>
              </w:rPr>
            </w:pPr>
            <m:oMathPara>
              <m:oMath>
                <m:r>
                  <w:rPr>
                    <w:rFonts w:ascii="Cambria Math" w:eastAsia="Calibri" w:hAnsi="Cambria Math" w:cs="Times New Roman"/>
                  </w:rPr>
                  <m:t>k</m:t>
                </m:r>
              </m:oMath>
            </m:oMathPara>
          </w:p>
        </w:tc>
      </w:tr>
    </w:tbl>
    <w:p w14:paraId="1FA2AA81" w14:textId="1EA64B2F" w:rsidR="0090324B" w:rsidRDefault="0090324B" w:rsidP="009E071D">
      <w:pPr>
        <w:spacing w:line="360" w:lineRule="auto"/>
      </w:pPr>
      <w:r>
        <w:br w:type="page"/>
      </w:r>
    </w:p>
    <w:p w14:paraId="053E39F1" w14:textId="55A3F3B7" w:rsidR="00B13E0E" w:rsidRDefault="00B13E0E" w:rsidP="009E071D">
      <w:pPr>
        <w:spacing w:line="360" w:lineRule="auto"/>
      </w:pPr>
      <w:r>
        <w:lastRenderedPageBreak/>
        <w:t>Table 2</w:t>
      </w:r>
      <w:r w:rsidR="009110FA">
        <w:t xml:space="preserve">. </w:t>
      </w:r>
      <w:r w:rsidR="009C0907">
        <w:t>One-dimensional and two-dimensional m</w:t>
      </w:r>
      <w:r w:rsidR="009110FA">
        <w:t>odelling constants with abbreviations and source.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372"/>
        <w:gridCol w:w="1463"/>
        <w:gridCol w:w="2457"/>
      </w:tblGrid>
      <w:tr w:rsidR="00B13E0E" w14:paraId="5DA9A3D7" w14:textId="77777777" w:rsidTr="001F5F44">
        <w:tc>
          <w:tcPr>
            <w:tcW w:w="3256" w:type="dxa"/>
            <w:shd w:val="clear" w:color="auto" w:fill="D0CECE" w:themeFill="background2" w:themeFillShade="E6"/>
          </w:tcPr>
          <w:p w14:paraId="3F4186ED" w14:textId="77777777" w:rsidR="00B13E0E" w:rsidRDefault="00B13E0E" w:rsidP="009E071D">
            <w:pPr>
              <w:spacing w:line="360" w:lineRule="auto"/>
              <w:jc w:val="center"/>
            </w:pPr>
            <w:r>
              <w:t>Constants</w:t>
            </w:r>
          </w:p>
        </w:tc>
        <w:tc>
          <w:tcPr>
            <w:tcW w:w="1372" w:type="dxa"/>
            <w:shd w:val="clear" w:color="auto" w:fill="D0CECE" w:themeFill="background2" w:themeFillShade="E6"/>
          </w:tcPr>
          <w:p w14:paraId="4FE20AAA" w14:textId="77777777" w:rsidR="00B13E0E" w:rsidRDefault="00B13E0E" w:rsidP="009E071D">
            <w:pPr>
              <w:spacing w:line="360" w:lineRule="auto"/>
              <w:jc w:val="center"/>
            </w:pPr>
            <w:r>
              <w:t>Abbreviation</w:t>
            </w:r>
          </w:p>
        </w:tc>
        <w:tc>
          <w:tcPr>
            <w:tcW w:w="1463" w:type="dxa"/>
            <w:shd w:val="clear" w:color="auto" w:fill="D0CECE" w:themeFill="background2" w:themeFillShade="E6"/>
          </w:tcPr>
          <w:p w14:paraId="2DBFEA0F" w14:textId="77777777" w:rsidR="00B13E0E" w:rsidRDefault="00B13E0E" w:rsidP="009E071D">
            <w:pPr>
              <w:spacing w:line="360" w:lineRule="auto"/>
              <w:jc w:val="center"/>
            </w:pPr>
            <w:r>
              <w:t>Value</w:t>
            </w:r>
          </w:p>
        </w:tc>
        <w:tc>
          <w:tcPr>
            <w:tcW w:w="2457" w:type="dxa"/>
            <w:shd w:val="clear" w:color="auto" w:fill="D0CECE" w:themeFill="background2" w:themeFillShade="E6"/>
          </w:tcPr>
          <w:p w14:paraId="3683142C" w14:textId="77777777" w:rsidR="00B13E0E" w:rsidRDefault="00B13E0E" w:rsidP="009E071D">
            <w:pPr>
              <w:spacing w:line="360" w:lineRule="auto"/>
              <w:jc w:val="center"/>
            </w:pPr>
            <w:r>
              <w:t>Reference</w:t>
            </w:r>
          </w:p>
        </w:tc>
      </w:tr>
      <w:tr w:rsidR="004C5571" w14:paraId="1209977E" w14:textId="77777777" w:rsidTr="001F5F44">
        <w:tc>
          <w:tcPr>
            <w:tcW w:w="3256" w:type="dxa"/>
          </w:tcPr>
          <w:p w14:paraId="1AE57E6D" w14:textId="77777777" w:rsidR="004C5571" w:rsidRDefault="004C5571" w:rsidP="009E071D">
            <w:pPr>
              <w:spacing w:line="360" w:lineRule="auto"/>
            </w:pPr>
            <w:r>
              <w:t>(Non-granite cored/original) crustal density</w:t>
            </w:r>
          </w:p>
        </w:tc>
        <w:tc>
          <w:tcPr>
            <w:tcW w:w="1372" w:type="dxa"/>
          </w:tcPr>
          <w:p w14:paraId="712FE40D" w14:textId="77777777" w:rsidR="004C5571" w:rsidRPr="00EB6F96" w:rsidRDefault="002B6EBB" w:rsidP="009E071D">
            <w:pPr>
              <w:spacing w:line="360" w:lineRule="auto"/>
              <w:jc w:val="center"/>
              <w:rPr>
                <w:rFonts w:ascii="Calibri" w:eastAsia="Calibri" w:hAnsi="Calibri" w:cs="Times New Roman"/>
              </w:rPr>
            </w:pPr>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c</m:t>
                  </m:r>
                </m:sub>
              </m:sSub>
            </m:oMath>
            <w:r w:rsidR="004C5571">
              <w:rPr>
                <w:rFonts w:ascii="Calibri" w:eastAsia="Calibri" w:hAnsi="Calibri" w:cs="Times New Roman"/>
              </w:rPr>
              <w:t>*</w:t>
            </w:r>
          </w:p>
        </w:tc>
        <w:tc>
          <w:tcPr>
            <w:tcW w:w="1463" w:type="dxa"/>
          </w:tcPr>
          <w:p w14:paraId="554CB95D" w14:textId="010A7DD7" w:rsidR="004C5571" w:rsidRDefault="004C5571" w:rsidP="009E071D">
            <w:pPr>
              <w:spacing w:line="360" w:lineRule="auto"/>
              <w:jc w:val="center"/>
            </w:pPr>
            <w:r>
              <w:t>2800</w:t>
            </w:r>
            <w:r w:rsidR="004119E5">
              <w:t xml:space="preserve"> </w:t>
            </w:r>
            <w:r w:rsidR="00E83055">
              <w:t xml:space="preserve">kg </w:t>
            </w:r>
            <w:r>
              <w:t>m</w:t>
            </w:r>
            <w:r>
              <w:rPr>
                <w:vertAlign w:val="superscript"/>
              </w:rPr>
              <w:t>-3</w:t>
            </w:r>
          </w:p>
        </w:tc>
        <w:tc>
          <w:tcPr>
            <w:tcW w:w="2457" w:type="dxa"/>
          </w:tcPr>
          <w:p w14:paraId="7B6FFB53" w14:textId="77777777" w:rsidR="004C5571" w:rsidRDefault="004C5571" w:rsidP="009E071D">
            <w:pPr>
              <w:spacing w:line="360" w:lineRule="auto"/>
            </w:pPr>
            <w:r>
              <w:t xml:space="preserve">Parsons and </w:t>
            </w:r>
            <w:proofErr w:type="spellStart"/>
            <w:r>
              <w:t>Sclater</w:t>
            </w:r>
            <w:proofErr w:type="spellEnd"/>
            <w:r>
              <w:t xml:space="preserve"> (1977)</w:t>
            </w:r>
          </w:p>
        </w:tc>
      </w:tr>
      <w:tr w:rsidR="004C5571" w14:paraId="67758DCF" w14:textId="77777777" w:rsidTr="001F5F44">
        <w:tc>
          <w:tcPr>
            <w:tcW w:w="3256" w:type="dxa"/>
          </w:tcPr>
          <w:p w14:paraId="15056576" w14:textId="77777777" w:rsidR="004C5571" w:rsidRDefault="004C5571" w:rsidP="009E071D">
            <w:pPr>
              <w:spacing w:line="360" w:lineRule="auto"/>
            </w:pPr>
            <w:r>
              <w:t>Acceleration due to gravity</w:t>
            </w:r>
          </w:p>
        </w:tc>
        <w:tc>
          <w:tcPr>
            <w:tcW w:w="1372" w:type="dxa"/>
          </w:tcPr>
          <w:p w14:paraId="0B122B8C" w14:textId="77777777" w:rsidR="004C5571" w:rsidRPr="00235AAF" w:rsidRDefault="004C5571" w:rsidP="009E071D">
            <w:pPr>
              <w:spacing w:line="360" w:lineRule="auto"/>
              <w:rPr>
                <w:rFonts w:ascii="Calibri" w:eastAsia="Calibri" w:hAnsi="Calibri" w:cs="Times New Roman"/>
              </w:rPr>
            </w:pPr>
            <m:oMathPara>
              <m:oMath>
                <m:r>
                  <w:rPr>
                    <w:rFonts w:ascii="Cambria Math" w:eastAsia="Calibri" w:hAnsi="Cambria Math" w:cs="Times New Roman"/>
                  </w:rPr>
                  <m:t>g</m:t>
                </m:r>
              </m:oMath>
            </m:oMathPara>
          </w:p>
        </w:tc>
        <w:tc>
          <w:tcPr>
            <w:tcW w:w="1463" w:type="dxa"/>
          </w:tcPr>
          <w:p w14:paraId="531D5EDE" w14:textId="2845E195" w:rsidR="004C5571" w:rsidRPr="005D6787" w:rsidRDefault="004C5571" w:rsidP="009E071D">
            <w:pPr>
              <w:spacing w:line="360" w:lineRule="auto"/>
              <w:jc w:val="center"/>
              <w:rPr>
                <w:vertAlign w:val="superscript"/>
              </w:rPr>
            </w:pPr>
            <w:r>
              <w:t>9.81</w:t>
            </w:r>
            <w:r w:rsidR="004119E5">
              <w:t xml:space="preserve"> </w:t>
            </w:r>
            <w:r w:rsidR="00E83055">
              <w:t xml:space="preserve">m </w:t>
            </w:r>
            <w:r>
              <w:t>s</w:t>
            </w:r>
            <w:r>
              <w:rPr>
                <w:vertAlign w:val="superscript"/>
              </w:rPr>
              <w:t>-2</w:t>
            </w:r>
          </w:p>
        </w:tc>
        <w:tc>
          <w:tcPr>
            <w:tcW w:w="2457" w:type="dxa"/>
          </w:tcPr>
          <w:p w14:paraId="28CD4FA7" w14:textId="77777777" w:rsidR="004C5571" w:rsidRDefault="004C5571" w:rsidP="009E071D">
            <w:pPr>
              <w:spacing w:line="360" w:lineRule="auto"/>
            </w:pPr>
          </w:p>
        </w:tc>
      </w:tr>
      <w:tr w:rsidR="004C5571" w14:paraId="43891F78" w14:textId="77777777" w:rsidTr="001F5F44">
        <w:tc>
          <w:tcPr>
            <w:tcW w:w="3256" w:type="dxa"/>
          </w:tcPr>
          <w:p w14:paraId="23CE3DBB" w14:textId="77777777" w:rsidR="004C5571" w:rsidRDefault="004C5571" w:rsidP="009E071D">
            <w:pPr>
              <w:spacing w:line="360" w:lineRule="auto"/>
            </w:pPr>
            <w:r>
              <w:t>Air density</w:t>
            </w:r>
          </w:p>
        </w:tc>
        <w:tc>
          <w:tcPr>
            <w:tcW w:w="1372" w:type="dxa"/>
          </w:tcPr>
          <w:p w14:paraId="3A22E841" w14:textId="77777777" w:rsidR="004C5571" w:rsidRPr="00EB6F96"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a</m:t>
                    </m:r>
                  </m:sub>
                </m:sSub>
              </m:oMath>
            </m:oMathPara>
          </w:p>
        </w:tc>
        <w:tc>
          <w:tcPr>
            <w:tcW w:w="1463" w:type="dxa"/>
          </w:tcPr>
          <w:p w14:paraId="6834DDBA" w14:textId="0E9DF99B" w:rsidR="004C5571" w:rsidRDefault="004C5571" w:rsidP="009E071D">
            <w:pPr>
              <w:spacing w:line="360" w:lineRule="auto"/>
              <w:jc w:val="center"/>
            </w:pPr>
            <w:r>
              <w:t>0</w:t>
            </w:r>
            <w:r w:rsidR="004119E5">
              <w:t xml:space="preserve"> </w:t>
            </w:r>
            <w:r w:rsidR="00E83055">
              <w:t xml:space="preserve">kg </w:t>
            </w:r>
            <w:r>
              <w:t>m</w:t>
            </w:r>
            <w:r>
              <w:rPr>
                <w:vertAlign w:val="superscript"/>
              </w:rPr>
              <w:t>-3</w:t>
            </w:r>
          </w:p>
        </w:tc>
        <w:tc>
          <w:tcPr>
            <w:tcW w:w="2457" w:type="dxa"/>
          </w:tcPr>
          <w:p w14:paraId="4F2B19C9" w14:textId="77777777" w:rsidR="004C5571" w:rsidRDefault="004C5571" w:rsidP="009E071D">
            <w:pPr>
              <w:spacing w:line="360" w:lineRule="auto"/>
            </w:pPr>
          </w:p>
        </w:tc>
      </w:tr>
      <w:tr w:rsidR="004C5571" w14:paraId="46D2C4D7" w14:textId="77777777" w:rsidTr="001F5F44">
        <w:tc>
          <w:tcPr>
            <w:tcW w:w="3256" w:type="dxa"/>
          </w:tcPr>
          <w:p w14:paraId="7E890433" w14:textId="77777777" w:rsidR="004C5571" w:rsidRDefault="004C5571" w:rsidP="009E071D">
            <w:pPr>
              <w:spacing w:line="360" w:lineRule="auto"/>
            </w:pPr>
            <w:r>
              <w:t>Brittle-ductile transition (crust)</w:t>
            </w:r>
          </w:p>
        </w:tc>
        <w:tc>
          <w:tcPr>
            <w:tcW w:w="1372" w:type="dxa"/>
          </w:tcPr>
          <w:p w14:paraId="69730EE9" w14:textId="77777777" w:rsidR="004C5571" w:rsidRDefault="004C5571" w:rsidP="009E071D">
            <w:pPr>
              <w:spacing w:line="360" w:lineRule="auto"/>
              <w:rPr>
                <w:rFonts w:ascii="Calibri" w:eastAsia="Calibri" w:hAnsi="Calibri" w:cs="Times New Roman"/>
              </w:rPr>
            </w:pPr>
            <m:oMathPara>
              <m:oMath>
                <m:r>
                  <w:rPr>
                    <w:rFonts w:ascii="Cambria Math" w:eastAsia="Calibri" w:hAnsi="Cambria Math" w:cs="Times New Roman"/>
                  </w:rPr>
                  <m:t>Zd</m:t>
                </m:r>
              </m:oMath>
            </m:oMathPara>
          </w:p>
        </w:tc>
        <w:tc>
          <w:tcPr>
            <w:tcW w:w="1463" w:type="dxa"/>
          </w:tcPr>
          <w:p w14:paraId="7E10008B" w14:textId="22F5BA7E" w:rsidR="004C5571" w:rsidRDefault="004C5571" w:rsidP="009E071D">
            <w:pPr>
              <w:spacing w:line="360" w:lineRule="auto"/>
              <w:jc w:val="center"/>
            </w:pPr>
            <w:r>
              <w:t>20</w:t>
            </w:r>
            <w:r w:rsidR="004119E5">
              <w:t xml:space="preserve"> </w:t>
            </w:r>
            <w:r>
              <w:t>km</w:t>
            </w:r>
          </w:p>
        </w:tc>
        <w:tc>
          <w:tcPr>
            <w:tcW w:w="2457" w:type="dxa"/>
          </w:tcPr>
          <w:p w14:paraId="46F1D705" w14:textId="32A2D436" w:rsidR="004C5571" w:rsidRDefault="004C5571" w:rsidP="009E071D">
            <w:pPr>
              <w:spacing w:line="360" w:lineRule="auto"/>
            </w:pPr>
            <w:proofErr w:type="spellStart"/>
            <w:r>
              <w:t>Kusznir</w:t>
            </w:r>
            <w:proofErr w:type="spellEnd"/>
            <w:r w:rsidR="004A1959">
              <w:t xml:space="preserve"> and Park</w:t>
            </w:r>
            <w:r>
              <w:t xml:space="preserve"> (1987)</w:t>
            </w:r>
          </w:p>
        </w:tc>
      </w:tr>
      <w:tr w:rsidR="004C5571" w14:paraId="33910854" w14:textId="77777777" w:rsidTr="001F5F44">
        <w:tc>
          <w:tcPr>
            <w:tcW w:w="3256" w:type="dxa"/>
          </w:tcPr>
          <w:p w14:paraId="1ED646C5" w14:textId="77777777" w:rsidR="004C5571" w:rsidRDefault="004C5571" w:rsidP="009E071D">
            <w:pPr>
              <w:spacing w:line="360" w:lineRule="auto"/>
            </w:pPr>
            <w:r>
              <w:t>Granite density</w:t>
            </w:r>
          </w:p>
        </w:tc>
        <w:tc>
          <w:tcPr>
            <w:tcW w:w="1372" w:type="dxa"/>
          </w:tcPr>
          <w:p w14:paraId="1D65C52A" w14:textId="77777777" w:rsidR="004C5571" w:rsidRPr="00EB6F96" w:rsidRDefault="002B6EBB" w:rsidP="009E071D">
            <w:pPr>
              <w:spacing w:line="360" w:lineRule="auto"/>
              <w:jc w:val="cente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g</m:t>
                    </m:r>
                  </m:sub>
                </m:sSub>
              </m:oMath>
            </m:oMathPara>
          </w:p>
        </w:tc>
        <w:tc>
          <w:tcPr>
            <w:tcW w:w="1463" w:type="dxa"/>
          </w:tcPr>
          <w:p w14:paraId="6449AEAD" w14:textId="2B88A08B" w:rsidR="004C5571" w:rsidRDefault="004C5571" w:rsidP="00E83055">
            <w:pPr>
              <w:spacing w:line="360" w:lineRule="auto"/>
              <w:jc w:val="center"/>
            </w:pPr>
            <w:r>
              <w:t>2630</w:t>
            </w:r>
            <w:r w:rsidR="004119E5">
              <w:t xml:space="preserve"> </w:t>
            </w:r>
            <w:r>
              <w:t>kg</w:t>
            </w:r>
            <w:r w:rsidR="00E83055">
              <w:t xml:space="preserve"> </w:t>
            </w:r>
            <w:r>
              <w:t>m</w:t>
            </w:r>
            <w:r>
              <w:rPr>
                <w:vertAlign w:val="superscript"/>
              </w:rPr>
              <w:t>-3</w:t>
            </w:r>
          </w:p>
        </w:tc>
        <w:tc>
          <w:tcPr>
            <w:tcW w:w="2457" w:type="dxa"/>
          </w:tcPr>
          <w:p w14:paraId="79BF1B8E" w14:textId="77777777" w:rsidR="004C5571" w:rsidRDefault="004C5571" w:rsidP="009E071D">
            <w:pPr>
              <w:spacing w:line="360" w:lineRule="auto"/>
            </w:pPr>
            <w:proofErr w:type="spellStart"/>
            <w:r>
              <w:t>Eskdale</w:t>
            </w:r>
            <w:proofErr w:type="spellEnd"/>
            <w:r>
              <w:t xml:space="preserve"> granite; </w:t>
            </w:r>
            <w:proofErr w:type="spellStart"/>
            <w:r>
              <w:t>Bott</w:t>
            </w:r>
            <w:proofErr w:type="spellEnd"/>
            <w:r>
              <w:t xml:space="preserve"> and Smithson (1967)</w:t>
            </w:r>
          </w:p>
        </w:tc>
      </w:tr>
      <w:tr w:rsidR="004C5571" w14:paraId="66DFA3CE" w14:textId="77777777" w:rsidTr="001F5F44">
        <w:tc>
          <w:tcPr>
            <w:tcW w:w="3256" w:type="dxa"/>
          </w:tcPr>
          <w:p w14:paraId="5DF94E2A" w14:textId="77777777" w:rsidR="004C5571" w:rsidRDefault="004C5571" w:rsidP="009E071D">
            <w:pPr>
              <w:spacing w:line="360" w:lineRule="auto"/>
            </w:pPr>
            <w:r>
              <w:t>Mantle density (asthenosphere and mantle lithosphere)</w:t>
            </w:r>
          </w:p>
        </w:tc>
        <w:tc>
          <w:tcPr>
            <w:tcW w:w="1372" w:type="dxa"/>
          </w:tcPr>
          <w:p w14:paraId="40387E52" w14:textId="77777777" w:rsidR="004C5571" w:rsidRPr="00826BD8" w:rsidRDefault="002B6EBB" w:rsidP="009E071D">
            <w:pPr>
              <w:spacing w:line="360" w:lineRule="auto"/>
              <w:jc w:val="center"/>
              <w:rPr>
                <w:rFonts w:ascii="Calibri" w:eastAsia="Calibri" w:hAnsi="Calibri" w:cs="Times New Roman"/>
              </w:rPr>
            </w:pPr>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m</m:t>
                  </m:r>
                </m:sub>
              </m:sSub>
            </m:oMath>
            <w:r w:rsidR="004C5571">
              <w:rPr>
                <w:rFonts w:ascii="Calibri" w:eastAsia="Calibri" w:hAnsi="Calibri" w:cs="Times New Roman"/>
              </w:rPr>
              <w:t>*</w:t>
            </w:r>
          </w:p>
        </w:tc>
        <w:tc>
          <w:tcPr>
            <w:tcW w:w="1463" w:type="dxa"/>
          </w:tcPr>
          <w:p w14:paraId="5252DA31" w14:textId="01539CA8" w:rsidR="004C5571" w:rsidRPr="003931A8" w:rsidRDefault="004C5571" w:rsidP="009E071D">
            <w:pPr>
              <w:spacing w:line="360" w:lineRule="auto"/>
              <w:jc w:val="center"/>
            </w:pPr>
            <w:r>
              <w:t>3300</w:t>
            </w:r>
            <w:r w:rsidR="004119E5">
              <w:t xml:space="preserve"> </w:t>
            </w:r>
            <w:r w:rsidR="00E83055">
              <w:t xml:space="preserve">kg </w:t>
            </w:r>
            <w:r>
              <w:t>m</w:t>
            </w:r>
            <w:r>
              <w:rPr>
                <w:vertAlign w:val="superscript"/>
              </w:rPr>
              <w:t>-3</w:t>
            </w:r>
          </w:p>
        </w:tc>
        <w:tc>
          <w:tcPr>
            <w:tcW w:w="2457" w:type="dxa"/>
          </w:tcPr>
          <w:p w14:paraId="4F8971CD" w14:textId="77777777" w:rsidR="004C5571" w:rsidRDefault="004C5571" w:rsidP="009E071D">
            <w:pPr>
              <w:spacing w:line="360" w:lineRule="auto"/>
            </w:pPr>
            <w:r>
              <w:t xml:space="preserve">Parsons and </w:t>
            </w:r>
            <w:proofErr w:type="spellStart"/>
            <w:r>
              <w:t>Sclater</w:t>
            </w:r>
            <w:proofErr w:type="spellEnd"/>
            <w:r>
              <w:t xml:space="preserve"> (1977)</w:t>
            </w:r>
          </w:p>
        </w:tc>
      </w:tr>
      <w:tr w:rsidR="004C5571" w14:paraId="63B8E074" w14:textId="77777777" w:rsidTr="001F5F44">
        <w:tc>
          <w:tcPr>
            <w:tcW w:w="3256" w:type="dxa"/>
          </w:tcPr>
          <w:p w14:paraId="2C9C09FA" w14:textId="77777777" w:rsidR="004C5571" w:rsidRDefault="004C5571" w:rsidP="009E071D">
            <w:pPr>
              <w:spacing w:line="360" w:lineRule="auto"/>
            </w:pPr>
            <w:r>
              <w:t>Original crustal thickness</w:t>
            </w:r>
          </w:p>
        </w:tc>
        <w:tc>
          <w:tcPr>
            <w:tcW w:w="1372" w:type="dxa"/>
          </w:tcPr>
          <w:p w14:paraId="7937841F" w14:textId="77777777" w:rsidR="004C5571" w:rsidRDefault="002B6EBB" w:rsidP="009E071D">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o</m:t>
                    </m:r>
                  </m:sub>
                </m:sSub>
              </m:oMath>
            </m:oMathPara>
          </w:p>
        </w:tc>
        <w:tc>
          <w:tcPr>
            <w:tcW w:w="1463" w:type="dxa"/>
          </w:tcPr>
          <w:p w14:paraId="61D4A454" w14:textId="638BC59A" w:rsidR="004C5571" w:rsidRDefault="004C5571" w:rsidP="009E071D">
            <w:pPr>
              <w:spacing w:line="360" w:lineRule="auto"/>
              <w:jc w:val="center"/>
            </w:pPr>
            <w:r>
              <w:t>35</w:t>
            </w:r>
            <w:r w:rsidR="004119E5">
              <w:t xml:space="preserve"> </w:t>
            </w:r>
            <w:r>
              <w:t>km</w:t>
            </w:r>
          </w:p>
        </w:tc>
        <w:tc>
          <w:tcPr>
            <w:tcW w:w="2457" w:type="dxa"/>
          </w:tcPr>
          <w:p w14:paraId="35B10927" w14:textId="77777777" w:rsidR="004C5571" w:rsidRDefault="004C5571" w:rsidP="009E071D">
            <w:pPr>
              <w:spacing w:line="360" w:lineRule="auto"/>
            </w:pPr>
          </w:p>
        </w:tc>
      </w:tr>
      <w:tr w:rsidR="004C5571" w14:paraId="4A1D6F04" w14:textId="77777777" w:rsidTr="001F5F44">
        <w:tc>
          <w:tcPr>
            <w:tcW w:w="3256" w:type="dxa"/>
          </w:tcPr>
          <w:p w14:paraId="4687A053" w14:textId="77777777" w:rsidR="004C5571" w:rsidRDefault="004C5571" w:rsidP="009E071D">
            <w:pPr>
              <w:spacing w:line="360" w:lineRule="auto"/>
            </w:pPr>
            <w:r>
              <w:t>Original lithosphere thickness</w:t>
            </w:r>
          </w:p>
        </w:tc>
        <w:tc>
          <w:tcPr>
            <w:tcW w:w="1372" w:type="dxa"/>
          </w:tcPr>
          <w:p w14:paraId="5C1E765A" w14:textId="77777777" w:rsidR="004C5571" w:rsidRPr="00826BD8"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A</m:t>
                    </m:r>
                  </m:e>
                  <m:sub>
                    <m:r>
                      <w:rPr>
                        <w:rFonts w:ascii="Cambria Math" w:eastAsia="Calibri" w:hAnsi="Cambria Math" w:cs="Times New Roman"/>
                      </w:rPr>
                      <m:t>o</m:t>
                    </m:r>
                  </m:sub>
                </m:sSub>
              </m:oMath>
            </m:oMathPara>
          </w:p>
        </w:tc>
        <w:tc>
          <w:tcPr>
            <w:tcW w:w="1463" w:type="dxa"/>
          </w:tcPr>
          <w:p w14:paraId="17AF519C" w14:textId="0428A394" w:rsidR="004C5571" w:rsidRDefault="004C5571" w:rsidP="009E071D">
            <w:pPr>
              <w:spacing w:line="360" w:lineRule="auto"/>
              <w:jc w:val="center"/>
            </w:pPr>
            <w:r>
              <w:t>125</w:t>
            </w:r>
            <w:r w:rsidR="004119E5">
              <w:t xml:space="preserve"> </w:t>
            </w:r>
            <w:r>
              <w:t>km</w:t>
            </w:r>
          </w:p>
        </w:tc>
        <w:tc>
          <w:tcPr>
            <w:tcW w:w="2457" w:type="dxa"/>
          </w:tcPr>
          <w:p w14:paraId="3BDA8B43" w14:textId="77777777" w:rsidR="004C5571" w:rsidRDefault="004C5571" w:rsidP="009E071D">
            <w:pPr>
              <w:spacing w:line="360" w:lineRule="auto"/>
            </w:pPr>
          </w:p>
        </w:tc>
      </w:tr>
      <w:tr w:rsidR="004C5571" w14:paraId="55C7D9CF" w14:textId="77777777" w:rsidTr="001F5F44">
        <w:tc>
          <w:tcPr>
            <w:tcW w:w="3256" w:type="dxa"/>
          </w:tcPr>
          <w:p w14:paraId="6638D8F3" w14:textId="77777777" w:rsidR="004C5571" w:rsidRDefault="004C5571" w:rsidP="009E071D">
            <w:pPr>
              <w:spacing w:line="360" w:lineRule="auto"/>
            </w:pPr>
            <w:r>
              <w:t>Poisson’s ratio</w:t>
            </w:r>
          </w:p>
        </w:tc>
        <w:tc>
          <w:tcPr>
            <w:tcW w:w="1372" w:type="dxa"/>
          </w:tcPr>
          <w:p w14:paraId="2DE7BCB8" w14:textId="77777777" w:rsidR="004C5571" w:rsidRDefault="004C5571" w:rsidP="009E071D">
            <w:pPr>
              <w:spacing w:line="360" w:lineRule="auto"/>
              <w:rPr>
                <w:rFonts w:ascii="Calibri" w:eastAsia="Calibri" w:hAnsi="Calibri" w:cs="Times New Roman"/>
              </w:rPr>
            </w:pPr>
            <m:oMathPara>
              <m:oMath>
                <m:r>
                  <w:rPr>
                    <w:rFonts w:ascii="Cambria Math" w:eastAsia="Calibri" w:hAnsi="Cambria Math" w:cs="Times New Roman"/>
                  </w:rPr>
                  <m:t>v</m:t>
                </m:r>
              </m:oMath>
            </m:oMathPara>
          </w:p>
        </w:tc>
        <w:tc>
          <w:tcPr>
            <w:tcW w:w="1463" w:type="dxa"/>
          </w:tcPr>
          <w:p w14:paraId="2E3F9B89" w14:textId="77777777" w:rsidR="004C5571" w:rsidRDefault="004C5571" w:rsidP="009E071D">
            <w:pPr>
              <w:spacing w:line="360" w:lineRule="auto"/>
              <w:jc w:val="center"/>
            </w:pPr>
            <w:r>
              <w:t>0.25</w:t>
            </w:r>
          </w:p>
        </w:tc>
        <w:tc>
          <w:tcPr>
            <w:tcW w:w="2457" w:type="dxa"/>
          </w:tcPr>
          <w:p w14:paraId="593EB58D" w14:textId="378F7B7A" w:rsidR="004C5571" w:rsidRDefault="005B1395" w:rsidP="009E071D">
            <w:pPr>
              <w:spacing w:line="360" w:lineRule="auto"/>
            </w:pPr>
            <w:r>
              <w:t xml:space="preserve">e.g. </w:t>
            </w:r>
            <w:r w:rsidR="004C5571">
              <w:t>Watts</w:t>
            </w:r>
            <w:r w:rsidR="00A113F4">
              <w:t xml:space="preserve"> et al. (1980</w:t>
            </w:r>
            <w:r w:rsidR="004C5571">
              <w:t>)</w:t>
            </w:r>
          </w:p>
        </w:tc>
      </w:tr>
      <w:tr w:rsidR="004C5571" w14:paraId="7B63659A" w14:textId="77777777" w:rsidTr="001F5F44">
        <w:tc>
          <w:tcPr>
            <w:tcW w:w="3256" w:type="dxa"/>
          </w:tcPr>
          <w:p w14:paraId="6EFBB024" w14:textId="77777777" w:rsidR="004C5571" w:rsidRDefault="004C5571" w:rsidP="009E071D">
            <w:pPr>
              <w:spacing w:line="360" w:lineRule="auto"/>
            </w:pPr>
            <w:r>
              <w:t>Sediment density</w:t>
            </w:r>
          </w:p>
        </w:tc>
        <w:tc>
          <w:tcPr>
            <w:tcW w:w="1372" w:type="dxa"/>
          </w:tcPr>
          <w:p w14:paraId="48A13C08" w14:textId="77777777" w:rsidR="004C5571" w:rsidRPr="00235AAF"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s</m:t>
                    </m:r>
                  </m:sub>
                </m:sSub>
              </m:oMath>
            </m:oMathPara>
          </w:p>
        </w:tc>
        <w:tc>
          <w:tcPr>
            <w:tcW w:w="1463" w:type="dxa"/>
          </w:tcPr>
          <w:p w14:paraId="6C88C88F" w14:textId="552024E1" w:rsidR="004C5571" w:rsidRDefault="004C5571" w:rsidP="009E071D">
            <w:pPr>
              <w:spacing w:line="360" w:lineRule="auto"/>
              <w:jc w:val="center"/>
            </w:pPr>
            <w:r>
              <w:t>2500</w:t>
            </w:r>
            <w:r w:rsidR="004119E5">
              <w:t xml:space="preserve"> </w:t>
            </w:r>
            <w:r w:rsidR="00E83055">
              <w:t xml:space="preserve">kg </w:t>
            </w:r>
            <w:r>
              <w:t>m</w:t>
            </w:r>
            <w:r>
              <w:rPr>
                <w:vertAlign w:val="superscript"/>
              </w:rPr>
              <w:t>-3</w:t>
            </w:r>
          </w:p>
        </w:tc>
        <w:tc>
          <w:tcPr>
            <w:tcW w:w="2457" w:type="dxa"/>
          </w:tcPr>
          <w:p w14:paraId="568304FE" w14:textId="77777777" w:rsidR="004C5571" w:rsidRDefault="004C5571" w:rsidP="009E071D">
            <w:pPr>
              <w:spacing w:line="360" w:lineRule="auto"/>
            </w:pPr>
          </w:p>
        </w:tc>
      </w:tr>
      <w:tr w:rsidR="004C5571" w14:paraId="34BDE4A5" w14:textId="77777777" w:rsidTr="001F5F44">
        <w:tc>
          <w:tcPr>
            <w:tcW w:w="3256" w:type="dxa"/>
          </w:tcPr>
          <w:p w14:paraId="2F3DC347" w14:textId="77777777" w:rsidR="004C5571" w:rsidRDefault="004C5571" w:rsidP="009E071D">
            <w:pPr>
              <w:spacing w:line="360" w:lineRule="auto"/>
            </w:pPr>
            <w:r>
              <w:t>Temperature at the base of the lithosphere</w:t>
            </w:r>
          </w:p>
        </w:tc>
        <w:tc>
          <w:tcPr>
            <w:tcW w:w="1372" w:type="dxa"/>
          </w:tcPr>
          <w:p w14:paraId="6F7937DB" w14:textId="77777777" w:rsidR="004C5571"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T</m:t>
                    </m:r>
                  </m:e>
                  <m:sub>
                    <m:r>
                      <w:rPr>
                        <w:rFonts w:ascii="Cambria Math" w:eastAsia="Calibri" w:hAnsi="Cambria Math" w:cs="Times New Roman"/>
                      </w:rPr>
                      <m:t>0</m:t>
                    </m:r>
                  </m:sub>
                </m:sSub>
              </m:oMath>
            </m:oMathPara>
          </w:p>
        </w:tc>
        <w:tc>
          <w:tcPr>
            <w:tcW w:w="1463" w:type="dxa"/>
          </w:tcPr>
          <w:p w14:paraId="1860CE30" w14:textId="77777777" w:rsidR="004C5571" w:rsidRDefault="004C5571" w:rsidP="009E071D">
            <w:pPr>
              <w:spacing w:line="360" w:lineRule="auto"/>
              <w:jc w:val="center"/>
            </w:pPr>
            <w:r>
              <w:t>1333</w:t>
            </w:r>
            <w:r>
              <w:rPr>
                <w:rFonts w:eastAsiaTheme="minorEastAsia" w:cstheme="minorHAnsi"/>
              </w:rPr>
              <w:t>⁰</w:t>
            </w:r>
            <w:r>
              <w:rPr>
                <w:rFonts w:eastAsiaTheme="minorEastAsia"/>
              </w:rPr>
              <w:t>C</w:t>
            </w:r>
          </w:p>
        </w:tc>
        <w:tc>
          <w:tcPr>
            <w:tcW w:w="2457" w:type="dxa"/>
          </w:tcPr>
          <w:p w14:paraId="54D2C434" w14:textId="77777777" w:rsidR="004C5571" w:rsidRDefault="004C5571" w:rsidP="009E071D">
            <w:pPr>
              <w:spacing w:line="360" w:lineRule="auto"/>
            </w:pPr>
            <w:r>
              <w:t xml:space="preserve">Parsons and </w:t>
            </w:r>
            <w:proofErr w:type="spellStart"/>
            <w:r>
              <w:t>Sclater</w:t>
            </w:r>
            <w:proofErr w:type="spellEnd"/>
            <w:r>
              <w:t xml:space="preserve"> (1977)</w:t>
            </w:r>
          </w:p>
        </w:tc>
      </w:tr>
      <w:tr w:rsidR="004C5571" w14:paraId="5DE47C40" w14:textId="77777777" w:rsidTr="001F5F44">
        <w:tc>
          <w:tcPr>
            <w:tcW w:w="3256" w:type="dxa"/>
          </w:tcPr>
          <w:p w14:paraId="73F95B0A" w14:textId="77777777" w:rsidR="004C5571" w:rsidRDefault="004C5571" w:rsidP="009E071D">
            <w:pPr>
              <w:spacing w:line="360" w:lineRule="auto"/>
            </w:pPr>
            <w:r>
              <w:t>Volumetric coefficient of thermal expansion</w:t>
            </w:r>
          </w:p>
        </w:tc>
        <w:tc>
          <w:tcPr>
            <w:tcW w:w="1372" w:type="dxa"/>
          </w:tcPr>
          <w:p w14:paraId="40268B50" w14:textId="77777777" w:rsidR="004C5571" w:rsidRPr="00235AAF" w:rsidRDefault="004C5571" w:rsidP="009E071D">
            <w:pPr>
              <w:spacing w:line="360" w:lineRule="auto"/>
              <w:rPr>
                <w:rFonts w:ascii="Calibri" w:eastAsia="Calibri" w:hAnsi="Calibri" w:cs="Times New Roman"/>
              </w:rPr>
            </w:pPr>
            <m:oMathPara>
              <m:oMath>
                <m:r>
                  <w:rPr>
                    <w:rFonts w:ascii="Cambria Math" w:eastAsia="Calibri" w:hAnsi="Cambria Math" w:cs="Times New Roman"/>
                  </w:rPr>
                  <m:t>α</m:t>
                </m:r>
              </m:oMath>
            </m:oMathPara>
          </w:p>
        </w:tc>
        <w:tc>
          <w:tcPr>
            <w:tcW w:w="1463" w:type="dxa"/>
          </w:tcPr>
          <w:p w14:paraId="21BB5F7F" w14:textId="77777777" w:rsidR="004C5571" w:rsidRPr="005D6787" w:rsidRDefault="004C5571" w:rsidP="009E071D">
            <w:pPr>
              <w:spacing w:line="360" w:lineRule="auto"/>
              <w:jc w:val="center"/>
              <w:rPr>
                <w:vertAlign w:val="superscript"/>
              </w:rPr>
            </w:pPr>
            <w:r>
              <w:t>3.28</w:t>
            </w:r>
            <m:oMath>
              <m:r>
                <w:rPr>
                  <w:rFonts w:ascii="Cambria Math" w:hAnsi="Cambria Math"/>
                </w:rPr>
                <m:t>×</m:t>
              </m:r>
            </m:oMath>
            <w:r>
              <w:rPr>
                <w:rFonts w:eastAsiaTheme="minorEastAsia"/>
              </w:rPr>
              <w:t>10</w:t>
            </w:r>
            <w:r>
              <w:rPr>
                <w:rFonts w:eastAsiaTheme="minorEastAsia"/>
                <w:vertAlign w:val="superscript"/>
              </w:rPr>
              <w:t>-5</w:t>
            </w:r>
            <w:r>
              <w:rPr>
                <w:rFonts w:eastAsiaTheme="minorEastAsia" w:cstheme="minorHAnsi"/>
              </w:rPr>
              <w:t>⁰</w:t>
            </w:r>
            <w:r>
              <w:rPr>
                <w:rFonts w:eastAsiaTheme="minorEastAsia"/>
              </w:rPr>
              <w:t>C</w:t>
            </w:r>
            <w:r>
              <w:rPr>
                <w:rFonts w:eastAsiaTheme="minorEastAsia"/>
                <w:vertAlign w:val="superscript"/>
              </w:rPr>
              <w:t>-1</w:t>
            </w:r>
          </w:p>
        </w:tc>
        <w:tc>
          <w:tcPr>
            <w:tcW w:w="2457" w:type="dxa"/>
          </w:tcPr>
          <w:p w14:paraId="2C4B400A" w14:textId="77777777" w:rsidR="004C5571" w:rsidRDefault="004C5571" w:rsidP="009E071D">
            <w:pPr>
              <w:spacing w:line="360" w:lineRule="auto"/>
            </w:pPr>
            <w:r>
              <w:t xml:space="preserve">Parsons and </w:t>
            </w:r>
            <w:proofErr w:type="spellStart"/>
            <w:r>
              <w:t>Sclater</w:t>
            </w:r>
            <w:proofErr w:type="spellEnd"/>
            <w:r>
              <w:t xml:space="preserve"> (1977)</w:t>
            </w:r>
          </w:p>
        </w:tc>
      </w:tr>
      <w:tr w:rsidR="004C5571" w14:paraId="6826F883" w14:textId="77777777" w:rsidTr="001F5F44">
        <w:tc>
          <w:tcPr>
            <w:tcW w:w="3256" w:type="dxa"/>
          </w:tcPr>
          <w:p w14:paraId="217F7B11" w14:textId="77777777" w:rsidR="004C5571" w:rsidRDefault="004C5571" w:rsidP="009E071D">
            <w:pPr>
              <w:spacing w:line="360" w:lineRule="auto"/>
            </w:pPr>
            <w:r>
              <w:t>Water density</w:t>
            </w:r>
          </w:p>
        </w:tc>
        <w:tc>
          <w:tcPr>
            <w:tcW w:w="1372" w:type="dxa"/>
          </w:tcPr>
          <w:p w14:paraId="32A11085" w14:textId="77777777" w:rsidR="004C5571" w:rsidRPr="00235AAF" w:rsidRDefault="002B6EBB" w:rsidP="009E071D">
            <w:pPr>
              <w:spacing w:line="360" w:lineRule="auto"/>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ρ</m:t>
                    </m:r>
                  </m:e>
                  <m:sub>
                    <m:r>
                      <w:rPr>
                        <w:rFonts w:ascii="Cambria Math" w:eastAsia="Calibri" w:hAnsi="Cambria Math" w:cs="Times New Roman"/>
                      </w:rPr>
                      <m:t>w</m:t>
                    </m:r>
                  </m:sub>
                </m:sSub>
              </m:oMath>
            </m:oMathPara>
          </w:p>
        </w:tc>
        <w:tc>
          <w:tcPr>
            <w:tcW w:w="1463" w:type="dxa"/>
          </w:tcPr>
          <w:p w14:paraId="680393E2" w14:textId="0FD5E95C" w:rsidR="004C5571" w:rsidRDefault="004C5571" w:rsidP="009E071D">
            <w:pPr>
              <w:spacing w:line="360" w:lineRule="auto"/>
              <w:jc w:val="center"/>
            </w:pPr>
            <w:r>
              <w:t>1000</w:t>
            </w:r>
            <w:r w:rsidR="004119E5">
              <w:t xml:space="preserve"> </w:t>
            </w:r>
            <w:r w:rsidR="00E83055">
              <w:t xml:space="preserve">kg </w:t>
            </w:r>
            <w:r>
              <w:t>m</w:t>
            </w:r>
            <w:r>
              <w:rPr>
                <w:vertAlign w:val="superscript"/>
              </w:rPr>
              <w:t>-3</w:t>
            </w:r>
          </w:p>
        </w:tc>
        <w:tc>
          <w:tcPr>
            <w:tcW w:w="2457" w:type="dxa"/>
          </w:tcPr>
          <w:p w14:paraId="6C4D2F93" w14:textId="77777777" w:rsidR="004C5571" w:rsidRDefault="004C5571" w:rsidP="009E071D">
            <w:pPr>
              <w:spacing w:line="360" w:lineRule="auto"/>
            </w:pPr>
          </w:p>
        </w:tc>
      </w:tr>
      <w:tr w:rsidR="004C5571" w14:paraId="43B28012" w14:textId="77777777" w:rsidTr="001F5F44">
        <w:tc>
          <w:tcPr>
            <w:tcW w:w="3256" w:type="dxa"/>
          </w:tcPr>
          <w:p w14:paraId="3A1898D3" w14:textId="77777777" w:rsidR="004C5571" w:rsidRDefault="004C5571" w:rsidP="009E071D">
            <w:pPr>
              <w:spacing w:line="360" w:lineRule="auto"/>
            </w:pPr>
            <w:r>
              <w:t>Young’s modulus</w:t>
            </w:r>
          </w:p>
        </w:tc>
        <w:tc>
          <w:tcPr>
            <w:tcW w:w="1372" w:type="dxa"/>
          </w:tcPr>
          <w:p w14:paraId="5CABAB52" w14:textId="77777777" w:rsidR="004C5571" w:rsidRPr="00235AAF" w:rsidRDefault="004C5571" w:rsidP="009E071D">
            <w:pPr>
              <w:spacing w:line="360" w:lineRule="auto"/>
              <w:rPr>
                <w:rFonts w:ascii="Calibri" w:eastAsia="Calibri" w:hAnsi="Calibri" w:cs="Times New Roman"/>
              </w:rPr>
            </w:pPr>
            <m:oMathPara>
              <m:oMath>
                <m:r>
                  <w:rPr>
                    <w:rFonts w:ascii="Cambria Math" w:eastAsia="Calibri" w:hAnsi="Cambria Math" w:cs="Times New Roman"/>
                  </w:rPr>
                  <m:t>E</m:t>
                </m:r>
              </m:oMath>
            </m:oMathPara>
          </w:p>
        </w:tc>
        <w:tc>
          <w:tcPr>
            <w:tcW w:w="1463" w:type="dxa"/>
          </w:tcPr>
          <w:p w14:paraId="40D84C5E" w14:textId="77777777" w:rsidR="004C5571" w:rsidRPr="003931A8" w:rsidRDefault="004C5571" w:rsidP="009E071D">
            <w:pPr>
              <w:spacing w:line="360" w:lineRule="auto"/>
              <w:jc w:val="center"/>
            </w:pPr>
            <w:r>
              <w:t>7</w:t>
            </w:r>
            <m:oMath>
              <m:r>
                <w:rPr>
                  <w:rFonts w:ascii="Cambria Math" w:hAnsi="Cambria Math"/>
                </w:rPr>
                <m:t>×</m:t>
              </m:r>
            </m:oMath>
            <w:r>
              <w:rPr>
                <w:rFonts w:eastAsiaTheme="minorEastAsia"/>
              </w:rPr>
              <w:t>10</w:t>
            </w:r>
            <w:r>
              <w:rPr>
                <w:rFonts w:eastAsiaTheme="minorEastAsia"/>
                <w:vertAlign w:val="superscript"/>
              </w:rPr>
              <w:t>10</w:t>
            </w:r>
            <w:r>
              <w:rPr>
                <w:rFonts w:eastAsiaTheme="minorEastAsia"/>
              </w:rPr>
              <w:t xml:space="preserve"> Pa</w:t>
            </w:r>
          </w:p>
        </w:tc>
        <w:tc>
          <w:tcPr>
            <w:tcW w:w="2457" w:type="dxa"/>
          </w:tcPr>
          <w:p w14:paraId="44F69B59" w14:textId="49EDD647" w:rsidR="004C5571" w:rsidRDefault="005B1395" w:rsidP="009E071D">
            <w:pPr>
              <w:spacing w:line="360" w:lineRule="auto"/>
            </w:pPr>
            <w:r>
              <w:t>e.g. Egan (1992)</w:t>
            </w:r>
          </w:p>
        </w:tc>
      </w:tr>
    </w:tbl>
    <w:p w14:paraId="60D61ECB" w14:textId="289E0937" w:rsidR="00B13E0E" w:rsidRDefault="00B13E0E" w:rsidP="009E071D">
      <w:pPr>
        <w:spacing w:line="360" w:lineRule="auto"/>
      </w:pPr>
      <w:r>
        <w:t xml:space="preserve">*densities </w:t>
      </w:r>
      <w:r w:rsidR="004C5571">
        <w:t xml:space="preserve">correct </w:t>
      </w:r>
      <w:r>
        <w:t>at 0</w:t>
      </w:r>
      <w:r>
        <w:rPr>
          <w:rFonts w:eastAsiaTheme="minorEastAsia" w:cstheme="minorHAnsi"/>
        </w:rPr>
        <w:t>⁰</w:t>
      </w:r>
      <w:r>
        <w:rPr>
          <w:rFonts w:eastAsiaTheme="minorEastAsia"/>
        </w:rPr>
        <w:t>C.</w:t>
      </w:r>
      <w:r>
        <w:t xml:space="preserve"> </w:t>
      </w:r>
      <w:r>
        <w:br w:type="page"/>
      </w:r>
    </w:p>
    <w:p w14:paraId="11684058" w14:textId="43C07DE6" w:rsidR="00B13E0E" w:rsidRDefault="00B13E0E" w:rsidP="009E071D">
      <w:pPr>
        <w:spacing w:line="360" w:lineRule="auto"/>
      </w:pPr>
      <w:r>
        <w:lastRenderedPageBreak/>
        <w:t>Table 3</w:t>
      </w:r>
      <w:r w:rsidR="006078BC">
        <w:t>.</w:t>
      </w:r>
      <w:r w:rsidR="00452372">
        <w:t xml:space="preserve"> Coordinates, orientation, horizontal displacement (heave) values and dip values for faults used in two-dimensional modelling (Fig.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18"/>
        <w:gridCol w:w="1184"/>
        <w:gridCol w:w="942"/>
        <w:gridCol w:w="850"/>
      </w:tblGrid>
      <w:tr w:rsidR="00B13E0E" w:rsidRPr="009417F0" w14:paraId="5CCB14AD" w14:textId="77777777" w:rsidTr="001F5F44">
        <w:tc>
          <w:tcPr>
            <w:tcW w:w="704" w:type="dxa"/>
            <w:shd w:val="clear" w:color="auto" w:fill="D9D9D9" w:themeFill="background1" w:themeFillShade="D9"/>
          </w:tcPr>
          <w:p w14:paraId="67792757" w14:textId="77777777" w:rsidR="00B13E0E" w:rsidRPr="00A942DB" w:rsidRDefault="00B13E0E" w:rsidP="009E071D">
            <w:pPr>
              <w:spacing w:line="360" w:lineRule="auto"/>
            </w:pPr>
            <w:r w:rsidRPr="00A942DB">
              <w:t>Fault</w:t>
            </w:r>
          </w:p>
        </w:tc>
        <w:tc>
          <w:tcPr>
            <w:tcW w:w="1418" w:type="dxa"/>
            <w:shd w:val="clear" w:color="auto" w:fill="D9D9D9" w:themeFill="background1" w:themeFillShade="D9"/>
          </w:tcPr>
          <w:p w14:paraId="2DE7175D" w14:textId="77777777" w:rsidR="00B13E0E" w:rsidRPr="00A942DB" w:rsidRDefault="00B13E0E" w:rsidP="009E071D">
            <w:pPr>
              <w:spacing w:line="360" w:lineRule="auto"/>
              <w:jc w:val="center"/>
            </w:pPr>
            <w:r w:rsidRPr="00A942DB">
              <w:t>x-coordinate (km)</w:t>
            </w:r>
          </w:p>
        </w:tc>
        <w:tc>
          <w:tcPr>
            <w:tcW w:w="1184" w:type="dxa"/>
            <w:shd w:val="clear" w:color="auto" w:fill="D9D9D9" w:themeFill="background1" w:themeFillShade="D9"/>
          </w:tcPr>
          <w:p w14:paraId="15780DB3" w14:textId="77777777" w:rsidR="00B13E0E" w:rsidRPr="00A942DB" w:rsidRDefault="00B13E0E" w:rsidP="009E071D">
            <w:pPr>
              <w:spacing w:line="360" w:lineRule="auto"/>
              <w:jc w:val="center"/>
            </w:pPr>
            <w:r w:rsidRPr="00A942DB">
              <w:t>Antithetic/ Synthetic</w:t>
            </w:r>
          </w:p>
        </w:tc>
        <w:tc>
          <w:tcPr>
            <w:tcW w:w="942" w:type="dxa"/>
            <w:shd w:val="clear" w:color="auto" w:fill="D9D9D9" w:themeFill="background1" w:themeFillShade="D9"/>
          </w:tcPr>
          <w:p w14:paraId="39B2475F" w14:textId="77777777" w:rsidR="00B13E0E" w:rsidRPr="00A942DB" w:rsidRDefault="00B13E0E" w:rsidP="009E071D">
            <w:pPr>
              <w:spacing w:line="360" w:lineRule="auto"/>
              <w:jc w:val="center"/>
            </w:pPr>
            <w:r w:rsidRPr="00A942DB">
              <w:t>Heave (km)</w:t>
            </w:r>
          </w:p>
        </w:tc>
        <w:tc>
          <w:tcPr>
            <w:tcW w:w="850" w:type="dxa"/>
            <w:shd w:val="clear" w:color="auto" w:fill="D9D9D9" w:themeFill="background1" w:themeFillShade="D9"/>
          </w:tcPr>
          <w:p w14:paraId="0768DBF6" w14:textId="77777777" w:rsidR="00B13E0E" w:rsidRPr="00A942DB" w:rsidRDefault="00B13E0E" w:rsidP="009E071D">
            <w:pPr>
              <w:spacing w:line="360" w:lineRule="auto"/>
            </w:pPr>
            <w:r w:rsidRPr="00A942DB">
              <w:t>Dip (</w:t>
            </w:r>
            <w:r w:rsidRPr="00A942DB">
              <w:rPr>
                <w:rFonts w:cstheme="minorHAnsi"/>
              </w:rPr>
              <w:t>⁰</w:t>
            </w:r>
            <w:r w:rsidRPr="00A942DB">
              <w:t>)</w:t>
            </w:r>
          </w:p>
        </w:tc>
      </w:tr>
      <w:tr w:rsidR="00B13E0E" w:rsidRPr="009417F0" w14:paraId="3BF33737" w14:textId="77777777" w:rsidTr="001F5F44">
        <w:tc>
          <w:tcPr>
            <w:tcW w:w="704" w:type="dxa"/>
          </w:tcPr>
          <w:p w14:paraId="75E52668" w14:textId="77777777" w:rsidR="00B13E0E" w:rsidRPr="00A942DB" w:rsidRDefault="00B13E0E" w:rsidP="009E071D">
            <w:pPr>
              <w:spacing w:line="360" w:lineRule="auto"/>
              <w:jc w:val="center"/>
            </w:pPr>
            <w:r w:rsidRPr="00A942DB">
              <w:t>1</w:t>
            </w:r>
          </w:p>
        </w:tc>
        <w:tc>
          <w:tcPr>
            <w:tcW w:w="1418" w:type="dxa"/>
          </w:tcPr>
          <w:p w14:paraId="72FF63C2" w14:textId="5B170543" w:rsidR="00B13E0E" w:rsidRPr="00A942DB" w:rsidRDefault="00A942DB" w:rsidP="009E071D">
            <w:pPr>
              <w:spacing w:line="360" w:lineRule="auto"/>
              <w:jc w:val="center"/>
            </w:pPr>
            <w:r w:rsidRPr="00A942DB">
              <w:t>28</w:t>
            </w:r>
          </w:p>
        </w:tc>
        <w:tc>
          <w:tcPr>
            <w:tcW w:w="1184" w:type="dxa"/>
          </w:tcPr>
          <w:p w14:paraId="4AA2EC9B" w14:textId="77777777" w:rsidR="00B13E0E" w:rsidRPr="00A942DB" w:rsidRDefault="00B13E0E" w:rsidP="009E071D">
            <w:pPr>
              <w:spacing w:line="360" w:lineRule="auto"/>
              <w:jc w:val="center"/>
            </w:pPr>
            <w:r w:rsidRPr="00A942DB">
              <w:t>S</w:t>
            </w:r>
          </w:p>
        </w:tc>
        <w:tc>
          <w:tcPr>
            <w:tcW w:w="942" w:type="dxa"/>
          </w:tcPr>
          <w:p w14:paraId="675BDC22" w14:textId="59B48D27" w:rsidR="00B13E0E" w:rsidRPr="00A942DB" w:rsidRDefault="00A942DB" w:rsidP="009E071D">
            <w:pPr>
              <w:spacing w:line="360" w:lineRule="auto"/>
              <w:jc w:val="center"/>
            </w:pPr>
            <w:r w:rsidRPr="00A942DB">
              <w:t>0.25</w:t>
            </w:r>
          </w:p>
        </w:tc>
        <w:tc>
          <w:tcPr>
            <w:tcW w:w="850" w:type="dxa"/>
          </w:tcPr>
          <w:p w14:paraId="4A18FEC9" w14:textId="7DA56156" w:rsidR="00B13E0E" w:rsidRPr="00A942DB" w:rsidRDefault="00A942DB" w:rsidP="009E071D">
            <w:pPr>
              <w:spacing w:line="360" w:lineRule="auto"/>
              <w:jc w:val="center"/>
            </w:pPr>
            <w:r w:rsidRPr="00A942DB">
              <w:t>55</w:t>
            </w:r>
          </w:p>
        </w:tc>
      </w:tr>
      <w:tr w:rsidR="00B13E0E" w:rsidRPr="009417F0" w14:paraId="1AFAAC2E" w14:textId="77777777" w:rsidTr="001F5F44">
        <w:tc>
          <w:tcPr>
            <w:tcW w:w="704" w:type="dxa"/>
          </w:tcPr>
          <w:p w14:paraId="7C9A1CC8" w14:textId="77777777" w:rsidR="00B13E0E" w:rsidRPr="00A942DB" w:rsidRDefault="00B13E0E" w:rsidP="009E071D">
            <w:pPr>
              <w:spacing w:line="360" w:lineRule="auto"/>
              <w:jc w:val="center"/>
            </w:pPr>
            <w:r w:rsidRPr="00A942DB">
              <w:t>2</w:t>
            </w:r>
          </w:p>
        </w:tc>
        <w:tc>
          <w:tcPr>
            <w:tcW w:w="1418" w:type="dxa"/>
          </w:tcPr>
          <w:p w14:paraId="3F4F22C3" w14:textId="78548772" w:rsidR="00B13E0E" w:rsidRPr="00A942DB" w:rsidRDefault="00A942DB" w:rsidP="009E071D">
            <w:pPr>
              <w:spacing w:line="360" w:lineRule="auto"/>
              <w:jc w:val="center"/>
            </w:pPr>
            <w:r w:rsidRPr="00A942DB">
              <w:t>32</w:t>
            </w:r>
          </w:p>
        </w:tc>
        <w:tc>
          <w:tcPr>
            <w:tcW w:w="1184" w:type="dxa"/>
          </w:tcPr>
          <w:p w14:paraId="59F5614A" w14:textId="77777777" w:rsidR="00B13E0E" w:rsidRPr="00A942DB" w:rsidRDefault="00B13E0E" w:rsidP="009E071D">
            <w:pPr>
              <w:spacing w:line="360" w:lineRule="auto"/>
              <w:jc w:val="center"/>
            </w:pPr>
            <w:r w:rsidRPr="00A942DB">
              <w:t>S</w:t>
            </w:r>
          </w:p>
        </w:tc>
        <w:tc>
          <w:tcPr>
            <w:tcW w:w="942" w:type="dxa"/>
          </w:tcPr>
          <w:p w14:paraId="35A2348B" w14:textId="7FE1B4D0" w:rsidR="00B13E0E" w:rsidRPr="00A942DB" w:rsidRDefault="00A942DB" w:rsidP="009E071D">
            <w:pPr>
              <w:spacing w:line="360" w:lineRule="auto"/>
              <w:jc w:val="center"/>
            </w:pPr>
            <w:r w:rsidRPr="00A942DB">
              <w:t>0.25</w:t>
            </w:r>
          </w:p>
        </w:tc>
        <w:tc>
          <w:tcPr>
            <w:tcW w:w="850" w:type="dxa"/>
          </w:tcPr>
          <w:p w14:paraId="2AC6781D" w14:textId="433AECF2" w:rsidR="00B13E0E" w:rsidRPr="00A942DB" w:rsidRDefault="00A942DB" w:rsidP="009E071D">
            <w:pPr>
              <w:spacing w:line="360" w:lineRule="auto"/>
              <w:jc w:val="center"/>
            </w:pPr>
            <w:r w:rsidRPr="00A942DB">
              <w:t>55</w:t>
            </w:r>
          </w:p>
        </w:tc>
      </w:tr>
      <w:tr w:rsidR="00B13E0E" w:rsidRPr="009417F0" w14:paraId="633AB743" w14:textId="77777777" w:rsidTr="001F5F44">
        <w:tc>
          <w:tcPr>
            <w:tcW w:w="704" w:type="dxa"/>
          </w:tcPr>
          <w:p w14:paraId="1DAC2AAB" w14:textId="77777777" w:rsidR="00B13E0E" w:rsidRPr="00A942DB" w:rsidRDefault="00B13E0E" w:rsidP="009E071D">
            <w:pPr>
              <w:spacing w:line="360" w:lineRule="auto"/>
              <w:jc w:val="center"/>
            </w:pPr>
            <w:r w:rsidRPr="00A942DB">
              <w:t>3</w:t>
            </w:r>
          </w:p>
        </w:tc>
        <w:tc>
          <w:tcPr>
            <w:tcW w:w="1418" w:type="dxa"/>
          </w:tcPr>
          <w:p w14:paraId="70EDA04F" w14:textId="3F2D671A" w:rsidR="00B13E0E" w:rsidRPr="00A942DB" w:rsidRDefault="00A942DB" w:rsidP="009E071D">
            <w:pPr>
              <w:spacing w:line="360" w:lineRule="auto"/>
              <w:jc w:val="center"/>
            </w:pPr>
            <w:r w:rsidRPr="00A942DB">
              <w:t>34</w:t>
            </w:r>
          </w:p>
        </w:tc>
        <w:tc>
          <w:tcPr>
            <w:tcW w:w="1184" w:type="dxa"/>
          </w:tcPr>
          <w:p w14:paraId="672BEDC2" w14:textId="77777777" w:rsidR="00B13E0E" w:rsidRPr="00A942DB" w:rsidRDefault="00B13E0E" w:rsidP="009E071D">
            <w:pPr>
              <w:spacing w:line="360" w:lineRule="auto"/>
              <w:jc w:val="center"/>
            </w:pPr>
            <w:r w:rsidRPr="00A942DB">
              <w:t>S</w:t>
            </w:r>
          </w:p>
        </w:tc>
        <w:tc>
          <w:tcPr>
            <w:tcW w:w="942" w:type="dxa"/>
          </w:tcPr>
          <w:p w14:paraId="1B4D1D72" w14:textId="65C9C530" w:rsidR="00B13E0E" w:rsidRPr="00A942DB" w:rsidRDefault="00A942DB" w:rsidP="009E071D">
            <w:pPr>
              <w:spacing w:line="360" w:lineRule="auto"/>
              <w:jc w:val="center"/>
            </w:pPr>
            <w:r w:rsidRPr="00A942DB">
              <w:t>0.5</w:t>
            </w:r>
          </w:p>
        </w:tc>
        <w:tc>
          <w:tcPr>
            <w:tcW w:w="850" w:type="dxa"/>
          </w:tcPr>
          <w:p w14:paraId="786F5C74" w14:textId="167DC7FD" w:rsidR="00B13E0E" w:rsidRPr="00A942DB" w:rsidRDefault="00A942DB" w:rsidP="009E071D">
            <w:pPr>
              <w:spacing w:line="360" w:lineRule="auto"/>
              <w:jc w:val="center"/>
            </w:pPr>
            <w:r w:rsidRPr="00A942DB">
              <w:t>55</w:t>
            </w:r>
          </w:p>
        </w:tc>
      </w:tr>
      <w:tr w:rsidR="00B13E0E" w:rsidRPr="009417F0" w14:paraId="2B5FC22D" w14:textId="77777777" w:rsidTr="001F5F44">
        <w:tc>
          <w:tcPr>
            <w:tcW w:w="704" w:type="dxa"/>
          </w:tcPr>
          <w:p w14:paraId="5E957F8C" w14:textId="77777777" w:rsidR="00B13E0E" w:rsidRPr="00A942DB" w:rsidRDefault="00B13E0E" w:rsidP="009E071D">
            <w:pPr>
              <w:spacing w:line="360" w:lineRule="auto"/>
              <w:jc w:val="center"/>
            </w:pPr>
            <w:r w:rsidRPr="00A942DB">
              <w:t>4</w:t>
            </w:r>
          </w:p>
        </w:tc>
        <w:tc>
          <w:tcPr>
            <w:tcW w:w="1418" w:type="dxa"/>
          </w:tcPr>
          <w:p w14:paraId="284B0184" w14:textId="6D888850" w:rsidR="00B13E0E" w:rsidRPr="00A942DB" w:rsidRDefault="00A942DB" w:rsidP="009E071D">
            <w:pPr>
              <w:spacing w:line="360" w:lineRule="auto"/>
              <w:jc w:val="center"/>
            </w:pPr>
            <w:r w:rsidRPr="00A942DB">
              <w:t>41</w:t>
            </w:r>
          </w:p>
        </w:tc>
        <w:tc>
          <w:tcPr>
            <w:tcW w:w="1184" w:type="dxa"/>
          </w:tcPr>
          <w:p w14:paraId="6085EEC1" w14:textId="77777777" w:rsidR="00B13E0E" w:rsidRPr="00A942DB" w:rsidRDefault="00B13E0E" w:rsidP="009E071D">
            <w:pPr>
              <w:spacing w:line="360" w:lineRule="auto"/>
              <w:jc w:val="center"/>
            </w:pPr>
            <w:r w:rsidRPr="00A942DB">
              <w:t>A</w:t>
            </w:r>
          </w:p>
        </w:tc>
        <w:tc>
          <w:tcPr>
            <w:tcW w:w="942" w:type="dxa"/>
          </w:tcPr>
          <w:p w14:paraId="0D255F19" w14:textId="678F6E5E" w:rsidR="00B13E0E" w:rsidRPr="00A942DB" w:rsidRDefault="00A942DB" w:rsidP="009E071D">
            <w:pPr>
              <w:spacing w:line="360" w:lineRule="auto"/>
              <w:jc w:val="center"/>
            </w:pPr>
            <w:r w:rsidRPr="00A942DB">
              <w:t>0.25</w:t>
            </w:r>
          </w:p>
        </w:tc>
        <w:tc>
          <w:tcPr>
            <w:tcW w:w="850" w:type="dxa"/>
          </w:tcPr>
          <w:p w14:paraId="6DBDF4A8" w14:textId="703FB0A0" w:rsidR="00B13E0E" w:rsidRPr="00A942DB" w:rsidRDefault="00A942DB" w:rsidP="009E071D">
            <w:pPr>
              <w:spacing w:line="360" w:lineRule="auto"/>
              <w:jc w:val="center"/>
            </w:pPr>
            <w:r w:rsidRPr="00A942DB">
              <w:t>55</w:t>
            </w:r>
          </w:p>
        </w:tc>
      </w:tr>
      <w:tr w:rsidR="00B13E0E" w:rsidRPr="009417F0" w14:paraId="33DCDDDF" w14:textId="77777777" w:rsidTr="001F5F44">
        <w:tc>
          <w:tcPr>
            <w:tcW w:w="704" w:type="dxa"/>
          </w:tcPr>
          <w:p w14:paraId="13A8F69E" w14:textId="77777777" w:rsidR="00B13E0E" w:rsidRPr="00A942DB" w:rsidRDefault="00B13E0E" w:rsidP="009E071D">
            <w:pPr>
              <w:spacing w:line="360" w:lineRule="auto"/>
              <w:jc w:val="center"/>
            </w:pPr>
            <w:r w:rsidRPr="00A942DB">
              <w:t>5</w:t>
            </w:r>
          </w:p>
        </w:tc>
        <w:tc>
          <w:tcPr>
            <w:tcW w:w="1418" w:type="dxa"/>
          </w:tcPr>
          <w:p w14:paraId="5409BCB3" w14:textId="240AFBE2" w:rsidR="00B13E0E" w:rsidRPr="00A942DB" w:rsidRDefault="00A942DB" w:rsidP="009E071D">
            <w:pPr>
              <w:spacing w:line="360" w:lineRule="auto"/>
              <w:jc w:val="center"/>
            </w:pPr>
            <w:r w:rsidRPr="00A942DB">
              <w:t>43</w:t>
            </w:r>
          </w:p>
        </w:tc>
        <w:tc>
          <w:tcPr>
            <w:tcW w:w="1184" w:type="dxa"/>
          </w:tcPr>
          <w:p w14:paraId="14990CCD" w14:textId="77777777" w:rsidR="00B13E0E" w:rsidRPr="00A942DB" w:rsidRDefault="00B13E0E" w:rsidP="009E071D">
            <w:pPr>
              <w:spacing w:line="360" w:lineRule="auto"/>
              <w:jc w:val="center"/>
            </w:pPr>
            <w:r w:rsidRPr="00A942DB">
              <w:t>A</w:t>
            </w:r>
          </w:p>
        </w:tc>
        <w:tc>
          <w:tcPr>
            <w:tcW w:w="942" w:type="dxa"/>
          </w:tcPr>
          <w:p w14:paraId="4E8CCBEB" w14:textId="0489FC05" w:rsidR="00B13E0E" w:rsidRPr="00A942DB" w:rsidRDefault="00B13E0E" w:rsidP="009E071D">
            <w:pPr>
              <w:spacing w:line="360" w:lineRule="auto"/>
              <w:jc w:val="center"/>
            </w:pPr>
            <w:r w:rsidRPr="00A942DB">
              <w:t>0.2</w:t>
            </w:r>
            <w:r w:rsidR="00A942DB" w:rsidRPr="00A942DB">
              <w:t>5</w:t>
            </w:r>
          </w:p>
        </w:tc>
        <w:tc>
          <w:tcPr>
            <w:tcW w:w="850" w:type="dxa"/>
          </w:tcPr>
          <w:p w14:paraId="0A77E019" w14:textId="000FDCA5" w:rsidR="00B13E0E" w:rsidRPr="00A942DB" w:rsidRDefault="00A942DB" w:rsidP="009E071D">
            <w:pPr>
              <w:spacing w:line="360" w:lineRule="auto"/>
              <w:jc w:val="center"/>
            </w:pPr>
            <w:r w:rsidRPr="00A942DB">
              <w:t>55</w:t>
            </w:r>
          </w:p>
        </w:tc>
      </w:tr>
      <w:tr w:rsidR="00B13E0E" w:rsidRPr="009417F0" w14:paraId="19001F89" w14:textId="77777777" w:rsidTr="001F5F44">
        <w:tc>
          <w:tcPr>
            <w:tcW w:w="704" w:type="dxa"/>
          </w:tcPr>
          <w:p w14:paraId="3B389618" w14:textId="77777777" w:rsidR="00B13E0E" w:rsidRPr="00A942DB" w:rsidRDefault="00B13E0E" w:rsidP="009E071D">
            <w:pPr>
              <w:spacing w:line="360" w:lineRule="auto"/>
              <w:jc w:val="center"/>
            </w:pPr>
            <w:r w:rsidRPr="00A942DB">
              <w:t>6</w:t>
            </w:r>
          </w:p>
        </w:tc>
        <w:tc>
          <w:tcPr>
            <w:tcW w:w="1418" w:type="dxa"/>
          </w:tcPr>
          <w:p w14:paraId="04E2E7A5" w14:textId="019EDBC5" w:rsidR="00B13E0E" w:rsidRPr="00A942DB" w:rsidRDefault="00A942DB" w:rsidP="009E071D">
            <w:pPr>
              <w:spacing w:line="360" w:lineRule="auto"/>
              <w:jc w:val="center"/>
            </w:pPr>
            <w:r w:rsidRPr="00A942DB">
              <w:t>45</w:t>
            </w:r>
          </w:p>
        </w:tc>
        <w:tc>
          <w:tcPr>
            <w:tcW w:w="1184" w:type="dxa"/>
          </w:tcPr>
          <w:p w14:paraId="0FDD5F04" w14:textId="77777777" w:rsidR="00B13E0E" w:rsidRPr="00A942DB" w:rsidRDefault="00B13E0E" w:rsidP="009E071D">
            <w:pPr>
              <w:spacing w:line="360" w:lineRule="auto"/>
              <w:jc w:val="center"/>
            </w:pPr>
            <w:r w:rsidRPr="00A942DB">
              <w:t>A</w:t>
            </w:r>
          </w:p>
        </w:tc>
        <w:tc>
          <w:tcPr>
            <w:tcW w:w="942" w:type="dxa"/>
          </w:tcPr>
          <w:p w14:paraId="3A92C72A" w14:textId="3C960690" w:rsidR="00B13E0E" w:rsidRPr="00A942DB" w:rsidRDefault="00B13E0E" w:rsidP="009E071D">
            <w:pPr>
              <w:spacing w:line="360" w:lineRule="auto"/>
              <w:jc w:val="center"/>
            </w:pPr>
            <w:r w:rsidRPr="00A942DB">
              <w:t>0.2</w:t>
            </w:r>
            <w:r w:rsidR="00A942DB" w:rsidRPr="00A942DB">
              <w:t>5</w:t>
            </w:r>
          </w:p>
        </w:tc>
        <w:tc>
          <w:tcPr>
            <w:tcW w:w="850" w:type="dxa"/>
          </w:tcPr>
          <w:p w14:paraId="2BEF5E44" w14:textId="047DF619" w:rsidR="00B13E0E" w:rsidRPr="00A942DB" w:rsidRDefault="00A942DB" w:rsidP="009E071D">
            <w:pPr>
              <w:spacing w:line="360" w:lineRule="auto"/>
              <w:jc w:val="center"/>
            </w:pPr>
            <w:r w:rsidRPr="00A942DB">
              <w:t>55</w:t>
            </w:r>
          </w:p>
        </w:tc>
      </w:tr>
      <w:tr w:rsidR="00B13E0E" w:rsidRPr="009417F0" w14:paraId="3B228233" w14:textId="77777777" w:rsidTr="001F5F44">
        <w:tc>
          <w:tcPr>
            <w:tcW w:w="704" w:type="dxa"/>
          </w:tcPr>
          <w:p w14:paraId="6BCB7A5F" w14:textId="357F57BF" w:rsidR="00B13E0E" w:rsidRPr="00A942DB" w:rsidRDefault="00A942DB" w:rsidP="009E071D">
            <w:pPr>
              <w:spacing w:line="360" w:lineRule="auto"/>
              <w:jc w:val="center"/>
            </w:pPr>
            <w:r w:rsidRPr="00A942DB">
              <w:t>7</w:t>
            </w:r>
          </w:p>
        </w:tc>
        <w:tc>
          <w:tcPr>
            <w:tcW w:w="1418" w:type="dxa"/>
          </w:tcPr>
          <w:p w14:paraId="7822886B" w14:textId="2DC26D37" w:rsidR="00B13E0E" w:rsidRPr="00A942DB" w:rsidRDefault="00A942DB" w:rsidP="009E071D">
            <w:pPr>
              <w:spacing w:line="360" w:lineRule="auto"/>
              <w:jc w:val="center"/>
            </w:pPr>
            <w:r w:rsidRPr="00A942DB">
              <w:t>56</w:t>
            </w:r>
          </w:p>
        </w:tc>
        <w:tc>
          <w:tcPr>
            <w:tcW w:w="1184" w:type="dxa"/>
          </w:tcPr>
          <w:p w14:paraId="5FD85F17" w14:textId="77777777" w:rsidR="00B13E0E" w:rsidRPr="00A942DB" w:rsidRDefault="00B13E0E" w:rsidP="009E071D">
            <w:pPr>
              <w:spacing w:line="360" w:lineRule="auto"/>
              <w:jc w:val="center"/>
            </w:pPr>
            <w:r w:rsidRPr="00A942DB">
              <w:t>A</w:t>
            </w:r>
          </w:p>
        </w:tc>
        <w:tc>
          <w:tcPr>
            <w:tcW w:w="942" w:type="dxa"/>
          </w:tcPr>
          <w:p w14:paraId="0AC4D6B1" w14:textId="0CB4DE49" w:rsidR="00B13E0E" w:rsidRPr="00A942DB" w:rsidRDefault="00A942DB" w:rsidP="009E071D">
            <w:pPr>
              <w:spacing w:line="360" w:lineRule="auto"/>
              <w:jc w:val="center"/>
            </w:pPr>
            <w:r w:rsidRPr="00A942DB">
              <w:t>0.5</w:t>
            </w:r>
          </w:p>
        </w:tc>
        <w:tc>
          <w:tcPr>
            <w:tcW w:w="850" w:type="dxa"/>
          </w:tcPr>
          <w:p w14:paraId="3C6CF5E7" w14:textId="53B66D17" w:rsidR="00B13E0E" w:rsidRPr="00A942DB" w:rsidRDefault="00A942DB" w:rsidP="009E071D">
            <w:pPr>
              <w:spacing w:line="360" w:lineRule="auto"/>
              <w:jc w:val="center"/>
            </w:pPr>
            <w:r w:rsidRPr="00A942DB">
              <w:t>55</w:t>
            </w:r>
          </w:p>
        </w:tc>
      </w:tr>
      <w:tr w:rsidR="00B13E0E" w:rsidRPr="009417F0" w14:paraId="5D4F06A7" w14:textId="77777777" w:rsidTr="001F5F44">
        <w:tc>
          <w:tcPr>
            <w:tcW w:w="704" w:type="dxa"/>
          </w:tcPr>
          <w:p w14:paraId="35E9ABDB" w14:textId="5FE98321" w:rsidR="00B13E0E" w:rsidRPr="00A942DB" w:rsidRDefault="00A942DB" w:rsidP="009E071D">
            <w:pPr>
              <w:spacing w:line="360" w:lineRule="auto"/>
              <w:jc w:val="center"/>
            </w:pPr>
            <w:r w:rsidRPr="00A942DB">
              <w:t>8</w:t>
            </w:r>
          </w:p>
        </w:tc>
        <w:tc>
          <w:tcPr>
            <w:tcW w:w="1418" w:type="dxa"/>
          </w:tcPr>
          <w:p w14:paraId="6072B56B" w14:textId="1E0EBF64" w:rsidR="00B13E0E" w:rsidRPr="00A942DB" w:rsidRDefault="00A942DB" w:rsidP="009E071D">
            <w:pPr>
              <w:spacing w:line="360" w:lineRule="auto"/>
              <w:jc w:val="center"/>
            </w:pPr>
            <w:r w:rsidRPr="00A942DB">
              <w:t>70</w:t>
            </w:r>
          </w:p>
        </w:tc>
        <w:tc>
          <w:tcPr>
            <w:tcW w:w="1184" w:type="dxa"/>
          </w:tcPr>
          <w:p w14:paraId="2BA6A0F0" w14:textId="77777777" w:rsidR="00B13E0E" w:rsidRPr="00A942DB" w:rsidRDefault="00B13E0E" w:rsidP="009E071D">
            <w:pPr>
              <w:spacing w:line="360" w:lineRule="auto"/>
              <w:jc w:val="center"/>
            </w:pPr>
            <w:r w:rsidRPr="00A942DB">
              <w:t>S</w:t>
            </w:r>
          </w:p>
        </w:tc>
        <w:tc>
          <w:tcPr>
            <w:tcW w:w="942" w:type="dxa"/>
          </w:tcPr>
          <w:p w14:paraId="3278F393" w14:textId="42094397" w:rsidR="00B13E0E" w:rsidRPr="00A942DB" w:rsidRDefault="00A942DB" w:rsidP="009E071D">
            <w:pPr>
              <w:spacing w:line="360" w:lineRule="auto"/>
              <w:jc w:val="center"/>
            </w:pPr>
            <w:r w:rsidRPr="00A942DB">
              <w:t>0.25</w:t>
            </w:r>
          </w:p>
        </w:tc>
        <w:tc>
          <w:tcPr>
            <w:tcW w:w="850" w:type="dxa"/>
          </w:tcPr>
          <w:p w14:paraId="652526D1" w14:textId="11C571C0" w:rsidR="00B13E0E" w:rsidRPr="00A942DB" w:rsidRDefault="00A942DB" w:rsidP="009E071D">
            <w:pPr>
              <w:spacing w:line="360" w:lineRule="auto"/>
              <w:jc w:val="center"/>
            </w:pPr>
            <w:r w:rsidRPr="00A942DB">
              <w:t>55</w:t>
            </w:r>
          </w:p>
        </w:tc>
      </w:tr>
      <w:tr w:rsidR="00B13E0E" w:rsidRPr="009417F0" w14:paraId="183DC6F5" w14:textId="77777777" w:rsidTr="001F5F44">
        <w:tc>
          <w:tcPr>
            <w:tcW w:w="704" w:type="dxa"/>
          </w:tcPr>
          <w:p w14:paraId="3BBF0FA2" w14:textId="27AC66E7" w:rsidR="00B13E0E" w:rsidRPr="00A942DB" w:rsidRDefault="00A942DB" w:rsidP="009E071D">
            <w:pPr>
              <w:spacing w:line="360" w:lineRule="auto"/>
              <w:jc w:val="center"/>
            </w:pPr>
            <w:r w:rsidRPr="00A942DB">
              <w:t>9</w:t>
            </w:r>
          </w:p>
        </w:tc>
        <w:tc>
          <w:tcPr>
            <w:tcW w:w="1418" w:type="dxa"/>
          </w:tcPr>
          <w:p w14:paraId="2BC780F6" w14:textId="3B74375C" w:rsidR="00B13E0E" w:rsidRPr="00A942DB" w:rsidRDefault="00A942DB" w:rsidP="009E071D">
            <w:pPr>
              <w:spacing w:line="360" w:lineRule="auto"/>
              <w:jc w:val="center"/>
            </w:pPr>
            <w:r w:rsidRPr="00A942DB">
              <w:t>79</w:t>
            </w:r>
          </w:p>
        </w:tc>
        <w:tc>
          <w:tcPr>
            <w:tcW w:w="1184" w:type="dxa"/>
          </w:tcPr>
          <w:p w14:paraId="1FAB1F4E" w14:textId="77777777" w:rsidR="00B13E0E" w:rsidRPr="00A942DB" w:rsidRDefault="00B13E0E" w:rsidP="009E071D">
            <w:pPr>
              <w:spacing w:line="360" w:lineRule="auto"/>
              <w:jc w:val="center"/>
            </w:pPr>
            <w:r w:rsidRPr="00A942DB">
              <w:t>A</w:t>
            </w:r>
          </w:p>
        </w:tc>
        <w:tc>
          <w:tcPr>
            <w:tcW w:w="942" w:type="dxa"/>
          </w:tcPr>
          <w:p w14:paraId="02DCC72F" w14:textId="71338928" w:rsidR="00B13E0E" w:rsidRPr="00A942DB" w:rsidRDefault="00A942DB" w:rsidP="009E071D">
            <w:pPr>
              <w:spacing w:line="360" w:lineRule="auto"/>
              <w:jc w:val="center"/>
            </w:pPr>
            <w:r w:rsidRPr="00A942DB">
              <w:t>1.5</w:t>
            </w:r>
          </w:p>
        </w:tc>
        <w:tc>
          <w:tcPr>
            <w:tcW w:w="850" w:type="dxa"/>
          </w:tcPr>
          <w:p w14:paraId="6AD2135D" w14:textId="13913A4D" w:rsidR="00B13E0E" w:rsidRPr="00A942DB" w:rsidRDefault="00A942DB" w:rsidP="009E071D">
            <w:pPr>
              <w:spacing w:line="360" w:lineRule="auto"/>
              <w:jc w:val="center"/>
            </w:pPr>
            <w:r w:rsidRPr="00A942DB">
              <w:t>55</w:t>
            </w:r>
          </w:p>
        </w:tc>
      </w:tr>
      <w:tr w:rsidR="00B13E0E" w:rsidRPr="009417F0" w14:paraId="0545322E" w14:textId="77777777" w:rsidTr="001F5F44">
        <w:tc>
          <w:tcPr>
            <w:tcW w:w="704" w:type="dxa"/>
          </w:tcPr>
          <w:p w14:paraId="15066C43" w14:textId="4DC26CC9" w:rsidR="00B13E0E" w:rsidRPr="00A942DB" w:rsidRDefault="00A942DB" w:rsidP="009E071D">
            <w:pPr>
              <w:spacing w:line="360" w:lineRule="auto"/>
              <w:jc w:val="center"/>
            </w:pPr>
            <w:r w:rsidRPr="00A942DB">
              <w:t>10</w:t>
            </w:r>
          </w:p>
        </w:tc>
        <w:tc>
          <w:tcPr>
            <w:tcW w:w="1418" w:type="dxa"/>
          </w:tcPr>
          <w:p w14:paraId="32741637" w14:textId="5E7A44F0" w:rsidR="00B13E0E" w:rsidRPr="00A942DB" w:rsidRDefault="00A942DB" w:rsidP="009E071D">
            <w:pPr>
              <w:spacing w:line="360" w:lineRule="auto"/>
              <w:jc w:val="center"/>
            </w:pPr>
            <w:r w:rsidRPr="00A942DB">
              <w:t>85</w:t>
            </w:r>
          </w:p>
        </w:tc>
        <w:tc>
          <w:tcPr>
            <w:tcW w:w="1184" w:type="dxa"/>
          </w:tcPr>
          <w:p w14:paraId="2A850796" w14:textId="77777777" w:rsidR="00B13E0E" w:rsidRPr="00A942DB" w:rsidRDefault="00B13E0E" w:rsidP="009E071D">
            <w:pPr>
              <w:spacing w:line="360" w:lineRule="auto"/>
              <w:jc w:val="center"/>
            </w:pPr>
            <w:r w:rsidRPr="00A942DB">
              <w:t>A</w:t>
            </w:r>
          </w:p>
        </w:tc>
        <w:tc>
          <w:tcPr>
            <w:tcW w:w="942" w:type="dxa"/>
          </w:tcPr>
          <w:p w14:paraId="4C80C388" w14:textId="3AD774B2" w:rsidR="00B13E0E" w:rsidRPr="00A942DB" w:rsidRDefault="00A942DB" w:rsidP="009E071D">
            <w:pPr>
              <w:spacing w:line="360" w:lineRule="auto"/>
              <w:jc w:val="center"/>
            </w:pPr>
            <w:r w:rsidRPr="00A942DB">
              <w:t>1.0</w:t>
            </w:r>
          </w:p>
        </w:tc>
        <w:tc>
          <w:tcPr>
            <w:tcW w:w="850" w:type="dxa"/>
          </w:tcPr>
          <w:p w14:paraId="02DA2189" w14:textId="4E1FA452" w:rsidR="00B13E0E" w:rsidRPr="00A942DB" w:rsidRDefault="00A942DB" w:rsidP="009E071D">
            <w:pPr>
              <w:spacing w:line="360" w:lineRule="auto"/>
              <w:jc w:val="center"/>
            </w:pPr>
            <w:r w:rsidRPr="00A942DB">
              <w:t>55</w:t>
            </w:r>
          </w:p>
        </w:tc>
      </w:tr>
      <w:tr w:rsidR="00B13E0E" w:rsidRPr="009417F0" w14:paraId="36C93EDD" w14:textId="77777777" w:rsidTr="001F5F44">
        <w:tc>
          <w:tcPr>
            <w:tcW w:w="704" w:type="dxa"/>
          </w:tcPr>
          <w:p w14:paraId="0390B1F6" w14:textId="1C0B478A" w:rsidR="00B13E0E" w:rsidRPr="00A942DB" w:rsidRDefault="00A942DB" w:rsidP="009E071D">
            <w:pPr>
              <w:spacing w:line="360" w:lineRule="auto"/>
              <w:jc w:val="center"/>
            </w:pPr>
            <w:r w:rsidRPr="00A942DB">
              <w:t>11</w:t>
            </w:r>
          </w:p>
        </w:tc>
        <w:tc>
          <w:tcPr>
            <w:tcW w:w="1418" w:type="dxa"/>
          </w:tcPr>
          <w:p w14:paraId="6107CD5B" w14:textId="3D9BFEEA" w:rsidR="00B13E0E" w:rsidRPr="00A942DB" w:rsidRDefault="00A942DB" w:rsidP="009E071D">
            <w:pPr>
              <w:spacing w:line="360" w:lineRule="auto"/>
              <w:jc w:val="center"/>
            </w:pPr>
            <w:r w:rsidRPr="00A942DB">
              <w:t>111</w:t>
            </w:r>
          </w:p>
        </w:tc>
        <w:tc>
          <w:tcPr>
            <w:tcW w:w="1184" w:type="dxa"/>
          </w:tcPr>
          <w:p w14:paraId="035E1599" w14:textId="77777777" w:rsidR="00B13E0E" w:rsidRPr="00A942DB" w:rsidRDefault="00B13E0E" w:rsidP="009E071D">
            <w:pPr>
              <w:spacing w:line="360" w:lineRule="auto"/>
              <w:jc w:val="center"/>
            </w:pPr>
            <w:r w:rsidRPr="00A942DB">
              <w:t>S</w:t>
            </w:r>
          </w:p>
        </w:tc>
        <w:tc>
          <w:tcPr>
            <w:tcW w:w="942" w:type="dxa"/>
          </w:tcPr>
          <w:p w14:paraId="4B6F3385" w14:textId="57653625" w:rsidR="00B13E0E" w:rsidRPr="00A942DB" w:rsidRDefault="00A942DB" w:rsidP="009E071D">
            <w:pPr>
              <w:spacing w:line="360" w:lineRule="auto"/>
              <w:jc w:val="center"/>
            </w:pPr>
            <w:r w:rsidRPr="00A942DB">
              <w:t>0.25</w:t>
            </w:r>
          </w:p>
        </w:tc>
        <w:tc>
          <w:tcPr>
            <w:tcW w:w="850" w:type="dxa"/>
          </w:tcPr>
          <w:p w14:paraId="04186437" w14:textId="0CA23489" w:rsidR="00B13E0E" w:rsidRPr="00A942DB" w:rsidRDefault="00A942DB" w:rsidP="009E071D">
            <w:pPr>
              <w:spacing w:line="360" w:lineRule="auto"/>
              <w:jc w:val="center"/>
            </w:pPr>
            <w:r w:rsidRPr="00A942DB">
              <w:t>55</w:t>
            </w:r>
          </w:p>
        </w:tc>
      </w:tr>
      <w:tr w:rsidR="00B13E0E" w:rsidRPr="009417F0" w14:paraId="1090D33B" w14:textId="77777777" w:rsidTr="001F5F44">
        <w:tc>
          <w:tcPr>
            <w:tcW w:w="704" w:type="dxa"/>
          </w:tcPr>
          <w:p w14:paraId="617D768E" w14:textId="52E2E013" w:rsidR="00B13E0E" w:rsidRPr="00A942DB" w:rsidRDefault="00A942DB" w:rsidP="009E071D">
            <w:pPr>
              <w:spacing w:line="360" w:lineRule="auto"/>
              <w:jc w:val="center"/>
            </w:pPr>
            <w:r w:rsidRPr="00A942DB">
              <w:t>12</w:t>
            </w:r>
          </w:p>
        </w:tc>
        <w:tc>
          <w:tcPr>
            <w:tcW w:w="1418" w:type="dxa"/>
          </w:tcPr>
          <w:p w14:paraId="253A105C" w14:textId="4EDB302E" w:rsidR="00B13E0E" w:rsidRPr="00A942DB" w:rsidRDefault="00A942DB" w:rsidP="009E071D">
            <w:pPr>
              <w:spacing w:line="360" w:lineRule="auto"/>
              <w:jc w:val="center"/>
            </w:pPr>
            <w:r w:rsidRPr="00A942DB">
              <w:t>116</w:t>
            </w:r>
          </w:p>
        </w:tc>
        <w:tc>
          <w:tcPr>
            <w:tcW w:w="1184" w:type="dxa"/>
          </w:tcPr>
          <w:p w14:paraId="3F926D0B" w14:textId="77777777" w:rsidR="00B13E0E" w:rsidRPr="00A942DB" w:rsidRDefault="00B13E0E" w:rsidP="009E071D">
            <w:pPr>
              <w:spacing w:line="360" w:lineRule="auto"/>
              <w:jc w:val="center"/>
            </w:pPr>
            <w:r w:rsidRPr="00A942DB">
              <w:t>S</w:t>
            </w:r>
          </w:p>
        </w:tc>
        <w:tc>
          <w:tcPr>
            <w:tcW w:w="942" w:type="dxa"/>
          </w:tcPr>
          <w:p w14:paraId="6F6E0DBE" w14:textId="7481EC6D" w:rsidR="00B13E0E" w:rsidRPr="00A942DB" w:rsidRDefault="00A942DB" w:rsidP="009E071D">
            <w:pPr>
              <w:spacing w:line="360" w:lineRule="auto"/>
              <w:jc w:val="center"/>
            </w:pPr>
            <w:r w:rsidRPr="00A942DB">
              <w:t>0.25</w:t>
            </w:r>
          </w:p>
        </w:tc>
        <w:tc>
          <w:tcPr>
            <w:tcW w:w="850" w:type="dxa"/>
          </w:tcPr>
          <w:p w14:paraId="6C122E8D" w14:textId="603A62F7" w:rsidR="00B13E0E" w:rsidRPr="00A942DB" w:rsidRDefault="00A942DB" w:rsidP="009E071D">
            <w:pPr>
              <w:spacing w:line="360" w:lineRule="auto"/>
              <w:jc w:val="center"/>
            </w:pPr>
            <w:r w:rsidRPr="00A942DB">
              <w:t>55</w:t>
            </w:r>
          </w:p>
        </w:tc>
      </w:tr>
      <w:tr w:rsidR="00B13E0E" w:rsidRPr="009417F0" w14:paraId="1FF05472" w14:textId="77777777" w:rsidTr="001F5F44">
        <w:tc>
          <w:tcPr>
            <w:tcW w:w="704" w:type="dxa"/>
          </w:tcPr>
          <w:p w14:paraId="1F044997" w14:textId="7E863777" w:rsidR="00B13E0E" w:rsidRPr="00A942DB" w:rsidRDefault="00A942DB" w:rsidP="009E071D">
            <w:pPr>
              <w:spacing w:line="360" w:lineRule="auto"/>
              <w:jc w:val="center"/>
            </w:pPr>
            <w:r w:rsidRPr="00A942DB">
              <w:t>13</w:t>
            </w:r>
          </w:p>
        </w:tc>
        <w:tc>
          <w:tcPr>
            <w:tcW w:w="1418" w:type="dxa"/>
          </w:tcPr>
          <w:p w14:paraId="0287E074" w14:textId="307A82CB" w:rsidR="00B13E0E" w:rsidRPr="00A942DB" w:rsidRDefault="00A942DB" w:rsidP="009E071D">
            <w:pPr>
              <w:spacing w:line="360" w:lineRule="auto"/>
              <w:jc w:val="center"/>
            </w:pPr>
            <w:r w:rsidRPr="00A942DB">
              <w:t>118</w:t>
            </w:r>
          </w:p>
        </w:tc>
        <w:tc>
          <w:tcPr>
            <w:tcW w:w="1184" w:type="dxa"/>
          </w:tcPr>
          <w:p w14:paraId="31BA7744" w14:textId="77777777" w:rsidR="00B13E0E" w:rsidRPr="00A942DB" w:rsidRDefault="00B13E0E" w:rsidP="009E071D">
            <w:pPr>
              <w:spacing w:line="360" w:lineRule="auto"/>
              <w:jc w:val="center"/>
            </w:pPr>
            <w:r w:rsidRPr="00A942DB">
              <w:t>S</w:t>
            </w:r>
          </w:p>
        </w:tc>
        <w:tc>
          <w:tcPr>
            <w:tcW w:w="942" w:type="dxa"/>
          </w:tcPr>
          <w:p w14:paraId="597E3D3A" w14:textId="19D9A6CA" w:rsidR="00B13E0E" w:rsidRPr="00A942DB" w:rsidRDefault="00A942DB" w:rsidP="009E071D">
            <w:pPr>
              <w:spacing w:line="360" w:lineRule="auto"/>
              <w:jc w:val="center"/>
            </w:pPr>
            <w:r w:rsidRPr="00A942DB">
              <w:t>2.5</w:t>
            </w:r>
          </w:p>
        </w:tc>
        <w:tc>
          <w:tcPr>
            <w:tcW w:w="850" w:type="dxa"/>
          </w:tcPr>
          <w:p w14:paraId="5AFFBC86" w14:textId="55EC31F2" w:rsidR="00B13E0E" w:rsidRPr="00A942DB" w:rsidRDefault="00A942DB" w:rsidP="009E071D">
            <w:pPr>
              <w:spacing w:line="360" w:lineRule="auto"/>
              <w:jc w:val="center"/>
            </w:pPr>
            <w:r w:rsidRPr="00A942DB">
              <w:t>5</w:t>
            </w:r>
            <w:r w:rsidR="00B13E0E" w:rsidRPr="00A942DB">
              <w:t>5</w:t>
            </w:r>
          </w:p>
        </w:tc>
      </w:tr>
      <w:tr w:rsidR="00B13E0E" w:rsidRPr="009417F0" w14:paraId="36F984AD" w14:textId="77777777" w:rsidTr="001F5F44">
        <w:tc>
          <w:tcPr>
            <w:tcW w:w="704" w:type="dxa"/>
          </w:tcPr>
          <w:p w14:paraId="61E4653D" w14:textId="1B23DD0B" w:rsidR="00B13E0E" w:rsidRPr="00A942DB" w:rsidRDefault="00A942DB" w:rsidP="009E071D">
            <w:pPr>
              <w:spacing w:line="360" w:lineRule="auto"/>
              <w:jc w:val="center"/>
            </w:pPr>
            <w:r w:rsidRPr="00A942DB">
              <w:t>14</w:t>
            </w:r>
          </w:p>
        </w:tc>
        <w:tc>
          <w:tcPr>
            <w:tcW w:w="1418" w:type="dxa"/>
          </w:tcPr>
          <w:p w14:paraId="120CCE79" w14:textId="30ADB867" w:rsidR="00B13E0E" w:rsidRPr="00A942DB" w:rsidRDefault="00A942DB" w:rsidP="009E071D">
            <w:pPr>
              <w:spacing w:line="360" w:lineRule="auto"/>
              <w:jc w:val="center"/>
            </w:pPr>
            <w:r w:rsidRPr="00A942DB">
              <w:t>124</w:t>
            </w:r>
          </w:p>
        </w:tc>
        <w:tc>
          <w:tcPr>
            <w:tcW w:w="1184" w:type="dxa"/>
          </w:tcPr>
          <w:p w14:paraId="1059AE5C" w14:textId="77777777" w:rsidR="00B13E0E" w:rsidRPr="00A942DB" w:rsidRDefault="00B13E0E" w:rsidP="009E071D">
            <w:pPr>
              <w:spacing w:line="360" w:lineRule="auto"/>
              <w:jc w:val="center"/>
            </w:pPr>
            <w:r w:rsidRPr="00A942DB">
              <w:t>S</w:t>
            </w:r>
          </w:p>
        </w:tc>
        <w:tc>
          <w:tcPr>
            <w:tcW w:w="942" w:type="dxa"/>
          </w:tcPr>
          <w:p w14:paraId="5B82ADF3" w14:textId="77777777" w:rsidR="00B13E0E" w:rsidRPr="00A942DB" w:rsidRDefault="00B13E0E" w:rsidP="009E071D">
            <w:pPr>
              <w:spacing w:line="360" w:lineRule="auto"/>
              <w:jc w:val="center"/>
            </w:pPr>
            <w:r w:rsidRPr="00A942DB">
              <w:t>0.5</w:t>
            </w:r>
          </w:p>
        </w:tc>
        <w:tc>
          <w:tcPr>
            <w:tcW w:w="850" w:type="dxa"/>
          </w:tcPr>
          <w:p w14:paraId="3F583BC3" w14:textId="6F0A50DF" w:rsidR="00B13E0E" w:rsidRPr="00A942DB" w:rsidRDefault="00A942DB" w:rsidP="009E071D">
            <w:pPr>
              <w:spacing w:line="360" w:lineRule="auto"/>
              <w:jc w:val="center"/>
            </w:pPr>
            <w:r w:rsidRPr="00A942DB">
              <w:t>55</w:t>
            </w:r>
          </w:p>
        </w:tc>
      </w:tr>
    </w:tbl>
    <w:p w14:paraId="2503FAD9" w14:textId="4ECF3B0B" w:rsidR="00901D2C" w:rsidRDefault="00901D2C">
      <w:r>
        <w:br w:type="page"/>
      </w:r>
    </w:p>
    <w:p w14:paraId="4283CFB6" w14:textId="5C02548A" w:rsidR="00901D2C" w:rsidRDefault="00901D2C" w:rsidP="004713C5">
      <w:pPr>
        <w:pStyle w:val="Heading1"/>
        <w:spacing w:line="360" w:lineRule="auto"/>
      </w:pPr>
      <w:r>
        <w:lastRenderedPageBreak/>
        <w:t>Figures</w:t>
      </w:r>
    </w:p>
    <w:p w14:paraId="277A32ED" w14:textId="03ECDDE8" w:rsidR="00901D2C" w:rsidRDefault="008D7BAA" w:rsidP="004713C5">
      <w:pPr>
        <w:spacing w:line="360" w:lineRule="auto"/>
        <w:jc w:val="both"/>
      </w:pPr>
      <w:r>
        <w:rPr>
          <w:noProof/>
          <w:lang w:eastAsia="en-GB"/>
        </w:rPr>
        <w:drawing>
          <wp:inline distT="0" distB="0" distL="0" distR="0" wp14:anchorId="3109BCC9" wp14:editId="7BC829BD">
            <wp:extent cx="5040000" cy="596880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0000" cy="5968800"/>
                    </a:xfrm>
                    <a:prstGeom prst="rect">
                      <a:avLst/>
                    </a:prstGeom>
                  </pic:spPr>
                </pic:pic>
              </a:graphicData>
            </a:graphic>
          </wp:inline>
        </w:drawing>
      </w:r>
    </w:p>
    <w:p w14:paraId="68A5D827" w14:textId="4BE76F09" w:rsidR="00901D2C" w:rsidRDefault="00901D2C" w:rsidP="00F35AA4">
      <w:pPr>
        <w:spacing w:line="360" w:lineRule="auto"/>
      </w:pPr>
      <w:r>
        <w:t>Figure 1. A topographic structural map of northern England and southern Sco</w:t>
      </w:r>
      <w:r w:rsidR="008E2B24">
        <w:t>tland (British Geological Survey,</w:t>
      </w:r>
      <w:r>
        <w:t xml:space="preserve"> 2008) superimposed with a deep structural map of northern England (Chadwick et al., 1995) and a buried granite thickness map based on the interpretations of gravity and magnetic anomaly data (</w:t>
      </w:r>
      <w:proofErr w:type="spellStart"/>
      <w:r>
        <w:t>Kimbell</w:t>
      </w:r>
      <w:proofErr w:type="spellEnd"/>
      <w:r>
        <w:t xml:space="preserve"> et al., 2006). A-A’ and B-B’ represent the locations of the cross-sections presented in figure 9.</w:t>
      </w:r>
      <w:r w:rsidR="00AC059B">
        <w:br w:type="page"/>
      </w:r>
    </w:p>
    <w:p w14:paraId="1B9E6000" w14:textId="158EB985" w:rsidR="00901D2C" w:rsidRDefault="008D7BAA" w:rsidP="004713C5">
      <w:pPr>
        <w:spacing w:line="360" w:lineRule="auto"/>
      </w:pPr>
      <w:r>
        <w:rPr>
          <w:noProof/>
          <w:lang w:eastAsia="en-GB"/>
        </w:rPr>
        <w:lastRenderedPageBreak/>
        <w:drawing>
          <wp:inline distT="0" distB="0" distL="0" distR="0" wp14:anchorId="1F6FF1FE" wp14:editId="2C5D21B3">
            <wp:extent cx="3243072" cy="32430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3072" cy="3243072"/>
                    </a:xfrm>
                    <a:prstGeom prst="rect">
                      <a:avLst/>
                    </a:prstGeom>
                  </pic:spPr>
                </pic:pic>
              </a:graphicData>
            </a:graphic>
          </wp:inline>
        </w:drawing>
      </w:r>
    </w:p>
    <w:p w14:paraId="0CF7C776" w14:textId="7FE9F0F5" w:rsidR="00901D2C" w:rsidRDefault="00901D2C" w:rsidP="004713C5">
      <w:pPr>
        <w:spacing w:line="360" w:lineRule="auto"/>
      </w:pPr>
      <w:r>
        <w:t xml:space="preserve">Figure 2. Schematic cross-sections through extensional basins within a) non-granitic crust and b) entirely granitic crust. Fully compensated local isostasy is assumed. In other words </w:t>
      </w:r>
      <m:oMath>
        <m:sSub>
          <m:sSubPr>
            <m:ctrlPr>
              <w:rPr>
                <w:rFonts w:ascii="Cambria Math" w:hAnsi="Cambria Math"/>
                <w:i/>
              </w:rPr>
            </m:ctrlPr>
          </m:sSubPr>
          <m:e>
            <m:r>
              <w:rPr>
                <w:rFonts w:ascii="Cambria Math" w:hAnsi="Cambria Math"/>
              </w:rPr>
              <m:t>C</m:t>
            </m:r>
          </m:e>
          <m:sub>
            <m:r>
              <w:rPr>
                <w:rFonts w:ascii="Cambria Math" w:hAnsi="Cambria Math"/>
              </w:rPr>
              <m:t>0</m:t>
            </m:r>
          </m:sub>
        </m:sSub>
        <m:r>
          <w:rPr>
            <w:rFonts w:ascii="Cambria Math" w:hAnsi="Cambria Math"/>
          </w:rPr>
          <m:t>×</m:t>
        </m:r>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r>
          <w:rPr>
            <w:rFonts w:ascii="Cambria Math" w:eastAsiaTheme="minorEastAsia" w:hAnsi="Cambria Math"/>
            <w:vertAlign w:val="subscript"/>
          </w:rPr>
          <m:t>=</m:t>
        </m:r>
        <m:sSub>
          <m:sSubPr>
            <m:ctrlPr>
              <w:rPr>
                <w:rFonts w:ascii="Cambria Math" w:eastAsiaTheme="minorEastAsia" w:hAnsi="Cambria Math"/>
                <w:i/>
                <w:vertAlign w:val="subscript"/>
              </w:rPr>
            </m:ctrlPr>
          </m:sSubPr>
          <m:e>
            <m:r>
              <w:rPr>
                <w:rFonts w:ascii="Cambria Math" w:eastAsiaTheme="minorEastAsia" w:hAnsi="Cambria Math"/>
                <w:vertAlign w:val="subscript"/>
              </w:rPr>
              <m:t>h</m:t>
            </m:r>
          </m:e>
          <m:sub>
            <m:r>
              <w:rPr>
                <w:rFonts w:ascii="Cambria Math" w:eastAsiaTheme="minorEastAsia" w:hAnsi="Cambria Math"/>
                <w:vertAlign w:val="subscript"/>
              </w:rPr>
              <m:t>m</m:t>
            </m:r>
          </m:sub>
        </m:sSub>
        <m:r>
          <w:rPr>
            <w:rFonts w:ascii="Cambria Math" w:eastAsiaTheme="minorEastAsia" w:hAnsi="Cambria Math"/>
            <w:vertAlign w:val="subscript"/>
          </w:rPr>
          <m:t>×</m:t>
        </m:r>
        <m:sSub>
          <m:sSubPr>
            <m:ctrlPr>
              <w:rPr>
                <w:rFonts w:ascii="Cambria Math" w:eastAsiaTheme="minorEastAsia" w:hAnsi="Cambria Math"/>
                <w:i/>
                <w:vertAlign w:val="subscript"/>
              </w:rPr>
            </m:ctrlPr>
          </m:sSubPr>
          <m:e>
            <m:r>
              <w:rPr>
                <w:rFonts w:ascii="Cambria Math" w:hAnsi="Cambria Math" w:cstheme="minorHAnsi"/>
              </w:rPr>
              <m:t>ρ</m:t>
            </m:r>
          </m:e>
          <m:sub>
            <m:r>
              <w:rPr>
                <w:rFonts w:ascii="Cambria Math" w:eastAsiaTheme="minorEastAsia" w:hAnsi="Cambria Math"/>
                <w:vertAlign w:val="subscript"/>
              </w:rPr>
              <m:t>m</m:t>
            </m:r>
          </m:sub>
        </m:sSub>
        <m:r>
          <w:rPr>
            <w:rFonts w:ascii="Cambria Math" w:eastAsiaTheme="minorEastAsia" w:hAnsi="Cambria Math"/>
            <w:vertAlign w:val="subscript"/>
          </w:rPr>
          <m:t>+</m:t>
        </m:r>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rPr>
          <w:rFonts w:eastAsiaTheme="minorEastAsia"/>
          <w:i/>
        </w:rPr>
        <w:t>.</w:t>
      </w:r>
      <w:r>
        <w:rPr>
          <w:i/>
        </w:rP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m:t>
            </m:r>
          </m:sub>
        </m:sSub>
      </m:oMath>
      <w:r w:rsidR="00E83055">
        <w:t xml:space="preserve"> = 3300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t xml:space="preserve"> = 2800 k</w:t>
      </w:r>
      <w:r w:rsidR="00E83055">
        <w:t xml:space="preserve">g </w:t>
      </w:r>
      <w:r>
        <w:t>m</w:t>
      </w:r>
      <w:r>
        <w:rPr>
          <w:vertAlign w:val="superscript"/>
        </w:rPr>
        <w:t>-3</w:t>
      </w:r>
      <w:r>
        <w:t>,</w:t>
      </w:r>
      <w:r>
        <w:rPr>
          <w:i/>
        </w:rP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sidR="00E83055">
        <w:t xml:space="preserve"> = 2630 kg </w:t>
      </w:r>
      <w:r>
        <w:t>m</w:t>
      </w:r>
      <w:r>
        <w:rPr>
          <w:vertAlign w:val="superscript"/>
        </w:rPr>
        <w:t>-3</w:t>
      </w:r>
      <w:r>
        <w:t xml:space="preserve">. </w:t>
      </w:r>
      <w:r>
        <w:br w:type="page"/>
      </w:r>
    </w:p>
    <w:p w14:paraId="18ABBB22" w14:textId="17296FCA" w:rsidR="00901D2C" w:rsidRDefault="00047A32" w:rsidP="004713C5">
      <w:pPr>
        <w:spacing w:line="360" w:lineRule="auto"/>
      </w:pPr>
      <w:r>
        <w:rPr>
          <w:noProof/>
          <w:lang w:eastAsia="en-GB"/>
        </w:rPr>
        <w:lastRenderedPageBreak/>
        <w:drawing>
          <wp:inline distT="0" distB="0" distL="0" distR="0" wp14:anchorId="2BB24A5D" wp14:editId="55E49E2F">
            <wp:extent cx="5040000" cy="2952000"/>
            <wp:effectExtent l="0" t="0" r="825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40000" cy="2952000"/>
                    </a:xfrm>
                    <a:prstGeom prst="rect">
                      <a:avLst/>
                    </a:prstGeom>
                  </pic:spPr>
                </pic:pic>
              </a:graphicData>
            </a:graphic>
          </wp:inline>
        </w:drawing>
      </w:r>
    </w:p>
    <w:p w14:paraId="42DDBADA" w14:textId="531D7F61" w:rsidR="00901D2C" w:rsidRDefault="00901D2C" w:rsidP="004713C5">
      <w:pPr>
        <w:spacing w:line="360" w:lineRule="auto"/>
      </w:pPr>
      <w:r>
        <w:t>Figure 3. Schematic illustration indicating how the influence of a density contrast on basement relief reduces with inc</w:t>
      </w:r>
      <w:r w:rsidR="004B0070">
        <w:t>reased crustal thinning. The pink</w:t>
      </w:r>
      <w:r>
        <w:t xml:space="preserve"> and green blocks represent granitic and non-granitic crust, respectively. The addition of sediment below base level, represented by yellow shading, exaggerates basement relief (also see Fig. 4). Fully compensated local isostasy is assumed. T</w:t>
      </w:r>
      <w:r>
        <w:rPr>
          <w:rFonts w:eastAsiaTheme="minorEastAsia"/>
        </w:rPr>
        <w:t>o better illustrate the effects of a granitic basement, the density contrast between granite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Pr>
          <w:rFonts w:eastAsiaTheme="minorEastAsia"/>
        </w:rPr>
        <w:t>) and ‘standard’ crustal rock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rPr>
          <w:rFonts w:eastAsiaTheme="minorEastAsia"/>
        </w:rPr>
        <w:t xml:space="preserve">) is exaggerated such that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rsidR="00E83055">
        <w:t xml:space="preserve"> = 2800 kg </w:t>
      </w:r>
      <w:r>
        <w:t>m</w:t>
      </w:r>
      <w:r>
        <w:rPr>
          <w:vertAlign w:val="superscript"/>
        </w:rPr>
        <w:t>-3</w:t>
      </w:r>
      <w:r>
        <w:rPr>
          <w:rFonts w:eastAsiaTheme="minorEastAsia"/>
        </w:rPr>
        <w:t xml:space="preserve"> and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sidR="00E83055">
        <w:rPr>
          <w:rFonts w:eastAsiaTheme="minorEastAsia"/>
        </w:rPr>
        <w:t xml:space="preserve"> = 2000 kg </w:t>
      </w:r>
      <w:r>
        <w:rPr>
          <w:rFonts w:eastAsiaTheme="minorEastAsia"/>
        </w:rPr>
        <w:t>m</w:t>
      </w:r>
      <w:r>
        <w:rPr>
          <w:rFonts w:eastAsiaTheme="minorEastAsia"/>
          <w:vertAlign w:val="superscript"/>
        </w:rPr>
        <w:t>-3</w:t>
      </w:r>
      <w:r>
        <w:rPr>
          <w:rFonts w:eastAsiaTheme="minorEastAsia"/>
        </w:rP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m:t>
            </m:r>
          </m:sub>
        </m:sSub>
      </m:oMath>
      <w:r w:rsidR="00E83055">
        <w:t xml:space="preserve"> = 3300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i</m:t>
            </m:r>
          </m:sub>
        </m:sSub>
      </m:oMath>
      <w:r>
        <w:rPr>
          <w:rFonts w:eastAsiaTheme="minorEastAsia"/>
        </w:rPr>
        <w:t xml:space="preserve"> = 2500 k</w:t>
      </w:r>
      <w:r w:rsidR="00E83055">
        <w:t xml:space="preserve">g </w:t>
      </w:r>
      <w:r>
        <w:t>m</w:t>
      </w:r>
      <w:r>
        <w:rPr>
          <w:vertAlign w:val="superscript"/>
        </w:rPr>
        <w:t>-3</w:t>
      </w:r>
      <w:r>
        <w:t>.</w:t>
      </w:r>
      <w:r>
        <w:br w:type="page"/>
      </w:r>
    </w:p>
    <w:p w14:paraId="4F5603A1" w14:textId="77777777" w:rsidR="00901D2C" w:rsidRDefault="00901D2C" w:rsidP="004713C5">
      <w:pPr>
        <w:spacing w:line="360" w:lineRule="auto"/>
      </w:pPr>
    </w:p>
    <w:p w14:paraId="31D60770" w14:textId="040CE336" w:rsidR="00901D2C" w:rsidRDefault="00047A32" w:rsidP="004713C5">
      <w:pPr>
        <w:spacing w:line="360" w:lineRule="auto"/>
      </w:pPr>
      <w:r>
        <w:rPr>
          <w:noProof/>
          <w:lang w:eastAsia="en-GB"/>
        </w:rPr>
        <w:drawing>
          <wp:inline distT="0" distB="0" distL="0" distR="0" wp14:anchorId="7D754456" wp14:editId="67DAC754">
            <wp:extent cx="3249168" cy="2508504"/>
            <wp:effectExtent l="0" t="0" r="889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9168" cy="2508504"/>
                    </a:xfrm>
                    <a:prstGeom prst="rect">
                      <a:avLst/>
                    </a:prstGeom>
                  </pic:spPr>
                </pic:pic>
              </a:graphicData>
            </a:graphic>
          </wp:inline>
        </w:drawing>
      </w:r>
    </w:p>
    <w:p w14:paraId="37109243" w14:textId="556F6970" w:rsidR="00901D2C" w:rsidRDefault="00901D2C" w:rsidP="004713C5">
      <w:pPr>
        <w:spacing w:line="360" w:lineRule="auto"/>
      </w:pPr>
      <w:r>
        <w:t xml:space="preserve">Figure 4. The relationship between basement relief across partially granitic and non-granitic crust (see Fig. 2) and </w:t>
      </w:r>
      <w:r w:rsidR="00E83055">
        <w:t>extension factor (</w:t>
      </w:r>
      <m:oMath>
        <m:r>
          <w:rPr>
            <w:rFonts w:ascii="Cambria Math" w:hAnsi="Cambria Math"/>
          </w:rPr>
          <m:t>β</m:t>
        </m:r>
      </m:oMath>
      <w:r w:rsidR="00E83055">
        <w:t>)</w:t>
      </w:r>
      <w:r>
        <w:t xml:space="preserve">. The influence of a density contrast on basement relief reduces with increased extension. However, basin infill exaggerates relief. </w:t>
      </w:r>
      <m:oMath>
        <m:sSub>
          <m:sSubPr>
            <m:ctrlPr>
              <w:rPr>
                <w:rFonts w:ascii="Cambria Math" w:eastAsiaTheme="minorEastAsia" w:hAnsi="Cambria Math"/>
                <w:i/>
              </w:rPr>
            </m:ctrlPr>
          </m:sSubPr>
          <m:e>
            <m:r>
              <w:rPr>
                <w:rFonts w:ascii="Cambria Math" w:eastAsiaTheme="minorEastAsia" w:hAnsi="Cambria Math"/>
              </w:rPr>
              <m:t>GR</m:t>
            </m:r>
          </m:e>
          <m:sub>
            <m:r>
              <w:rPr>
                <w:rFonts w:ascii="Cambria Math" w:eastAsiaTheme="minorEastAsia" w:hAnsi="Cambria Math"/>
              </w:rPr>
              <m:t>0</m:t>
            </m:r>
          </m:sub>
        </m:sSub>
      </m:oMath>
      <w:r>
        <w:rPr>
          <w:rFonts w:eastAsiaTheme="minorEastAsia"/>
        </w:rPr>
        <w:t xml:space="preserve"> = 5 km,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 35 km,</w:t>
      </w:r>
      <w:r>
        <w:t xml:space="preserve"> </w:t>
      </w:r>
      <m:oMath>
        <m:r>
          <w:rPr>
            <w:rFonts w:ascii="Cambria Math" w:eastAsiaTheme="minorEastAsia" w:hAnsi="Cambria Math"/>
          </w:rPr>
          <m:t xml:space="preserve"> </m:t>
        </m:r>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m:t>
            </m:r>
          </m:sub>
        </m:sSub>
      </m:oMath>
      <w:r w:rsidR="00E83055">
        <w:t xml:space="preserve"> = 3300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rsidR="00E83055">
        <w:t xml:space="preserve"> = 2800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sidR="00E83055">
        <w:t xml:space="preserve"> = 2630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i</m:t>
            </m:r>
          </m:sub>
        </m:sSub>
      </m:oMath>
      <w:r>
        <w:rPr>
          <w:rFonts w:eastAsiaTheme="minorEastAsia"/>
        </w:rPr>
        <w:t xml:space="preserve"> = 2500 k</w:t>
      </w:r>
      <w:r>
        <w:t>g</w:t>
      </w:r>
      <w:r w:rsidR="00E83055">
        <w:t xml:space="preserve"> </w:t>
      </w:r>
      <w:r>
        <w:t>m</w:t>
      </w:r>
      <w:r>
        <w:rPr>
          <w:vertAlign w:val="superscript"/>
        </w:rPr>
        <w:t>-3</w:t>
      </w:r>
      <w:r>
        <w:t>.</w:t>
      </w:r>
      <w:r>
        <w:br w:type="page"/>
      </w:r>
    </w:p>
    <w:p w14:paraId="11C7D78E" w14:textId="74D3341E" w:rsidR="00901D2C" w:rsidRDefault="00452C64" w:rsidP="004713C5">
      <w:pPr>
        <w:spacing w:line="360" w:lineRule="auto"/>
      </w:pPr>
      <w:r>
        <w:rPr>
          <w:noProof/>
          <w:lang w:eastAsia="en-GB"/>
        </w:rPr>
        <w:lastRenderedPageBreak/>
        <w:drawing>
          <wp:inline distT="0" distB="0" distL="0" distR="0" wp14:anchorId="658349FF" wp14:editId="6540BA95">
            <wp:extent cx="3240000" cy="347760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0000" cy="3477600"/>
                    </a:xfrm>
                    <a:prstGeom prst="rect">
                      <a:avLst/>
                    </a:prstGeom>
                  </pic:spPr>
                </pic:pic>
              </a:graphicData>
            </a:graphic>
          </wp:inline>
        </w:drawing>
      </w:r>
    </w:p>
    <w:p w14:paraId="69E79A02" w14:textId="3CAA77B9" w:rsidR="00901D2C" w:rsidRDefault="00901D2C" w:rsidP="004713C5">
      <w:pPr>
        <w:spacing w:line="360" w:lineRule="auto"/>
      </w:pPr>
      <w:r>
        <w:t xml:space="preserve">Figure 5. Schematic illustration indicating the influence of pre-tectonic denudation of </w:t>
      </w:r>
      <w:proofErr w:type="spellStart"/>
      <w:r>
        <w:t>isostatically</w:t>
      </w:r>
      <w:proofErr w:type="spellEnd"/>
      <w:r>
        <w:t xml:space="preserve"> compensated lithosphere on the basement topography of a) un-extended and b) extended lithosphere. Fully compensated local isostasy is assumed.</w:t>
      </w:r>
      <w:r>
        <w:br w:type="page"/>
      </w:r>
    </w:p>
    <w:p w14:paraId="750C3543" w14:textId="1CBDCBFA" w:rsidR="00901D2C" w:rsidRDefault="0089799D" w:rsidP="004713C5">
      <w:pPr>
        <w:spacing w:line="360" w:lineRule="auto"/>
        <w:jc w:val="both"/>
      </w:pPr>
      <w:r>
        <w:rPr>
          <w:noProof/>
          <w:lang w:eastAsia="en-GB"/>
        </w:rPr>
        <w:lastRenderedPageBreak/>
        <w:drawing>
          <wp:inline distT="0" distB="0" distL="0" distR="0" wp14:anchorId="384703F9" wp14:editId="731BA52E">
            <wp:extent cx="5731510" cy="28581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58135"/>
                    </a:xfrm>
                    <a:prstGeom prst="rect">
                      <a:avLst/>
                    </a:prstGeom>
                  </pic:spPr>
                </pic:pic>
              </a:graphicData>
            </a:graphic>
          </wp:inline>
        </w:drawing>
      </w:r>
    </w:p>
    <w:p w14:paraId="4EFE4FEB" w14:textId="2872AA4A" w:rsidR="00901D2C" w:rsidRDefault="00901D2C" w:rsidP="004713C5">
      <w:pPr>
        <w:spacing w:line="360" w:lineRule="auto"/>
        <w:jc w:val="both"/>
      </w:pPr>
      <w:r>
        <w:t>Figure 6. The varying flexural responses to an added granite body, 15km wide x 5km high, into a lithosphere with different elastic thicknesses (</w:t>
      </w:r>
      <m:oMath>
        <m:r>
          <w:rPr>
            <w:rFonts w:ascii="Cambria Math" w:hAnsi="Cambria Math"/>
          </w:rPr>
          <m:t>Te</m:t>
        </m:r>
      </m:oMath>
      <w:r>
        <w:t xml:space="preserve">). </w:t>
      </w:r>
      <w:r>
        <w:rPr>
          <w:rFonts w:eastAsiaTheme="minorEastAsia"/>
        </w:rPr>
        <w:t xml:space="preserve">When the lithosphere is assumed to have elastic strength, isostatic compensation is reduced in amplitude but increased in width with respect to Airy (local) isostatic compensation.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 35 km,</w:t>
      </w:r>
      <w:r>
        <w:t xml:space="preserve"> </w:t>
      </w:r>
      <m:oMath>
        <m:r>
          <w:rPr>
            <w:rFonts w:ascii="Cambria Math" w:eastAsiaTheme="minorEastAsia" w:hAnsi="Cambria Math"/>
          </w:rPr>
          <m:t xml:space="preserve"> </m:t>
        </m:r>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m:t>
            </m:r>
          </m:sub>
        </m:sSub>
      </m:oMath>
      <w:r w:rsidR="00E83055">
        <w:t xml:space="preserve"> = 3300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t xml:space="preserve"> = 2800 kg</w:t>
      </w:r>
      <w:r w:rsidR="00E83055">
        <w:t xml:space="preserve">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Pr>
          <w:i/>
        </w:rPr>
        <w:t xml:space="preserve"> </w:t>
      </w:r>
      <w:r w:rsidR="00E83055">
        <w:t xml:space="preserve">= 2630 kg </w:t>
      </w:r>
      <w:r>
        <w:t>m</w:t>
      </w:r>
      <w:r>
        <w:rPr>
          <w:vertAlign w:val="superscript"/>
        </w:rPr>
        <w:t>-3</w:t>
      </w:r>
      <w:r>
        <w:t>.</w:t>
      </w:r>
      <w:r>
        <w:br w:type="page"/>
      </w:r>
    </w:p>
    <w:p w14:paraId="0D4CDC0A" w14:textId="17C417E0" w:rsidR="00901D2C" w:rsidRDefault="009635CF" w:rsidP="004713C5">
      <w:pPr>
        <w:spacing w:line="360" w:lineRule="auto"/>
      </w:pPr>
      <w:r>
        <w:rPr>
          <w:noProof/>
          <w:lang w:eastAsia="en-GB"/>
        </w:rPr>
        <w:lastRenderedPageBreak/>
        <w:drawing>
          <wp:inline distT="0" distB="0" distL="0" distR="0" wp14:anchorId="58D4ABB0" wp14:editId="1B55C570">
            <wp:extent cx="5044440" cy="5404104"/>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4440" cy="5404104"/>
                    </a:xfrm>
                    <a:prstGeom prst="rect">
                      <a:avLst/>
                    </a:prstGeom>
                  </pic:spPr>
                </pic:pic>
              </a:graphicData>
            </a:graphic>
          </wp:inline>
        </w:drawing>
      </w:r>
    </w:p>
    <w:p w14:paraId="6B44E122" w14:textId="1D4F0B7F" w:rsidR="00901D2C" w:rsidRDefault="00901D2C" w:rsidP="004713C5">
      <w:pPr>
        <w:spacing w:line="360" w:lineRule="auto"/>
        <w:jc w:val="both"/>
        <w:rPr>
          <w:highlight w:val="yellow"/>
        </w:rPr>
      </w:pPr>
      <w:r>
        <w:t xml:space="preserve">Figure 7. The flexural response to lithosphere extension and basin formation (a-d), the magnitude of which is illustrated in 6f. Basins c and d incorporate a crustal density contrast due to a granite body (6e) and should be compared to profiles </w:t>
      </w:r>
      <w:proofErr w:type="gramStart"/>
      <w:r>
        <w:t>a and</w:t>
      </w:r>
      <w:proofErr w:type="gramEnd"/>
      <w:r>
        <w:t xml:space="preserve"> b, respectively which have assumed no granite emplacement.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 35 km,</w:t>
      </w:r>
      <w:r>
        <w:t xml:space="preserve"> </w:t>
      </w:r>
      <m:oMath>
        <m:r>
          <w:rPr>
            <w:rFonts w:ascii="Cambria Math" w:eastAsiaTheme="minorEastAsia" w:hAnsi="Cambria Math"/>
          </w:rPr>
          <m:t xml:space="preserve"> </m:t>
        </m:r>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m:t>
            </m:r>
          </m:sub>
        </m:sSub>
      </m:oMath>
      <w:r w:rsidR="00E83055">
        <w:t xml:space="preserve"> = 3300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c</m:t>
            </m:r>
          </m:sub>
        </m:sSub>
      </m:oMath>
      <w:r w:rsidR="00E83055">
        <w:t xml:space="preserve"> = 2800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g</m:t>
            </m:r>
          </m:sub>
        </m:sSub>
      </m:oMath>
      <w:r w:rsidR="00E83055">
        <w:t xml:space="preserve"> = 2630 kg </w:t>
      </w:r>
      <w:r>
        <w:t>m</w:t>
      </w:r>
      <w:r>
        <w:rPr>
          <w:vertAlign w:val="superscript"/>
        </w:rPr>
        <w:t>-3</w:t>
      </w:r>
      <w:r>
        <w:t xml:space="preserve">, </w:t>
      </w:r>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i</m:t>
            </m:r>
          </m:sub>
        </m:sSub>
      </m:oMath>
      <w:r>
        <w:rPr>
          <w:rFonts w:eastAsiaTheme="minorEastAsia"/>
        </w:rPr>
        <w:t xml:space="preserve"> = 2500 k</w:t>
      </w:r>
      <w:r w:rsidR="00E83055">
        <w:t xml:space="preserve">g </w:t>
      </w:r>
      <w:r>
        <w:t>m</w:t>
      </w:r>
      <w:r>
        <w:rPr>
          <w:vertAlign w:val="superscript"/>
        </w:rPr>
        <w:t>-3</w:t>
      </w:r>
      <w:r>
        <w:t xml:space="preserve">, </w:t>
      </w:r>
      <m:oMath>
        <m:r>
          <w:rPr>
            <w:rFonts w:ascii="Cambria Math" w:hAnsi="Cambria Math"/>
          </w:rPr>
          <m:t>Te</m:t>
        </m:r>
      </m:oMath>
      <w:r>
        <w:rPr>
          <w:rFonts w:eastAsiaTheme="minorEastAsia"/>
        </w:rPr>
        <w:t xml:space="preserve"> = 5 km.</w:t>
      </w:r>
      <w:r>
        <w:rPr>
          <w:highlight w:val="yellow"/>
        </w:rPr>
        <w:br w:type="page"/>
      </w:r>
    </w:p>
    <w:p w14:paraId="4C7DC020" w14:textId="4FE7E8F2" w:rsidR="00901D2C" w:rsidRDefault="00AC059B" w:rsidP="004713C5">
      <w:pPr>
        <w:spacing w:line="360" w:lineRule="auto"/>
      </w:pPr>
      <w:r>
        <w:rPr>
          <w:noProof/>
          <w:lang w:eastAsia="en-GB"/>
        </w:rPr>
        <w:lastRenderedPageBreak/>
        <w:drawing>
          <wp:inline distT="0" distB="0" distL="0" distR="0" wp14:anchorId="0EE07CE9" wp14:editId="6EBB04C1">
            <wp:extent cx="3240000" cy="5976000"/>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40000" cy="5976000"/>
                    </a:xfrm>
                    <a:prstGeom prst="rect">
                      <a:avLst/>
                    </a:prstGeom>
                  </pic:spPr>
                </pic:pic>
              </a:graphicData>
            </a:graphic>
          </wp:inline>
        </w:drawing>
      </w:r>
    </w:p>
    <w:p w14:paraId="18577E4D" w14:textId="0398C84D" w:rsidR="00901D2C" w:rsidRDefault="00901D2C" w:rsidP="004713C5">
      <w:pPr>
        <w:spacing w:line="360" w:lineRule="auto"/>
      </w:pPr>
      <w:r>
        <w:t xml:space="preserve">Figure 8. Tectonostratigraphic section of northern England (modified after Chadwick et al., 1995). </w:t>
      </w:r>
      <w:proofErr w:type="spellStart"/>
      <w:r>
        <w:t>Lithostratigraphic</w:t>
      </w:r>
      <w:proofErr w:type="spellEnd"/>
      <w:r>
        <w:t xml:space="preserve"> nomenclature from Waters et al. (2007). Ages from </w:t>
      </w:r>
      <w:proofErr w:type="spellStart"/>
      <w:r>
        <w:t>Davydov</w:t>
      </w:r>
      <w:proofErr w:type="spellEnd"/>
      <w:r>
        <w:t xml:space="preserve"> et al. (2012).</w:t>
      </w:r>
    </w:p>
    <w:p w14:paraId="6F950997" w14:textId="3DB41F53" w:rsidR="00901D2C" w:rsidRDefault="001B3528" w:rsidP="004713C5">
      <w:pPr>
        <w:spacing w:line="360" w:lineRule="auto"/>
      </w:pPr>
      <w:r>
        <w:rPr>
          <w:noProof/>
          <w:lang w:eastAsia="en-GB"/>
        </w:rPr>
        <w:lastRenderedPageBreak/>
        <w:drawing>
          <wp:inline distT="0" distB="0" distL="0" distR="0" wp14:anchorId="422297A2" wp14:editId="0F903240">
            <wp:extent cx="8640000" cy="5040000"/>
            <wp:effectExtent l="9207"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10.jp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8640000" cy="5040000"/>
                    </a:xfrm>
                    <a:prstGeom prst="rect">
                      <a:avLst/>
                    </a:prstGeom>
                  </pic:spPr>
                </pic:pic>
              </a:graphicData>
            </a:graphic>
          </wp:inline>
        </w:drawing>
      </w:r>
    </w:p>
    <w:p w14:paraId="439DD9D8" w14:textId="77777777" w:rsidR="00901D2C" w:rsidRDefault="00901D2C" w:rsidP="004713C5">
      <w:pPr>
        <w:spacing w:line="360" w:lineRule="auto"/>
      </w:pPr>
      <w:r>
        <w:lastRenderedPageBreak/>
        <w:t>Figure 9. Cross-sections through northern England based on the structural interpretations of Chadwick et al. (1995). Granite thicknesses are based on the interpretations of gravity and magnetic anomaly data (</w:t>
      </w:r>
      <w:proofErr w:type="spellStart"/>
      <w:r>
        <w:t>Kimbell</w:t>
      </w:r>
      <w:proofErr w:type="spellEnd"/>
      <w:r>
        <w:t xml:space="preserve"> et al., 2006). 3D </w:t>
      </w:r>
      <w:proofErr w:type="spellStart"/>
      <w:r>
        <w:t>shapefiles</w:t>
      </w:r>
      <w:proofErr w:type="spellEnd"/>
      <w:r>
        <w:t xml:space="preserve"> courtesy of </w:t>
      </w:r>
      <w:proofErr w:type="spellStart"/>
      <w:r>
        <w:t>Terrington</w:t>
      </w:r>
      <w:proofErr w:type="spellEnd"/>
      <w:r>
        <w:t xml:space="preserve"> and Thorpe (2013). See figure 1 for a map view, including the locations of the cross-sections, and refer to figure 8 for a summary of the </w:t>
      </w:r>
      <w:proofErr w:type="spellStart"/>
      <w:r>
        <w:t>tectonostratigraphy</w:t>
      </w:r>
      <w:proofErr w:type="spellEnd"/>
      <w:r>
        <w:t xml:space="preserve"> of the study area.</w:t>
      </w:r>
      <w:r>
        <w:br w:type="page"/>
      </w:r>
    </w:p>
    <w:p w14:paraId="19BB1434" w14:textId="6F0710F2" w:rsidR="00901D2C" w:rsidRDefault="00AD542A" w:rsidP="004713C5">
      <w:pPr>
        <w:spacing w:line="360" w:lineRule="auto"/>
      </w:pPr>
      <w:r>
        <w:rPr>
          <w:noProof/>
          <w:lang w:eastAsia="en-GB"/>
        </w:rPr>
        <w:lastRenderedPageBreak/>
        <w:drawing>
          <wp:inline distT="0" distB="0" distL="0" distR="0" wp14:anchorId="7D21FAD3" wp14:editId="1360C11D">
            <wp:extent cx="5087112" cy="78699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87112" cy="7869936"/>
                    </a:xfrm>
                    <a:prstGeom prst="rect">
                      <a:avLst/>
                    </a:prstGeom>
                  </pic:spPr>
                </pic:pic>
              </a:graphicData>
            </a:graphic>
          </wp:inline>
        </w:drawing>
      </w:r>
    </w:p>
    <w:p w14:paraId="3CC460D8" w14:textId="5B0C876E" w:rsidR="00901D2C" w:rsidRDefault="00901D2C" w:rsidP="004713C5">
      <w:pPr>
        <w:spacing w:line="360" w:lineRule="auto"/>
      </w:pPr>
      <w:r>
        <w:t xml:space="preserve">Figure 10. Model generated along the line of the cross-section presented in figure 9a across the Northumberland Trough and Alston Block. Fault locations and offsets (11a and b) are displayed in table 3 and are based upon the deep structural interpretations made by Chadwick et al. (1995). 11b </w:t>
      </w:r>
      <w:r>
        <w:lastRenderedPageBreak/>
        <w:t>incorporates a granite thickness profile (11c) based upon the interpretations of gravity and magnetic anomaly data (</w:t>
      </w:r>
      <w:proofErr w:type="spellStart"/>
      <w:r>
        <w:t>Kimbell</w:t>
      </w:r>
      <w:proofErr w:type="spellEnd"/>
      <w:r>
        <w:t xml:space="preserve"> et al., 2006). 11d shows the modelled lithosphere scale profile.</w:t>
      </w:r>
      <w:r>
        <w:br w:type="page"/>
      </w:r>
    </w:p>
    <w:p w14:paraId="54C408CC" w14:textId="60F0D607" w:rsidR="00901D2C" w:rsidRDefault="009635CF" w:rsidP="004713C5">
      <w:pPr>
        <w:spacing w:line="360" w:lineRule="auto"/>
      </w:pPr>
      <w:r>
        <w:rPr>
          <w:noProof/>
          <w:lang w:eastAsia="en-GB"/>
        </w:rPr>
        <w:lastRenderedPageBreak/>
        <w:drawing>
          <wp:inline distT="0" distB="0" distL="0" distR="0" wp14:anchorId="124FA55C" wp14:editId="1AE17D96">
            <wp:extent cx="5059680" cy="711098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1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59680" cy="7110984"/>
                    </a:xfrm>
                    <a:prstGeom prst="rect">
                      <a:avLst/>
                    </a:prstGeom>
                  </pic:spPr>
                </pic:pic>
              </a:graphicData>
            </a:graphic>
          </wp:inline>
        </w:drawing>
      </w:r>
    </w:p>
    <w:p w14:paraId="05EAE5D7" w14:textId="1975B0CD" w:rsidR="000F0E4F" w:rsidRDefault="00901D2C" w:rsidP="00FA1ED6">
      <w:pPr>
        <w:spacing w:line="360" w:lineRule="auto"/>
      </w:pPr>
      <w:r>
        <w:t xml:space="preserve">Figure 11. Model generated along the line of the cross-section presented in figure 9b. The only fault included within the model is the Pennine </w:t>
      </w:r>
      <w:r w:rsidR="00316B08">
        <w:t>F</w:t>
      </w:r>
      <w:r>
        <w:t>ault, across which the Carboniferous strata barely thicken, suggesting little displacement during this period. Profile b incorporates a granite thickness profile (c) based upon the interpretations of gravity and magnetic anomaly data (</w:t>
      </w:r>
      <w:proofErr w:type="spellStart"/>
      <w:r>
        <w:t>Kimbell</w:t>
      </w:r>
      <w:proofErr w:type="spellEnd"/>
      <w:r>
        <w:t xml:space="preserve"> et al., 2006). Profile d shows the modelled lithosphere</w:t>
      </w:r>
      <w:r w:rsidR="00810EDC">
        <w:t>-</w:t>
      </w:r>
      <w:r>
        <w:t>scale profile.</w:t>
      </w:r>
      <w:r w:rsidR="000F0E4F">
        <w:br w:type="page"/>
      </w:r>
    </w:p>
    <w:p w14:paraId="43679352" w14:textId="74E4AFAB" w:rsidR="00901D2C" w:rsidRDefault="00FA1ED6" w:rsidP="004713C5">
      <w:pPr>
        <w:spacing w:line="360" w:lineRule="auto"/>
      </w:pPr>
      <w:r>
        <w:rPr>
          <w:noProof/>
          <w:lang w:eastAsia="en-GB"/>
        </w:rPr>
        <w:lastRenderedPageBreak/>
        <w:drawing>
          <wp:inline distT="0" distB="0" distL="0" distR="0" wp14:anchorId="04342EFB" wp14:editId="3652AAB9">
            <wp:extent cx="3243072" cy="60777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1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43072" cy="6077712"/>
                    </a:xfrm>
                    <a:prstGeom prst="rect">
                      <a:avLst/>
                    </a:prstGeom>
                  </pic:spPr>
                </pic:pic>
              </a:graphicData>
            </a:graphic>
          </wp:inline>
        </w:drawing>
      </w:r>
    </w:p>
    <w:p w14:paraId="3CD9C550" w14:textId="05BAA7C8" w:rsidR="00B13E0E" w:rsidRDefault="00901D2C" w:rsidP="004713C5">
      <w:pPr>
        <w:spacing w:line="360" w:lineRule="auto"/>
      </w:pPr>
      <w:r>
        <w:t xml:space="preserve">Figure 12. A schematic illustration of the stress conditions before (a) and after (b) extension including crustal faulting. Yellow arrows indicate ‘second-order’ stresses (e.g. </w:t>
      </w:r>
      <w:proofErr w:type="spellStart"/>
      <w:r>
        <w:t>Sonder</w:t>
      </w:r>
      <w:proofErr w:type="spellEnd"/>
      <w:r>
        <w:t xml:space="preserve">, 1990; </w:t>
      </w:r>
      <w:proofErr w:type="spellStart"/>
      <w:r>
        <w:t>Zoback</w:t>
      </w:r>
      <w:proofErr w:type="spellEnd"/>
      <w:r>
        <w:t>, 1992) whilst blue arrows indicate tectonic stresses. It is proposed that the combination of ‘buoyancy’ forces, tensile stress and horizontal extensional stress constructively interfere upon the onset of extensional tectonism, creating localised stress conditions favourable to the reactivation of Caledonian lineaments.</w:t>
      </w:r>
      <w:r>
        <w:br w:type="page"/>
      </w:r>
    </w:p>
    <w:p w14:paraId="4B15D683" w14:textId="77777777" w:rsidR="00B13E0E" w:rsidRDefault="00B13E0E" w:rsidP="009E071D">
      <w:pPr>
        <w:pStyle w:val="Heading1"/>
        <w:spacing w:line="360" w:lineRule="auto"/>
      </w:pPr>
      <w:r>
        <w:lastRenderedPageBreak/>
        <w:t>References</w:t>
      </w:r>
    </w:p>
    <w:p w14:paraId="1FD33F5A" w14:textId="77777777" w:rsidR="00B13E0E" w:rsidRPr="00D111EE" w:rsidRDefault="00B13E0E" w:rsidP="009E071D">
      <w:pPr>
        <w:spacing w:after="100" w:afterAutospacing="1" w:line="360" w:lineRule="auto"/>
        <w:ind w:left="720" w:hanging="720"/>
        <w:rPr>
          <w:rFonts w:cstheme="minorHAnsi"/>
        </w:rPr>
      </w:pPr>
      <w:r w:rsidRPr="00D111EE">
        <w:rPr>
          <w:rFonts w:cstheme="minorHAnsi"/>
        </w:rPr>
        <w:t>Airy, G.B., 1855. On the computation of the effect of the attraction of mountain-masses, as disturbing the apparent astronomical latitude of stations in geodetic surveys. Philosophical Transactions of the Royal Society of London, 145, pp.101-104.</w:t>
      </w:r>
    </w:p>
    <w:p w14:paraId="4ADF879A"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Allsop</w:t>
      </w:r>
      <w:proofErr w:type="spellEnd"/>
      <w:r w:rsidRPr="00D111EE">
        <w:rPr>
          <w:rFonts w:cstheme="minorHAnsi"/>
        </w:rPr>
        <w:t>, J.M., 1987. Patterns of late Caledonian intrusive activity in eastern and northern England from geophysics, radiometric dating and basement geology. Proceedings of the Yorkshire Geological Society, 46(4), pp.335-353.</w:t>
      </w:r>
    </w:p>
    <w:p w14:paraId="7C620AC4"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Arsenikos</w:t>
      </w:r>
      <w:proofErr w:type="spellEnd"/>
      <w:r w:rsidRPr="00D111EE">
        <w:rPr>
          <w:rFonts w:cstheme="minorHAnsi"/>
          <w:color w:val="222222"/>
          <w:shd w:val="clear" w:color="auto" w:fill="FFFFFF"/>
        </w:rPr>
        <w:t xml:space="preserve">, S., Quinn, M., </w:t>
      </w:r>
      <w:proofErr w:type="spellStart"/>
      <w:r w:rsidRPr="00D111EE">
        <w:rPr>
          <w:rFonts w:cstheme="minorHAnsi"/>
          <w:color w:val="222222"/>
          <w:shd w:val="clear" w:color="auto" w:fill="FFFFFF"/>
        </w:rPr>
        <w:t>Kimbell</w:t>
      </w:r>
      <w:proofErr w:type="spellEnd"/>
      <w:r w:rsidRPr="00D111EE">
        <w:rPr>
          <w:rFonts w:cstheme="minorHAnsi"/>
          <w:color w:val="222222"/>
          <w:shd w:val="clear" w:color="auto" w:fill="FFFFFF"/>
        </w:rPr>
        <w:t xml:space="preserve">, G., Williamson, P., Pharaoh, T., Leslie, G. and Monaghan, A., 2018. Structural development of the </w:t>
      </w:r>
      <w:proofErr w:type="spellStart"/>
      <w:r w:rsidRPr="00D111EE">
        <w:rPr>
          <w:rFonts w:cstheme="minorHAnsi"/>
          <w:color w:val="222222"/>
          <w:shd w:val="clear" w:color="auto" w:fill="FFFFFF"/>
        </w:rPr>
        <w:t>Devono</w:t>
      </w:r>
      <w:proofErr w:type="spellEnd"/>
      <w:r w:rsidRPr="00D111EE">
        <w:rPr>
          <w:rFonts w:cstheme="minorHAnsi"/>
          <w:color w:val="222222"/>
          <w:shd w:val="clear" w:color="auto" w:fill="FFFFFF"/>
        </w:rPr>
        <w:t>-Carboniferous plays of the UK North Sea. </w:t>
      </w:r>
      <w:r w:rsidRPr="00D111EE">
        <w:rPr>
          <w:rFonts w:cstheme="minorHAnsi"/>
          <w:i/>
          <w:iCs/>
          <w:color w:val="222222"/>
          <w:shd w:val="clear" w:color="auto" w:fill="FFFFFF"/>
        </w:rPr>
        <w:t>Geological Society, London, Special Publications</w:t>
      </w:r>
      <w:r w:rsidRPr="00D111EE">
        <w:rPr>
          <w:rFonts w:cstheme="minorHAnsi"/>
          <w:color w:val="222222"/>
          <w:shd w:val="clear" w:color="auto" w:fill="FFFFFF"/>
        </w:rPr>
        <w:t>, </w:t>
      </w:r>
      <w:r w:rsidRPr="00D111EE">
        <w:rPr>
          <w:rFonts w:cstheme="minorHAnsi"/>
          <w:i/>
          <w:iCs/>
          <w:color w:val="222222"/>
          <w:shd w:val="clear" w:color="auto" w:fill="FFFFFF"/>
        </w:rPr>
        <w:t>471</w:t>
      </w:r>
      <w:r w:rsidRPr="00D111EE">
        <w:rPr>
          <w:rFonts w:cstheme="minorHAnsi"/>
          <w:color w:val="222222"/>
          <w:shd w:val="clear" w:color="auto" w:fill="FFFFFF"/>
        </w:rPr>
        <w:t>, pp.SP471-3.</w:t>
      </w:r>
    </w:p>
    <w:p w14:paraId="5843E9A7" w14:textId="6F259721" w:rsidR="00B13E0E" w:rsidRPr="00D111EE" w:rsidRDefault="00C9231D" w:rsidP="009E071D">
      <w:pPr>
        <w:spacing w:after="100" w:afterAutospacing="1" w:line="360" w:lineRule="auto"/>
        <w:ind w:left="720" w:hanging="720"/>
        <w:rPr>
          <w:rFonts w:cstheme="minorHAnsi"/>
        </w:rPr>
      </w:pPr>
      <w:proofErr w:type="spellStart"/>
      <w:r w:rsidRPr="00D111EE">
        <w:rPr>
          <w:rFonts w:cstheme="minorHAnsi"/>
        </w:rPr>
        <w:t>Besly</w:t>
      </w:r>
      <w:proofErr w:type="spellEnd"/>
      <w:r w:rsidRPr="00D111EE">
        <w:rPr>
          <w:rFonts w:cstheme="minorHAnsi"/>
        </w:rPr>
        <w:t>, B.,</w:t>
      </w:r>
      <w:r w:rsidR="00B13E0E" w:rsidRPr="00D111EE">
        <w:rPr>
          <w:rFonts w:cstheme="minorHAnsi"/>
        </w:rPr>
        <w:t xml:space="preserve"> </w:t>
      </w:r>
      <w:r w:rsidRPr="00D111EE">
        <w:rPr>
          <w:rFonts w:cstheme="minorHAnsi"/>
        </w:rPr>
        <w:t>2018</w:t>
      </w:r>
      <w:r w:rsidR="00B13E0E" w:rsidRPr="00D111EE">
        <w:rPr>
          <w:rFonts w:cstheme="minorHAnsi"/>
        </w:rPr>
        <w:t xml:space="preserve">. Exploration and development in the Carboniferous of the southern North Sea: a </w:t>
      </w:r>
      <w:proofErr w:type="gramStart"/>
      <w:r w:rsidR="00B13E0E" w:rsidRPr="00D111EE">
        <w:rPr>
          <w:rFonts w:cstheme="minorHAnsi"/>
        </w:rPr>
        <w:t>30 year</w:t>
      </w:r>
      <w:proofErr w:type="gramEnd"/>
      <w:r w:rsidR="00B13E0E" w:rsidRPr="00D111EE">
        <w:rPr>
          <w:rFonts w:cstheme="minorHAnsi"/>
        </w:rPr>
        <w:t xml:space="preserve"> retrospective. To Palaeozoic Plays of NW Europe, In: Monaghan, A.A., Underhill, J.R., Marshall, J., Hewett, A., (Eds.), Geological Society of London, Special Publication.</w:t>
      </w:r>
    </w:p>
    <w:p w14:paraId="40678D99"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Bott</w:t>
      </w:r>
      <w:proofErr w:type="spellEnd"/>
      <w:r w:rsidRPr="00D111EE">
        <w:rPr>
          <w:rFonts w:cstheme="minorHAnsi"/>
        </w:rPr>
        <w:t xml:space="preserve">, M.H.P., Day, A.A. and Masson-Smith, D., 1958. The geological interpretation of gravity and magnetic surveys in Devon and Cornwall. Phil. Trans. R. Soc. </w:t>
      </w:r>
      <w:proofErr w:type="spellStart"/>
      <w:r w:rsidRPr="00D111EE">
        <w:rPr>
          <w:rFonts w:cstheme="minorHAnsi"/>
        </w:rPr>
        <w:t>Lond</w:t>
      </w:r>
      <w:proofErr w:type="spellEnd"/>
      <w:r w:rsidRPr="00D111EE">
        <w:rPr>
          <w:rFonts w:cstheme="minorHAnsi"/>
        </w:rPr>
        <w:t>. A, 251(992), pp.161-191.</w:t>
      </w:r>
    </w:p>
    <w:p w14:paraId="5FB00FEE"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Bott</w:t>
      </w:r>
      <w:proofErr w:type="spellEnd"/>
      <w:r w:rsidRPr="00D111EE">
        <w:rPr>
          <w:rFonts w:cstheme="minorHAnsi"/>
        </w:rPr>
        <w:t>, M.P. and Smithson, S.B., 1967. Gravity investigations of subsurface shape and mass distributions of granite batholiths. Geological Society of America Bulletin, 78(7), pp.859-878.</w:t>
      </w:r>
    </w:p>
    <w:p w14:paraId="00600624"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Bott</w:t>
      </w:r>
      <w:proofErr w:type="spellEnd"/>
      <w:r w:rsidRPr="00D111EE">
        <w:rPr>
          <w:rFonts w:cstheme="minorHAnsi"/>
        </w:rPr>
        <w:t xml:space="preserve">, M.H.P., Robinson, J. and </w:t>
      </w:r>
      <w:proofErr w:type="spellStart"/>
      <w:r w:rsidRPr="00D111EE">
        <w:rPr>
          <w:rFonts w:cstheme="minorHAnsi"/>
        </w:rPr>
        <w:t>Kohnstamm</w:t>
      </w:r>
      <w:proofErr w:type="spellEnd"/>
      <w:r w:rsidRPr="00D111EE">
        <w:rPr>
          <w:rFonts w:cstheme="minorHAnsi"/>
        </w:rPr>
        <w:t xml:space="preserve">, M.A., 1978. Granite beneath Market </w:t>
      </w:r>
      <w:proofErr w:type="spellStart"/>
      <w:r w:rsidRPr="00D111EE">
        <w:rPr>
          <w:rFonts w:cstheme="minorHAnsi"/>
        </w:rPr>
        <w:t>Weighton</w:t>
      </w:r>
      <w:proofErr w:type="spellEnd"/>
      <w:r w:rsidRPr="00D111EE">
        <w:rPr>
          <w:rFonts w:cstheme="minorHAnsi"/>
        </w:rPr>
        <w:t>, east Yorkshire. Journal of the Geological Society, 135(5), pp.535-543.</w:t>
      </w:r>
    </w:p>
    <w:p w14:paraId="77F9FB5C" w14:textId="3BD22DCE" w:rsidR="005F37BB" w:rsidRPr="00D111EE" w:rsidRDefault="00B13E0E"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Bott</w:t>
      </w:r>
      <w:proofErr w:type="spellEnd"/>
      <w:r w:rsidRPr="00D111EE">
        <w:rPr>
          <w:rFonts w:cstheme="minorHAnsi"/>
          <w:color w:val="222222"/>
          <w:shd w:val="clear" w:color="auto" w:fill="FFFFFF"/>
        </w:rPr>
        <w:t>, M.H.P., 1987. Subsidence mechanisms of Carboniferous basins in northern England. </w:t>
      </w:r>
      <w:r w:rsidRPr="00D111EE">
        <w:rPr>
          <w:rFonts w:cstheme="minorHAnsi"/>
          <w:i/>
          <w:iCs/>
          <w:color w:val="222222"/>
          <w:shd w:val="clear" w:color="auto" w:fill="FFFFFF"/>
        </w:rPr>
        <w:t xml:space="preserve">Geological </w:t>
      </w:r>
    </w:p>
    <w:p w14:paraId="4EBE4EB6" w14:textId="05896231"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Brewer, J.A., Matthews, D.H., Warner, M.R., Hall, J., </w:t>
      </w:r>
      <w:proofErr w:type="spellStart"/>
      <w:r w:rsidRPr="00D111EE">
        <w:rPr>
          <w:rFonts w:cstheme="minorHAnsi"/>
        </w:rPr>
        <w:t>Smythe</w:t>
      </w:r>
      <w:proofErr w:type="spellEnd"/>
      <w:r w:rsidRPr="00D111EE">
        <w:rPr>
          <w:rFonts w:cstheme="minorHAnsi"/>
        </w:rPr>
        <w:t xml:space="preserve">, D.K. and Whittington, R.J., 1983. BIRPS deep seismic reflection studies of the British </w:t>
      </w:r>
      <w:proofErr w:type="spellStart"/>
      <w:r w:rsidRPr="00D111EE">
        <w:rPr>
          <w:rFonts w:cstheme="minorHAnsi"/>
        </w:rPr>
        <w:t>Caledonides</w:t>
      </w:r>
      <w:proofErr w:type="spellEnd"/>
      <w:r w:rsidRPr="00D111EE">
        <w:rPr>
          <w:rFonts w:cstheme="minorHAnsi"/>
        </w:rPr>
        <w:t>. Nature, 305(5931), p.206.</w:t>
      </w:r>
    </w:p>
    <w:p w14:paraId="0288B816" w14:textId="3D6D6830" w:rsidR="007B26A0" w:rsidRPr="00D111EE" w:rsidRDefault="008E2B24" w:rsidP="007B26A0">
      <w:pPr>
        <w:spacing w:after="100" w:afterAutospacing="1" w:line="360" w:lineRule="auto"/>
        <w:ind w:left="720" w:hanging="720"/>
        <w:rPr>
          <w:rFonts w:cstheme="minorHAnsi"/>
        </w:rPr>
      </w:pPr>
      <w:r w:rsidRPr="00D111EE">
        <w:rPr>
          <w:rFonts w:cstheme="minorHAnsi"/>
        </w:rPr>
        <w:t>British Geological Survey,</w:t>
      </w:r>
      <w:r w:rsidR="007B26A0" w:rsidRPr="00D111EE">
        <w:rPr>
          <w:rFonts w:cstheme="minorHAnsi"/>
        </w:rPr>
        <w:t xml:space="preserve"> 2008. DiGmapGB-250 [SHAPE geospatial data], Scale 1:250000, Tiles: </w:t>
      </w:r>
      <w:proofErr w:type="spellStart"/>
      <w:r w:rsidR="007B26A0" w:rsidRPr="00D111EE">
        <w:rPr>
          <w:rFonts w:cstheme="minorHAnsi"/>
        </w:rPr>
        <w:t>sd,sc,sj,sh,se,tf,sk,ta</w:t>
      </w:r>
      <w:proofErr w:type="spellEnd"/>
      <w:r w:rsidR="007B26A0" w:rsidRPr="00D111EE">
        <w:rPr>
          <w:rFonts w:cstheme="minorHAnsi"/>
        </w:rPr>
        <w:t xml:space="preserve">, Updated: 1 November 2008, BGS, Using: EDINA Geology </w:t>
      </w:r>
      <w:proofErr w:type="spellStart"/>
      <w:r w:rsidR="007B26A0" w:rsidRPr="00D111EE">
        <w:rPr>
          <w:rFonts w:cstheme="minorHAnsi"/>
        </w:rPr>
        <w:t>Digimap</w:t>
      </w:r>
      <w:proofErr w:type="spellEnd"/>
      <w:r w:rsidR="007B26A0" w:rsidRPr="00D111EE">
        <w:rPr>
          <w:rFonts w:cstheme="minorHAnsi"/>
        </w:rPr>
        <w:t xml:space="preserve"> Service, &lt;http://digimap.edina.ac.uk&gt;, Downloaded: 2018-02-16 09:11:02.065.</w:t>
      </w:r>
    </w:p>
    <w:p w14:paraId="75DE89A9" w14:textId="77777777"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Brodie, J. and White, N., 1994. Sedimentary basin inversion caused by igneous </w:t>
      </w:r>
      <w:proofErr w:type="spellStart"/>
      <w:r w:rsidRPr="00D111EE">
        <w:rPr>
          <w:rFonts w:cstheme="minorHAnsi"/>
        </w:rPr>
        <w:t>underplating</w:t>
      </w:r>
      <w:proofErr w:type="spellEnd"/>
      <w:r w:rsidRPr="00D111EE">
        <w:rPr>
          <w:rFonts w:cstheme="minorHAnsi"/>
        </w:rPr>
        <w:t>: Northwest European continental shelf. Geology, 22(2), pp.147-150.</w:t>
      </w:r>
    </w:p>
    <w:p w14:paraId="755407A9"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lastRenderedPageBreak/>
        <w:t>Bouchez</w:t>
      </w:r>
      <w:proofErr w:type="spellEnd"/>
      <w:r w:rsidRPr="00D111EE">
        <w:rPr>
          <w:rFonts w:cstheme="minorHAnsi"/>
        </w:rPr>
        <w:t xml:space="preserve">, J.L., 1997. Granite is never isotropic: an introduction to AMS studies of granitic rocks. In </w:t>
      </w:r>
      <w:r w:rsidRPr="00D111EE">
        <w:rPr>
          <w:rFonts w:cstheme="minorHAnsi"/>
          <w:i/>
        </w:rPr>
        <w:t>Granite: from segregation of melt to emplacement fabrics</w:t>
      </w:r>
      <w:r w:rsidRPr="00D111EE">
        <w:rPr>
          <w:rFonts w:cstheme="minorHAnsi"/>
        </w:rPr>
        <w:t xml:space="preserve"> (pp. 95-112). Springer, Dordrecht.</w:t>
      </w:r>
    </w:p>
    <w:p w14:paraId="080536AA" w14:textId="60F19EFD"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Burov</w:t>
      </w:r>
      <w:proofErr w:type="spellEnd"/>
      <w:r w:rsidRPr="00D111EE">
        <w:rPr>
          <w:rFonts w:cstheme="minorHAnsi"/>
        </w:rPr>
        <w:t xml:space="preserve">, E.B. and </w:t>
      </w:r>
      <w:proofErr w:type="spellStart"/>
      <w:r w:rsidRPr="00D111EE">
        <w:rPr>
          <w:rFonts w:cstheme="minorHAnsi"/>
        </w:rPr>
        <w:t>Diament</w:t>
      </w:r>
      <w:proofErr w:type="spellEnd"/>
      <w:r w:rsidRPr="00D111EE">
        <w:rPr>
          <w:rFonts w:cstheme="minorHAnsi"/>
        </w:rPr>
        <w:t xml:space="preserve">, M., 1995. The effective elastic thickness (T e) of continental lithosphere: what does it really mean? </w:t>
      </w:r>
      <w:r w:rsidRPr="00D111EE">
        <w:rPr>
          <w:rFonts w:cstheme="minorHAnsi"/>
          <w:i/>
        </w:rPr>
        <w:t>Journal of Geophysical Research: Solid Earth</w:t>
      </w:r>
      <w:r w:rsidRPr="00D111EE">
        <w:rPr>
          <w:rFonts w:cstheme="minorHAnsi"/>
        </w:rPr>
        <w:t xml:space="preserve">, </w:t>
      </w:r>
      <w:r w:rsidRPr="00D111EE">
        <w:rPr>
          <w:rFonts w:cstheme="minorHAnsi"/>
          <w:i/>
        </w:rPr>
        <w:t>100</w:t>
      </w:r>
      <w:r w:rsidRPr="00D111EE">
        <w:rPr>
          <w:rFonts w:cstheme="minorHAnsi"/>
        </w:rPr>
        <w:t>(B3), pp.3905-3927.</w:t>
      </w:r>
    </w:p>
    <w:p w14:paraId="306D32F7" w14:textId="2CEC2440" w:rsidR="0068751B" w:rsidRPr="00D111EE" w:rsidRDefault="0068751B" w:rsidP="009E071D">
      <w:pPr>
        <w:spacing w:after="100" w:afterAutospacing="1" w:line="360" w:lineRule="auto"/>
        <w:ind w:left="720" w:hanging="720"/>
        <w:rPr>
          <w:rFonts w:cstheme="minorHAnsi"/>
        </w:rPr>
      </w:pPr>
      <w:r w:rsidRPr="00D111EE">
        <w:rPr>
          <w:rFonts w:cstheme="minorHAnsi"/>
        </w:rPr>
        <w:t xml:space="preserve">Caldwell, W.G.E. and Young, G.M., 2013. Structural controls in the western offshore Midland Valley of Scotland: implications for Late Palaeozoic regional tectonics. </w:t>
      </w:r>
      <w:r w:rsidRPr="00D111EE">
        <w:rPr>
          <w:rFonts w:cstheme="minorHAnsi"/>
          <w:i/>
        </w:rPr>
        <w:t>Geological Magazine</w:t>
      </w:r>
      <w:r w:rsidRPr="00D111EE">
        <w:rPr>
          <w:rFonts w:cstheme="minorHAnsi"/>
        </w:rPr>
        <w:t xml:space="preserve">, </w:t>
      </w:r>
      <w:r w:rsidRPr="00D111EE">
        <w:rPr>
          <w:rFonts w:cstheme="minorHAnsi"/>
          <w:i/>
        </w:rPr>
        <w:t>150</w:t>
      </w:r>
      <w:r w:rsidRPr="00D111EE">
        <w:rPr>
          <w:rFonts w:cstheme="minorHAnsi"/>
        </w:rPr>
        <w:t>(4), pp.673-698.</w:t>
      </w:r>
    </w:p>
    <w:p w14:paraId="0F168B50" w14:textId="14A0C154"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Chadwick, R.A., Pharaoh, T.C. and Smith, N.J.P., 1989. Lower crustal heterogeneity beneath Britain from deep seismic reflection data. </w:t>
      </w:r>
      <w:r w:rsidRPr="00D111EE">
        <w:rPr>
          <w:rFonts w:cstheme="minorHAnsi"/>
          <w:i/>
        </w:rPr>
        <w:t>Journal of the Geological Society</w:t>
      </w:r>
      <w:r w:rsidRPr="00D111EE">
        <w:rPr>
          <w:rFonts w:cstheme="minorHAnsi"/>
        </w:rPr>
        <w:t xml:space="preserve">, </w:t>
      </w:r>
      <w:r w:rsidRPr="00D111EE">
        <w:rPr>
          <w:rFonts w:cstheme="minorHAnsi"/>
          <w:i/>
        </w:rPr>
        <w:t>146</w:t>
      </w:r>
      <w:r w:rsidRPr="00D111EE">
        <w:rPr>
          <w:rFonts w:cstheme="minorHAnsi"/>
        </w:rPr>
        <w:t>(4), pp.617-630.</w:t>
      </w:r>
    </w:p>
    <w:p w14:paraId="76256364" w14:textId="3F834454" w:rsidR="00CF30EA" w:rsidRPr="00D111EE" w:rsidRDefault="00CF30EA" w:rsidP="009E071D">
      <w:pPr>
        <w:spacing w:after="100" w:afterAutospacing="1" w:line="360" w:lineRule="auto"/>
        <w:ind w:left="720" w:hanging="720"/>
        <w:rPr>
          <w:rFonts w:cstheme="minorHAnsi"/>
        </w:rPr>
      </w:pPr>
      <w:r w:rsidRPr="00D111EE">
        <w:rPr>
          <w:rFonts w:cstheme="minorHAnsi"/>
          <w:color w:val="222222"/>
          <w:shd w:val="clear" w:color="auto" w:fill="FFFFFF"/>
        </w:rPr>
        <w:t>Chadwick, B.A., Holliday, D.W., Holloway, S., Hulbert, A.G. and Lawrence, D.J.D., 1995. </w:t>
      </w:r>
      <w:r w:rsidRPr="00D111EE">
        <w:rPr>
          <w:rFonts w:cstheme="minorHAnsi"/>
          <w:i/>
          <w:iCs/>
          <w:color w:val="222222"/>
          <w:shd w:val="clear" w:color="auto" w:fill="FFFFFF"/>
        </w:rPr>
        <w:t>The structure and evolution of the Northumberland-Solway Basin and adjacent areas</w:t>
      </w:r>
      <w:r w:rsidRPr="00D111EE">
        <w:rPr>
          <w:rFonts w:cstheme="minorHAnsi"/>
          <w:color w:val="222222"/>
          <w:shd w:val="clear" w:color="auto" w:fill="FFFFFF"/>
        </w:rPr>
        <w:t>. London: HMSO.</w:t>
      </w:r>
    </w:p>
    <w:p w14:paraId="6EEB2D5D" w14:textId="13FBA0BE" w:rsidR="00B13E0E" w:rsidRPr="00D111EE" w:rsidRDefault="00B13E0E" w:rsidP="009E071D">
      <w:pPr>
        <w:spacing w:line="360" w:lineRule="auto"/>
        <w:ind w:left="720" w:hanging="720"/>
        <w:rPr>
          <w:rFonts w:cstheme="minorHAnsi"/>
          <w:shd w:val="clear" w:color="auto" w:fill="FFFFFF"/>
        </w:rPr>
      </w:pPr>
      <w:proofErr w:type="spellStart"/>
      <w:r w:rsidRPr="00D111EE">
        <w:rPr>
          <w:rFonts w:cstheme="minorHAnsi"/>
          <w:shd w:val="clear" w:color="auto" w:fill="FFFFFF"/>
        </w:rPr>
        <w:t>Chroston</w:t>
      </w:r>
      <w:proofErr w:type="spellEnd"/>
      <w:r w:rsidRPr="00D111EE">
        <w:rPr>
          <w:rFonts w:cstheme="minorHAnsi"/>
          <w:shd w:val="clear" w:color="auto" w:fill="FFFFFF"/>
        </w:rPr>
        <w:t xml:space="preserve">, P.N., </w:t>
      </w:r>
      <w:proofErr w:type="spellStart"/>
      <w:r w:rsidRPr="00D111EE">
        <w:rPr>
          <w:rFonts w:cstheme="minorHAnsi"/>
          <w:shd w:val="clear" w:color="auto" w:fill="FFFFFF"/>
        </w:rPr>
        <w:t>Allsop</w:t>
      </w:r>
      <w:proofErr w:type="spellEnd"/>
      <w:r w:rsidRPr="00D111EE">
        <w:rPr>
          <w:rFonts w:cstheme="minorHAnsi"/>
          <w:shd w:val="clear" w:color="auto" w:fill="FFFFFF"/>
        </w:rPr>
        <w:t xml:space="preserve">, J.M. and Cornwell, J.D., 1987. New seismic refraction evidence on the origin of the </w:t>
      </w:r>
      <w:proofErr w:type="spellStart"/>
      <w:r w:rsidRPr="00D111EE">
        <w:rPr>
          <w:rFonts w:cstheme="minorHAnsi"/>
          <w:shd w:val="clear" w:color="auto" w:fill="FFFFFF"/>
        </w:rPr>
        <w:t>Bouguer</w:t>
      </w:r>
      <w:proofErr w:type="spellEnd"/>
      <w:r w:rsidRPr="00D111EE">
        <w:rPr>
          <w:rFonts w:cstheme="minorHAnsi"/>
          <w:shd w:val="clear" w:color="auto" w:fill="FFFFFF"/>
        </w:rPr>
        <w:t xml:space="preserve"> anomaly low near </w:t>
      </w:r>
      <w:proofErr w:type="spellStart"/>
      <w:r w:rsidRPr="00D111EE">
        <w:rPr>
          <w:rFonts w:cstheme="minorHAnsi"/>
          <w:shd w:val="clear" w:color="auto" w:fill="FFFFFF"/>
        </w:rPr>
        <w:t>Hunstanton</w:t>
      </w:r>
      <w:proofErr w:type="spellEnd"/>
      <w:r w:rsidRPr="00D111EE">
        <w:rPr>
          <w:rFonts w:cstheme="minorHAnsi"/>
          <w:shd w:val="clear" w:color="auto" w:fill="FFFFFF"/>
        </w:rPr>
        <w:t>, Norfolk. </w:t>
      </w:r>
      <w:r w:rsidRPr="00D111EE">
        <w:rPr>
          <w:rFonts w:cstheme="minorHAnsi"/>
          <w:i/>
          <w:iCs/>
          <w:shd w:val="clear" w:color="auto" w:fill="FFFFFF"/>
        </w:rPr>
        <w:t>Proceedings of the Yorkshire Geological Society</w:t>
      </w:r>
      <w:r w:rsidRPr="00D111EE">
        <w:rPr>
          <w:rFonts w:cstheme="minorHAnsi"/>
          <w:shd w:val="clear" w:color="auto" w:fill="FFFFFF"/>
        </w:rPr>
        <w:t>, </w:t>
      </w:r>
      <w:r w:rsidRPr="00D111EE">
        <w:rPr>
          <w:rFonts w:cstheme="minorHAnsi"/>
          <w:i/>
          <w:iCs/>
          <w:shd w:val="clear" w:color="auto" w:fill="FFFFFF"/>
        </w:rPr>
        <w:t>46</w:t>
      </w:r>
      <w:r w:rsidRPr="00D111EE">
        <w:rPr>
          <w:rFonts w:cstheme="minorHAnsi"/>
          <w:shd w:val="clear" w:color="auto" w:fill="FFFFFF"/>
        </w:rPr>
        <w:t>(4), pp.311-319.</w:t>
      </w:r>
    </w:p>
    <w:p w14:paraId="375251E5" w14:textId="0F924695" w:rsidR="001C79DB" w:rsidRPr="00D111EE" w:rsidRDefault="001C79DB" w:rsidP="009E071D">
      <w:pPr>
        <w:spacing w:line="360" w:lineRule="auto"/>
        <w:ind w:left="720" w:hanging="720"/>
        <w:rPr>
          <w:rFonts w:cstheme="minorHAnsi"/>
          <w:color w:val="222222"/>
          <w:shd w:val="clear" w:color="auto" w:fill="FFFFFF"/>
        </w:rPr>
      </w:pPr>
      <w:r w:rsidRPr="00D111EE">
        <w:rPr>
          <w:rFonts w:cstheme="minorHAnsi"/>
          <w:color w:val="222222"/>
          <w:shd w:val="clear" w:color="auto" w:fill="FFFFFF"/>
        </w:rPr>
        <w:t>Cooley, J.W. and Tukey, J.W., 1965. An algorithm for the machine calculation of complex Fourier series. </w:t>
      </w:r>
      <w:r w:rsidRPr="00D111EE">
        <w:rPr>
          <w:rFonts w:cstheme="minorHAnsi"/>
          <w:i/>
          <w:iCs/>
          <w:color w:val="222222"/>
          <w:shd w:val="clear" w:color="auto" w:fill="FFFFFF"/>
        </w:rPr>
        <w:t>Mathematics of computation</w:t>
      </w:r>
      <w:r w:rsidRPr="00D111EE">
        <w:rPr>
          <w:rFonts w:cstheme="minorHAnsi"/>
          <w:color w:val="222222"/>
          <w:shd w:val="clear" w:color="auto" w:fill="FFFFFF"/>
        </w:rPr>
        <w:t>, </w:t>
      </w:r>
      <w:r w:rsidRPr="00D111EE">
        <w:rPr>
          <w:rFonts w:cstheme="minorHAnsi"/>
          <w:i/>
          <w:iCs/>
          <w:color w:val="222222"/>
          <w:shd w:val="clear" w:color="auto" w:fill="FFFFFF"/>
        </w:rPr>
        <w:t>19</w:t>
      </w:r>
      <w:r w:rsidRPr="00D111EE">
        <w:rPr>
          <w:rFonts w:cstheme="minorHAnsi"/>
          <w:color w:val="222222"/>
          <w:shd w:val="clear" w:color="auto" w:fill="FFFFFF"/>
        </w:rPr>
        <w:t>(90), pp.297-301.</w:t>
      </w:r>
    </w:p>
    <w:p w14:paraId="79AA6F28" w14:textId="4D519B08" w:rsidR="00DC2989" w:rsidRPr="00D111EE" w:rsidRDefault="00DC2989" w:rsidP="009E071D">
      <w:pPr>
        <w:spacing w:line="360" w:lineRule="auto"/>
        <w:ind w:left="720" w:hanging="720"/>
        <w:rPr>
          <w:rFonts w:cstheme="minorHAnsi"/>
        </w:rPr>
      </w:pPr>
      <w:r w:rsidRPr="00D111EE">
        <w:rPr>
          <w:rFonts w:cstheme="minorHAnsi"/>
          <w:color w:val="222222"/>
          <w:shd w:val="clear" w:color="auto" w:fill="FFFFFF"/>
        </w:rPr>
        <w:t xml:space="preserve">Corfield, S.M., </w:t>
      </w:r>
      <w:proofErr w:type="spellStart"/>
      <w:r w:rsidRPr="00D111EE">
        <w:rPr>
          <w:rFonts w:cstheme="minorHAnsi"/>
          <w:color w:val="222222"/>
          <w:shd w:val="clear" w:color="auto" w:fill="FFFFFF"/>
        </w:rPr>
        <w:t>Gawthorpe</w:t>
      </w:r>
      <w:proofErr w:type="spellEnd"/>
      <w:r w:rsidRPr="00D111EE">
        <w:rPr>
          <w:rFonts w:cstheme="minorHAnsi"/>
          <w:color w:val="222222"/>
          <w:shd w:val="clear" w:color="auto" w:fill="FFFFFF"/>
        </w:rPr>
        <w:t xml:space="preserve">, R.L., Gage, M., Fraser, A.J. and </w:t>
      </w:r>
      <w:proofErr w:type="spellStart"/>
      <w:r w:rsidRPr="00D111EE">
        <w:rPr>
          <w:rFonts w:cstheme="minorHAnsi"/>
          <w:color w:val="222222"/>
          <w:shd w:val="clear" w:color="auto" w:fill="FFFFFF"/>
        </w:rPr>
        <w:t>Besly</w:t>
      </w:r>
      <w:proofErr w:type="spellEnd"/>
      <w:r w:rsidRPr="00D111EE">
        <w:rPr>
          <w:rFonts w:cstheme="minorHAnsi"/>
          <w:color w:val="222222"/>
          <w:shd w:val="clear" w:color="auto" w:fill="FFFFFF"/>
        </w:rPr>
        <w:t>, B.M., 1996. Inversion tectonics of the Variscan foreland of the British Isles.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153</w:t>
      </w:r>
      <w:r w:rsidRPr="00D111EE">
        <w:rPr>
          <w:rFonts w:cstheme="minorHAnsi"/>
          <w:color w:val="222222"/>
          <w:shd w:val="clear" w:color="auto" w:fill="FFFFFF"/>
        </w:rPr>
        <w:t>(1), pp.17-32.</w:t>
      </w:r>
    </w:p>
    <w:p w14:paraId="31376E18" w14:textId="77777777" w:rsidR="0068751B" w:rsidRPr="00D111EE" w:rsidRDefault="00C67686"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Coward, M.P., 1993. The effect of Late Caledonian and Variscan continental escape tectonics on basement structure, </w:t>
      </w:r>
      <w:proofErr w:type="spellStart"/>
      <w:r w:rsidRPr="00D111EE">
        <w:rPr>
          <w:rFonts w:cstheme="minorHAnsi"/>
          <w:color w:val="222222"/>
          <w:shd w:val="clear" w:color="auto" w:fill="FFFFFF"/>
        </w:rPr>
        <w:t>Paleozoic</w:t>
      </w:r>
      <w:proofErr w:type="spellEnd"/>
      <w:r w:rsidRPr="00D111EE">
        <w:rPr>
          <w:rFonts w:cstheme="minorHAnsi"/>
          <w:color w:val="222222"/>
          <w:shd w:val="clear" w:color="auto" w:fill="FFFFFF"/>
        </w:rPr>
        <w:t xml:space="preserve"> basin kinematics and subsequent Mesozoic basin development in NW Europe. In </w:t>
      </w:r>
      <w:r w:rsidRPr="00D111EE">
        <w:rPr>
          <w:rFonts w:cstheme="minorHAnsi"/>
          <w:i/>
          <w:iCs/>
          <w:color w:val="222222"/>
          <w:shd w:val="clear" w:color="auto" w:fill="FFFFFF"/>
        </w:rPr>
        <w:t>Geological Society, London, Petroleum Geology Conference series</w:t>
      </w:r>
      <w:r w:rsidRPr="00D111EE">
        <w:rPr>
          <w:rFonts w:cstheme="minorHAnsi"/>
          <w:color w:val="222222"/>
          <w:shd w:val="clear" w:color="auto" w:fill="FFFFFF"/>
        </w:rPr>
        <w:t> (Vol. 4, No. 1, pp. 1095-1108). Geological Society of London.</w:t>
      </w:r>
    </w:p>
    <w:p w14:paraId="4F38368E" w14:textId="0D05C3DB"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Coward, M.P., 1995. Structural and tectonic setting of the </w:t>
      </w:r>
      <w:proofErr w:type="spellStart"/>
      <w:r w:rsidRPr="00D111EE">
        <w:rPr>
          <w:rFonts w:cstheme="minorHAnsi"/>
        </w:rPr>
        <w:t>Permo</w:t>
      </w:r>
      <w:proofErr w:type="spellEnd"/>
      <w:r w:rsidRPr="00D111EE">
        <w:rPr>
          <w:rFonts w:cstheme="minorHAnsi"/>
        </w:rPr>
        <w:t>-Triassic basins of northwest Europe. Geological Society, London, Special Publications, 91(1), pp.7-39.</w:t>
      </w:r>
    </w:p>
    <w:p w14:paraId="3A91C379" w14:textId="21492A91"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Cowie, P.A. and </w:t>
      </w:r>
      <w:proofErr w:type="spellStart"/>
      <w:r w:rsidRPr="00D111EE">
        <w:rPr>
          <w:rFonts w:cstheme="minorHAnsi"/>
        </w:rPr>
        <w:t>Scholz</w:t>
      </w:r>
      <w:proofErr w:type="spellEnd"/>
      <w:r w:rsidRPr="00D111EE">
        <w:rPr>
          <w:rFonts w:cstheme="minorHAnsi"/>
        </w:rPr>
        <w:t>, C.H., 1992. Physical explanation for the displacement-length relationship of faults using a post-yield fracture mechanics model. Journal of Structural Geology, 14(10), pp.1133-1148.</w:t>
      </w:r>
    </w:p>
    <w:p w14:paraId="3C421939" w14:textId="01AC82FC" w:rsidR="00DC2989" w:rsidRPr="00D111EE" w:rsidRDefault="00DC2989"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lastRenderedPageBreak/>
        <w:t xml:space="preserve">Cowie, P.A., Gupta, S. and </w:t>
      </w:r>
      <w:proofErr w:type="spellStart"/>
      <w:r w:rsidRPr="00D111EE">
        <w:rPr>
          <w:rFonts w:cstheme="minorHAnsi"/>
          <w:color w:val="222222"/>
          <w:shd w:val="clear" w:color="auto" w:fill="FFFFFF"/>
        </w:rPr>
        <w:t>Dawers</w:t>
      </w:r>
      <w:proofErr w:type="spellEnd"/>
      <w:r w:rsidRPr="00D111EE">
        <w:rPr>
          <w:rFonts w:cstheme="minorHAnsi"/>
          <w:color w:val="222222"/>
          <w:shd w:val="clear" w:color="auto" w:fill="FFFFFF"/>
        </w:rPr>
        <w:t xml:space="preserve">, N.H., 2000. Implications of fault array evolution for </w:t>
      </w:r>
      <w:proofErr w:type="spellStart"/>
      <w:r w:rsidRPr="00D111EE">
        <w:rPr>
          <w:rFonts w:cstheme="minorHAnsi"/>
          <w:color w:val="222222"/>
          <w:shd w:val="clear" w:color="auto" w:fill="FFFFFF"/>
        </w:rPr>
        <w:t>synrift</w:t>
      </w:r>
      <w:proofErr w:type="spellEnd"/>
      <w:r w:rsidRPr="00D111EE">
        <w:rPr>
          <w:rFonts w:cstheme="minorHAnsi"/>
          <w:color w:val="222222"/>
          <w:shd w:val="clear" w:color="auto" w:fill="FFFFFF"/>
        </w:rPr>
        <w:t xml:space="preserve"> depocentre development: insights from a numerical fault growth model. </w:t>
      </w:r>
      <w:r w:rsidRPr="00D111EE">
        <w:rPr>
          <w:rFonts w:cstheme="minorHAnsi"/>
          <w:i/>
          <w:iCs/>
          <w:color w:val="222222"/>
          <w:shd w:val="clear" w:color="auto" w:fill="FFFFFF"/>
        </w:rPr>
        <w:t>Basin Research</w:t>
      </w:r>
      <w:r w:rsidRPr="00D111EE">
        <w:rPr>
          <w:rFonts w:cstheme="minorHAnsi"/>
          <w:color w:val="222222"/>
          <w:shd w:val="clear" w:color="auto" w:fill="FFFFFF"/>
        </w:rPr>
        <w:t>, </w:t>
      </w:r>
      <w:r w:rsidRPr="00D111EE">
        <w:rPr>
          <w:rFonts w:cstheme="minorHAnsi"/>
          <w:i/>
          <w:iCs/>
          <w:color w:val="222222"/>
          <w:shd w:val="clear" w:color="auto" w:fill="FFFFFF"/>
        </w:rPr>
        <w:t>12</w:t>
      </w:r>
      <w:r w:rsidR="00EC5F46" w:rsidRPr="00D111EE">
        <w:rPr>
          <w:rFonts w:cstheme="minorHAnsi"/>
          <w:color w:val="222222"/>
          <w:shd w:val="clear" w:color="auto" w:fill="FFFFFF"/>
        </w:rPr>
        <w:t>(3-4), pp.241-261.</w:t>
      </w:r>
    </w:p>
    <w:p w14:paraId="52B2184A" w14:textId="6DBC8A16" w:rsidR="00A30660" w:rsidRPr="00D111EE" w:rsidRDefault="00A30660"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Davydov</w:t>
      </w:r>
      <w:proofErr w:type="spellEnd"/>
      <w:r w:rsidRPr="00D111EE">
        <w:rPr>
          <w:rFonts w:cstheme="minorHAnsi"/>
          <w:color w:val="222222"/>
          <w:shd w:val="clear" w:color="auto" w:fill="FFFFFF"/>
        </w:rPr>
        <w:t xml:space="preserve">, V.I., </w:t>
      </w:r>
      <w:proofErr w:type="spellStart"/>
      <w:r w:rsidRPr="00D111EE">
        <w:rPr>
          <w:rFonts w:cstheme="minorHAnsi"/>
          <w:color w:val="222222"/>
          <w:shd w:val="clear" w:color="auto" w:fill="FFFFFF"/>
        </w:rPr>
        <w:t>Korn</w:t>
      </w:r>
      <w:proofErr w:type="spellEnd"/>
      <w:r w:rsidRPr="00D111EE">
        <w:rPr>
          <w:rFonts w:cstheme="minorHAnsi"/>
          <w:color w:val="222222"/>
          <w:shd w:val="clear" w:color="auto" w:fill="FFFFFF"/>
        </w:rPr>
        <w:t>, D., Schmitz, M.D., Gradstein, F.M. and Hammer, O., 2012. The carboniferous period. In </w:t>
      </w:r>
      <w:r w:rsidRPr="00D111EE">
        <w:rPr>
          <w:rFonts w:cstheme="minorHAnsi"/>
          <w:i/>
          <w:iCs/>
          <w:color w:val="222222"/>
          <w:shd w:val="clear" w:color="auto" w:fill="FFFFFF"/>
        </w:rPr>
        <w:t>The geologic time scale</w:t>
      </w:r>
      <w:r w:rsidRPr="00D111EE">
        <w:rPr>
          <w:rFonts w:cstheme="minorHAnsi"/>
          <w:color w:val="222222"/>
          <w:shd w:val="clear" w:color="auto" w:fill="FFFFFF"/>
        </w:rPr>
        <w:t> (pp. 603-651).</w:t>
      </w:r>
    </w:p>
    <w:p w14:paraId="671EDDA2" w14:textId="75953281" w:rsidR="00ED1B8C" w:rsidRPr="00D111EE" w:rsidRDefault="00ED1B8C"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Day, J.B.W., 1970. Geology of the country around </w:t>
      </w:r>
      <w:proofErr w:type="spellStart"/>
      <w:r w:rsidRPr="00D111EE">
        <w:rPr>
          <w:rFonts w:cstheme="minorHAnsi"/>
          <w:color w:val="222222"/>
          <w:shd w:val="clear" w:color="auto" w:fill="FFFFFF"/>
        </w:rPr>
        <w:t>Bewcastle</w:t>
      </w:r>
      <w:proofErr w:type="spellEnd"/>
      <w:r w:rsidRPr="00D111EE">
        <w:rPr>
          <w:rFonts w:cstheme="minorHAnsi"/>
          <w:color w:val="222222"/>
          <w:shd w:val="clear" w:color="auto" w:fill="FFFFFF"/>
        </w:rPr>
        <w:t>. </w:t>
      </w:r>
      <w:r w:rsidRPr="00D111EE">
        <w:rPr>
          <w:rFonts w:cstheme="minorHAnsi"/>
          <w:i/>
          <w:iCs/>
          <w:color w:val="222222"/>
          <w:shd w:val="clear" w:color="auto" w:fill="FFFFFF"/>
        </w:rPr>
        <w:t>Memoires of the Geological Survey of Great Britain</w:t>
      </w:r>
      <w:r w:rsidRPr="00D111EE">
        <w:rPr>
          <w:rFonts w:cstheme="minorHAnsi"/>
          <w:color w:val="222222"/>
          <w:shd w:val="clear" w:color="auto" w:fill="FFFFFF"/>
        </w:rPr>
        <w:t>, pp.95-99.</w:t>
      </w:r>
    </w:p>
    <w:p w14:paraId="0504C34A" w14:textId="55154386"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Dean, M.T., Browne, M.A.E., Waters, C.N. and Powell, J.H., 2011. A </w:t>
      </w:r>
      <w:proofErr w:type="spellStart"/>
      <w:r w:rsidRPr="00D111EE">
        <w:rPr>
          <w:rFonts w:cstheme="minorHAnsi"/>
        </w:rPr>
        <w:t>lithostratigraphical</w:t>
      </w:r>
      <w:proofErr w:type="spellEnd"/>
      <w:r w:rsidRPr="00D111EE">
        <w:rPr>
          <w:rFonts w:cstheme="minorHAnsi"/>
        </w:rPr>
        <w:t xml:space="preserve"> framework for the Carboniferous successions of northern Great Britain (onshore). British Geological Survey.</w:t>
      </w:r>
    </w:p>
    <w:p w14:paraId="2BCC3F60" w14:textId="50B0FF42" w:rsidR="00027307" w:rsidRPr="00D111EE" w:rsidRDefault="00027307"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De Paola, N., </w:t>
      </w:r>
      <w:proofErr w:type="spellStart"/>
      <w:r w:rsidRPr="00D111EE">
        <w:rPr>
          <w:rFonts w:cstheme="minorHAnsi"/>
          <w:color w:val="222222"/>
          <w:shd w:val="clear" w:color="auto" w:fill="FFFFFF"/>
        </w:rPr>
        <w:t>Holdsworth</w:t>
      </w:r>
      <w:proofErr w:type="spellEnd"/>
      <w:r w:rsidRPr="00D111EE">
        <w:rPr>
          <w:rFonts w:cstheme="minorHAnsi"/>
          <w:color w:val="222222"/>
          <w:shd w:val="clear" w:color="auto" w:fill="FFFFFF"/>
        </w:rPr>
        <w:t xml:space="preserve">, R.E., McCaffrey, K.J. and </w:t>
      </w:r>
      <w:proofErr w:type="spellStart"/>
      <w:r w:rsidRPr="00D111EE">
        <w:rPr>
          <w:rFonts w:cstheme="minorHAnsi"/>
          <w:color w:val="222222"/>
          <w:shd w:val="clear" w:color="auto" w:fill="FFFFFF"/>
        </w:rPr>
        <w:t>Barchi</w:t>
      </w:r>
      <w:proofErr w:type="spellEnd"/>
      <w:r w:rsidRPr="00D111EE">
        <w:rPr>
          <w:rFonts w:cstheme="minorHAnsi"/>
          <w:color w:val="222222"/>
          <w:shd w:val="clear" w:color="auto" w:fill="FFFFFF"/>
        </w:rPr>
        <w:t xml:space="preserve">, M.R., 2005. Partitioned </w:t>
      </w:r>
      <w:proofErr w:type="spellStart"/>
      <w:r w:rsidRPr="00D111EE">
        <w:rPr>
          <w:rFonts w:cstheme="minorHAnsi"/>
          <w:color w:val="222222"/>
          <w:shd w:val="clear" w:color="auto" w:fill="FFFFFF"/>
        </w:rPr>
        <w:t>transtension</w:t>
      </w:r>
      <w:proofErr w:type="spellEnd"/>
      <w:r w:rsidRPr="00D111EE">
        <w:rPr>
          <w:rFonts w:cstheme="minorHAnsi"/>
          <w:color w:val="222222"/>
          <w:shd w:val="clear" w:color="auto" w:fill="FFFFFF"/>
        </w:rPr>
        <w:t>: an alternative to basin inversion models. </w:t>
      </w:r>
      <w:r w:rsidRPr="00D111EE">
        <w:rPr>
          <w:rFonts w:cstheme="minorHAnsi"/>
          <w:i/>
          <w:iCs/>
          <w:color w:val="222222"/>
          <w:shd w:val="clear" w:color="auto" w:fill="FFFFFF"/>
        </w:rPr>
        <w:t>Journal of Structural Geology</w:t>
      </w:r>
      <w:r w:rsidRPr="00D111EE">
        <w:rPr>
          <w:rFonts w:cstheme="minorHAnsi"/>
          <w:color w:val="222222"/>
          <w:shd w:val="clear" w:color="auto" w:fill="FFFFFF"/>
        </w:rPr>
        <w:t>, </w:t>
      </w:r>
      <w:r w:rsidRPr="00D111EE">
        <w:rPr>
          <w:rFonts w:cstheme="minorHAnsi"/>
          <w:i/>
          <w:iCs/>
          <w:color w:val="222222"/>
          <w:shd w:val="clear" w:color="auto" w:fill="FFFFFF"/>
        </w:rPr>
        <w:t>27</w:t>
      </w:r>
      <w:r w:rsidRPr="00D111EE">
        <w:rPr>
          <w:rFonts w:cstheme="minorHAnsi"/>
          <w:color w:val="222222"/>
          <w:shd w:val="clear" w:color="auto" w:fill="FFFFFF"/>
        </w:rPr>
        <w:t>(4), pp.607-625.</w:t>
      </w:r>
    </w:p>
    <w:p w14:paraId="30BF1858" w14:textId="63A5A5FA" w:rsidR="00DC2989" w:rsidRPr="00D111EE" w:rsidRDefault="00DC2989" w:rsidP="009E071D">
      <w:pPr>
        <w:spacing w:after="100" w:afterAutospacing="1" w:line="360" w:lineRule="auto"/>
        <w:ind w:left="720" w:hanging="720"/>
        <w:rPr>
          <w:rFonts w:cstheme="minorHAnsi"/>
        </w:rPr>
      </w:pPr>
      <w:r w:rsidRPr="00D111EE">
        <w:rPr>
          <w:rFonts w:cstheme="minorHAnsi"/>
          <w:color w:val="222222"/>
          <w:shd w:val="clear" w:color="auto" w:fill="FFFFFF"/>
        </w:rPr>
        <w:t>Dewey, J.F., 1982. Plate tectonics and the evolution of the British Isles: Thirty-fifth William Smith Lecture.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139</w:t>
      </w:r>
      <w:r w:rsidRPr="00D111EE">
        <w:rPr>
          <w:rFonts w:cstheme="minorHAnsi"/>
          <w:color w:val="222222"/>
          <w:shd w:val="clear" w:color="auto" w:fill="FFFFFF"/>
        </w:rPr>
        <w:t>(4), pp.371-412.</w:t>
      </w:r>
    </w:p>
    <w:p w14:paraId="22C4A88E" w14:textId="77777777" w:rsidR="00B13E0E" w:rsidRPr="00D111EE" w:rsidRDefault="00B13E0E" w:rsidP="009E071D">
      <w:pPr>
        <w:spacing w:after="100" w:afterAutospacing="1" w:line="360" w:lineRule="auto"/>
        <w:ind w:left="720" w:hanging="720"/>
        <w:rPr>
          <w:rFonts w:cstheme="minorHAnsi"/>
        </w:rPr>
      </w:pPr>
      <w:r w:rsidRPr="00D111EE">
        <w:rPr>
          <w:rFonts w:cstheme="minorHAnsi"/>
        </w:rPr>
        <w:t>de Saint-</w:t>
      </w:r>
      <w:proofErr w:type="spellStart"/>
      <w:r w:rsidRPr="00D111EE">
        <w:rPr>
          <w:rFonts w:cstheme="minorHAnsi"/>
        </w:rPr>
        <w:t>Blanquat</w:t>
      </w:r>
      <w:proofErr w:type="spellEnd"/>
      <w:r w:rsidRPr="00D111EE">
        <w:rPr>
          <w:rFonts w:cstheme="minorHAnsi"/>
        </w:rPr>
        <w:t xml:space="preserve">, M., Law, R.D., </w:t>
      </w:r>
      <w:proofErr w:type="spellStart"/>
      <w:r w:rsidRPr="00D111EE">
        <w:rPr>
          <w:rFonts w:cstheme="minorHAnsi"/>
        </w:rPr>
        <w:t>Bouchez</w:t>
      </w:r>
      <w:proofErr w:type="spellEnd"/>
      <w:r w:rsidRPr="00D111EE">
        <w:rPr>
          <w:rFonts w:cstheme="minorHAnsi"/>
        </w:rPr>
        <w:t>, J.L. and Morgan, S.S., 2001. Internal structure and emplacement of the Papoose Flat pluton: An integrated structural, petrographic, and magnetic susceptibility study. Geological Society of America Bulletin, 113(8), pp.976-995.</w:t>
      </w:r>
    </w:p>
    <w:p w14:paraId="6D830BAD" w14:textId="4FF8915E"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de Castro, D.L., </w:t>
      </w:r>
      <w:proofErr w:type="spellStart"/>
      <w:r w:rsidRPr="00D111EE">
        <w:rPr>
          <w:rFonts w:cstheme="minorHAnsi"/>
        </w:rPr>
        <w:t>Bezerra</w:t>
      </w:r>
      <w:proofErr w:type="spellEnd"/>
      <w:r w:rsidRPr="00D111EE">
        <w:rPr>
          <w:rFonts w:cstheme="minorHAnsi"/>
        </w:rPr>
        <w:t xml:space="preserve">, F.H. and </w:t>
      </w:r>
      <w:proofErr w:type="spellStart"/>
      <w:r w:rsidRPr="00D111EE">
        <w:rPr>
          <w:rFonts w:cstheme="minorHAnsi"/>
        </w:rPr>
        <w:t>Branco</w:t>
      </w:r>
      <w:proofErr w:type="spellEnd"/>
      <w:r w:rsidRPr="00D111EE">
        <w:rPr>
          <w:rFonts w:cstheme="minorHAnsi"/>
        </w:rPr>
        <w:t xml:space="preserve">, R.M.C., 2008. Geophysical evidence of crustal-heterogeneity control of fault growth in the </w:t>
      </w:r>
      <w:proofErr w:type="spellStart"/>
      <w:r w:rsidRPr="00D111EE">
        <w:rPr>
          <w:rFonts w:cstheme="minorHAnsi"/>
        </w:rPr>
        <w:t>Neocomian</w:t>
      </w:r>
      <w:proofErr w:type="spellEnd"/>
      <w:r w:rsidRPr="00D111EE">
        <w:rPr>
          <w:rFonts w:cstheme="minorHAnsi"/>
        </w:rPr>
        <w:t xml:space="preserve"> </w:t>
      </w:r>
      <w:proofErr w:type="spellStart"/>
      <w:r w:rsidRPr="00D111EE">
        <w:rPr>
          <w:rFonts w:cstheme="minorHAnsi"/>
        </w:rPr>
        <w:t>Iguatu</w:t>
      </w:r>
      <w:proofErr w:type="spellEnd"/>
      <w:r w:rsidRPr="00D111EE">
        <w:rPr>
          <w:rFonts w:cstheme="minorHAnsi"/>
        </w:rPr>
        <w:t xml:space="preserve"> basin, NE Brazil. Journal of South American Earth Sciences, 26(3), pp.271-285.</w:t>
      </w:r>
    </w:p>
    <w:p w14:paraId="5763DF9C" w14:textId="77777777" w:rsidR="00B13E0E" w:rsidRPr="00D111EE" w:rsidRDefault="00B13E0E"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Dimitropoulos</w:t>
      </w:r>
      <w:proofErr w:type="spellEnd"/>
      <w:r w:rsidRPr="00D111EE">
        <w:rPr>
          <w:rFonts w:cstheme="minorHAnsi"/>
          <w:color w:val="222222"/>
          <w:shd w:val="clear" w:color="auto" w:fill="FFFFFF"/>
        </w:rPr>
        <w:t>, K. and Donato, J.A., 1981. The inner moray firth central ridge, a geophysical interpretation. </w:t>
      </w:r>
      <w:r w:rsidRPr="00D111EE">
        <w:rPr>
          <w:rFonts w:cstheme="minorHAnsi"/>
          <w:i/>
          <w:iCs/>
          <w:color w:val="222222"/>
          <w:shd w:val="clear" w:color="auto" w:fill="FFFFFF"/>
        </w:rPr>
        <w:t>Scottish Journal of Geology</w:t>
      </w:r>
      <w:r w:rsidRPr="00D111EE">
        <w:rPr>
          <w:rFonts w:cstheme="minorHAnsi"/>
          <w:color w:val="222222"/>
          <w:shd w:val="clear" w:color="auto" w:fill="FFFFFF"/>
        </w:rPr>
        <w:t>, </w:t>
      </w:r>
      <w:r w:rsidRPr="00D111EE">
        <w:rPr>
          <w:rFonts w:cstheme="minorHAnsi"/>
          <w:i/>
          <w:iCs/>
          <w:color w:val="222222"/>
          <w:shd w:val="clear" w:color="auto" w:fill="FFFFFF"/>
        </w:rPr>
        <w:t>17</w:t>
      </w:r>
      <w:r w:rsidRPr="00D111EE">
        <w:rPr>
          <w:rFonts w:cstheme="minorHAnsi"/>
          <w:color w:val="222222"/>
          <w:shd w:val="clear" w:color="auto" w:fill="FFFFFF"/>
        </w:rPr>
        <w:t>(1), pp.27-38.</w:t>
      </w:r>
    </w:p>
    <w:p w14:paraId="2D8655F0" w14:textId="77777777" w:rsidR="00B13E0E" w:rsidRPr="00D111EE" w:rsidRDefault="00B13E0E"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Donato, J.A., Tully, M.C., </w:t>
      </w:r>
      <w:proofErr w:type="spellStart"/>
      <w:r w:rsidRPr="00D111EE">
        <w:rPr>
          <w:rFonts w:cstheme="minorHAnsi"/>
          <w:color w:val="222222"/>
          <w:shd w:val="clear" w:color="auto" w:fill="FFFFFF"/>
        </w:rPr>
        <w:t>Illing</w:t>
      </w:r>
      <w:proofErr w:type="spellEnd"/>
      <w:r w:rsidRPr="00D111EE">
        <w:rPr>
          <w:rFonts w:cstheme="minorHAnsi"/>
          <w:color w:val="222222"/>
          <w:shd w:val="clear" w:color="auto" w:fill="FFFFFF"/>
        </w:rPr>
        <w:t>, L.V. and Hobson, G.D., 1981. A regional interpretation of North Sea gravity data. </w:t>
      </w:r>
      <w:r w:rsidRPr="00D111EE">
        <w:rPr>
          <w:rFonts w:cstheme="minorHAnsi"/>
          <w:i/>
          <w:iCs/>
          <w:color w:val="222222"/>
          <w:shd w:val="clear" w:color="auto" w:fill="FFFFFF"/>
        </w:rPr>
        <w:t>Petroleum geology of the continental shelf of North-West Europe</w:t>
      </w:r>
      <w:r w:rsidRPr="00D111EE">
        <w:rPr>
          <w:rFonts w:cstheme="minorHAnsi"/>
          <w:color w:val="222222"/>
          <w:shd w:val="clear" w:color="auto" w:fill="FFFFFF"/>
        </w:rPr>
        <w:t>, pp.65-75.</w:t>
      </w:r>
    </w:p>
    <w:p w14:paraId="159BB21B" w14:textId="77777777"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Donato, J.A., Martindale, W. and Tully, M.C., 1983. Buried granites within the Mid North Sea High.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140</w:t>
      </w:r>
      <w:r w:rsidRPr="00D111EE">
        <w:rPr>
          <w:rFonts w:cstheme="minorHAnsi"/>
          <w:color w:val="222222"/>
          <w:shd w:val="clear" w:color="auto" w:fill="FFFFFF"/>
        </w:rPr>
        <w:t>(5), pp.825-837.</w:t>
      </w:r>
    </w:p>
    <w:p w14:paraId="110C6817" w14:textId="77777777"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Donato, J.A. and </w:t>
      </w:r>
      <w:proofErr w:type="spellStart"/>
      <w:r w:rsidRPr="00D111EE">
        <w:rPr>
          <w:rFonts w:cstheme="minorHAnsi"/>
          <w:color w:val="222222"/>
          <w:shd w:val="clear" w:color="auto" w:fill="FFFFFF"/>
        </w:rPr>
        <w:t>Megson</w:t>
      </w:r>
      <w:proofErr w:type="spellEnd"/>
      <w:r w:rsidRPr="00D111EE">
        <w:rPr>
          <w:rFonts w:cstheme="minorHAnsi"/>
          <w:color w:val="222222"/>
          <w:shd w:val="clear" w:color="auto" w:fill="FFFFFF"/>
        </w:rPr>
        <w:t>, J.B., 1990. A buried granite batholith beneath the East Midland Shelf of the Southern North Sea Basin. Journal of the Geological Society, 147(1), pp.133-140.</w:t>
      </w:r>
    </w:p>
    <w:p w14:paraId="2401E943" w14:textId="15E18FA5"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lastRenderedPageBreak/>
        <w:t>Donato, J.A., 1993. A buried granite batholith and the origin of the Sole Pit Basin, UK Southern North Sea. Journal of the Geological Society, 150(2), pp.255-258.</w:t>
      </w:r>
    </w:p>
    <w:p w14:paraId="09506418" w14:textId="00F62F7C" w:rsidR="00DF17BD" w:rsidRPr="00D111EE" w:rsidRDefault="00DF17BD"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D</w:t>
      </w:r>
      <w:r w:rsidR="00745892" w:rsidRPr="00D111EE">
        <w:rPr>
          <w:rFonts w:cstheme="minorHAnsi"/>
          <w:color w:val="222222"/>
          <w:shd w:val="clear" w:color="auto" w:fill="FFFFFF"/>
        </w:rPr>
        <w:t>unham, K.C., Dunham</w:t>
      </w:r>
      <w:r w:rsidRPr="00D111EE">
        <w:rPr>
          <w:rFonts w:cstheme="minorHAnsi"/>
          <w:color w:val="222222"/>
          <w:shd w:val="clear" w:color="auto" w:fill="FFFFFF"/>
        </w:rPr>
        <w:t>, A</w:t>
      </w:r>
      <w:r w:rsidR="00745892" w:rsidRPr="00D111EE">
        <w:rPr>
          <w:rFonts w:cstheme="minorHAnsi"/>
          <w:color w:val="222222"/>
          <w:shd w:val="clear" w:color="auto" w:fill="FFFFFF"/>
        </w:rPr>
        <w:t>.C., Hodge, B.L. and Johnson</w:t>
      </w:r>
      <w:r w:rsidRPr="00D111EE">
        <w:rPr>
          <w:rFonts w:cstheme="minorHAnsi"/>
          <w:color w:val="222222"/>
          <w:shd w:val="clear" w:color="auto" w:fill="FFFFFF"/>
        </w:rPr>
        <w:t xml:space="preserve">, G.A.L., 1965. Granite beneath Viséan sediments with mineralization at </w:t>
      </w:r>
      <w:proofErr w:type="spellStart"/>
      <w:r w:rsidRPr="00D111EE">
        <w:rPr>
          <w:rFonts w:cstheme="minorHAnsi"/>
          <w:color w:val="222222"/>
          <w:shd w:val="clear" w:color="auto" w:fill="FFFFFF"/>
        </w:rPr>
        <w:t>Rookhope</w:t>
      </w:r>
      <w:proofErr w:type="spellEnd"/>
      <w:r w:rsidRPr="00D111EE">
        <w:rPr>
          <w:rFonts w:cstheme="minorHAnsi"/>
          <w:color w:val="222222"/>
          <w:shd w:val="clear" w:color="auto" w:fill="FFFFFF"/>
        </w:rPr>
        <w:t>, northern Pennines. </w:t>
      </w:r>
      <w:r w:rsidRPr="00D111EE">
        <w:rPr>
          <w:rFonts w:cstheme="minorHAnsi"/>
          <w:i/>
          <w:iCs/>
          <w:color w:val="222222"/>
          <w:shd w:val="clear" w:color="auto" w:fill="FFFFFF"/>
        </w:rPr>
        <w:t>Quarterly 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121</w:t>
      </w:r>
      <w:r w:rsidRPr="00D111EE">
        <w:rPr>
          <w:rFonts w:cstheme="minorHAnsi"/>
          <w:color w:val="222222"/>
          <w:shd w:val="clear" w:color="auto" w:fill="FFFFFF"/>
        </w:rPr>
        <w:t>(1-4), pp.383-414.</w:t>
      </w:r>
    </w:p>
    <w:p w14:paraId="4000D468" w14:textId="4C2C3741" w:rsidR="00814B92" w:rsidRPr="00D111EE" w:rsidRDefault="00814B92"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Egan, S.S., 1992. The flexural isostatic response of the lithosphere to extensional tectonics. </w:t>
      </w:r>
      <w:r w:rsidRPr="00D111EE">
        <w:rPr>
          <w:rFonts w:cstheme="minorHAnsi"/>
          <w:i/>
          <w:iCs/>
          <w:color w:val="222222"/>
          <w:shd w:val="clear" w:color="auto" w:fill="FFFFFF"/>
        </w:rPr>
        <w:t>Tectonophysics</w:t>
      </w:r>
      <w:r w:rsidRPr="00D111EE">
        <w:rPr>
          <w:rFonts w:cstheme="minorHAnsi"/>
          <w:color w:val="222222"/>
          <w:shd w:val="clear" w:color="auto" w:fill="FFFFFF"/>
        </w:rPr>
        <w:t>, </w:t>
      </w:r>
      <w:r w:rsidRPr="00D111EE">
        <w:rPr>
          <w:rFonts w:cstheme="minorHAnsi"/>
          <w:i/>
          <w:iCs/>
          <w:color w:val="222222"/>
          <w:shd w:val="clear" w:color="auto" w:fill="FFFFFF"/>
        </w:rPr>
        <w:t>202</w:t>
      </w:r>
      <w:r w:rsidRPr="00D111EE">
        <w:rPr>
          <w:rFonts w:cstheme="minorHAnsi"/>
          <w:color w:val="222222"/>
          <w:shd w:val="clear" w:color="auto" w:fill="FFFFFF"/>
        </w:rPr>
        <w:t>(2-4), pp.291-308.</w:t>
      </w:r>
    </w:p>
    <w:p w14:paraId="5750978C" w14:textId="141625D1" w:rsidR="00814B92" w:rsidRPr="00D111EE" w:rsidRDefault="00814B92"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Egan, S.S. and Urquhart, J.M., 1993. Numerical modelling of lithosphere shortening: application to the </w:t>
      </w:r>
      <w:proofErr w:type="spellStart"/>
      <w:r w:rsidRPr="00D111EE">
        <w:rPr>
          <w:rFonts w:cstheme="minorHAnsi"/>
          <w:color w:val="222222"/>
          <w:shd w:val="clear" w:color="auto" w:fill="FFFFFF"/>
        </w:rPr>
        <w:t>Laramide</w:t>
      </w:r>
      <w:proofErr w:type="spellEnd"/>
      <w:r w:rsidRPr="00D111EE">
        <w:rPr>
          <w:rFonts w:cstheme="minorHAnsi"/>
          <w:color w:val="222222"/>
          <w:shd w:val="clear" w:color="auto" w:fill="FFFFFF"/>
        </w:rPr>
        <w:t xml:space="preserve"> </w:t>
      </w:r>
      <w:proofErr w:type="spellStart"/>
      <w:r w:rsidRPr="00D111EE">
        <w:rPr>
          <w:rFonts w:cstheme="minorHAnsi"/>
          <w:color w:val="222222"/>
          <w:shd w:val="clear" w:color="auto" w:fill="FFFFFF"/>
        </w:rPr>
        <w:t>erogenic</w:t>
      </w:r>
      <w:proofErr w:type="spellEnd"/>
      <w:r w:rsidRPr="00D111EE">
        <w:rPr>
          <w:rFonts w:cstheme="minorHAnsi"/>
          <w:color w:val="222222"/>
          <w:shd w:val="clear" w:color="auto" w:fill="FFFFFF"/>
        </w:rPr>
        <w:t xml:space="preserve"> province, western USA. </w:t>
      </w:r>
      <w:r w:rsidRPr="00D111EE">
        <w:rPr>
          <w:rFonts w:cstheme="minorHAnsi"/>
          <w:i/>
          <w:iCs/>
          <w:color w:val="222222"/>
          <w:shd w:val="clear" w:color="auto" w:fill="FFFFFF"/>
        </w:rPr>
        <w:t>Tectonophysics</w:t>
      </w:r>
      <w:r w:rsidRPr="00D111EE">
        <w:rPr>
          <w:rFonts w:cstheme="minorHAnsi"/>
          <w:color w:val="222222"/>
          <w:shd w:val="clear" w:color="auto" w:fill="FFFFFF"/>
        </w:rPr>
        <w:t>, </w:t>
      </w:r>
      <w:r w:rsidRPr="00D111EE">
        <w:rPr>
          <w:rFonts w:cstheme="minorHAnsi"/>
          <w:i/>
          <w:iCs/>
          <w:color w:val="222222"/>
          <w:shd w:val="clear" w:color="auto" w:fill="FFFFFF"/>
        </w:rPr>
        <w:t>221</w:t>
      </w:r>
      <w:r w:rsidRPr="00D111EE">
        <w:rPr>
          <w:rFonts w:cstheme="minorHAnsi"/>
          <w:color w:val="222222"/>
          <w:shd w:val="clear" w:color="auto" w:fill="FFFFFF"/>
        </w:rPr>
        <w:t>(3-4), pp.385-411.</w:t>
      </w:r>
    </w:p>
    <w:p w14:paraId="30B5835E" w14:textId="47C0D8C1" w:rsidR="00ED1B8C" w:rsidRPr="00D111EE" w:rsidRDefault="00ED1B8C"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Egan, S.S. and Meredith, D.J., 2007. A kinematic modelling approach to lithosphere deformation and basin formation: application to the Black Sea. </w:t>
      </w:r>
      <w:r w:rsidRPr="00D111EE">
        <w:rPr>
          <w:rFonts w:cstheme="minorHAnsi"/>
          <w:i/>
          <w:iCs/>
          <w:color w:val="222222"/>
          <w:shd w:val="clear" w:color="auto" w:fill="FFFFFF"/>
        </w:rPr>
        <w:t>Geological Society, London, Special Publications</w:t>
      </w:r>
      <w:r w:rsidRPr="00D111EE">
        <w:rPr>
          <w:rFonts w:cstheme="minorHAnsi"/>
          <w:color w:val="222222"/>
          <w:shd w:val="clear" w:color="auto" w:fill="FFFFFF"/>
        </w:rPr>
        <w:t>, </w:t>
      </w:r>
      <w:r w:rsidRPr="00D111EE">
        <w:rPr>
          <w:rFonts w:cstheme="minorHAnsi"/>
          <w:i/>
          <w:iCs/>
          <w:color w:val="222222"/>
          <w:shd w:val="clear" w:color="auto" w:fill="FFFFFF"/>
        </w:rPr>
        <w:t>282</w:t>
      </w:r>
      <w:r w:rsidRPr="00D111EE">
        <w:rPr>
          <w:rFonts w:cstheme="minorHAnsi"/>
          <w:color w:val="222222"/>
          <w:shd w:val="clear" w:color="auto" w:fill="FFFFFF"/>
        </w:rPr>
        <w:t>(1), pp.173-198.</w:t>
      </w:r>
    </w:p>
    <w:p w14:paraId="1152F6DC" w14:textId="3BDF6FCD" w:rsidR="001C79DB" w:rsidRPr="00D111EE" w:rsidRDefault="001C79DB"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Fraser, A.J. and </w:t>
      </w:r>
      <w:proofErr w:type="spellStart"/>
      <w:r w:rsidRPr="00D111EE">
        <w:rPr>
          <w:rFonts w:cstheme="minorHAnsi"/>
          <w:color w:val="222222"/>
          <w:shd w:val="clear" w:color="auto" w:fill="FFFFFF"/>
        </w:rPr>
        <w:t>Gawthorpe</w:t>
      </w:r>
      <w:proofErr w:type="spellEnd"/>
      <w:r w:rsidRPr="00D111EE">
        <w:rPr>
          <w:rFonts w:cstheme="minorHAnsi"/>
          <w:color w:val="222222"/>
          <w:shd w:val="clear" w:color="auto" w:fill="FFFFFF"/>
        </w:rPr>
        <w:t>, R.L., 2003. </w:t>
      </w:r>
      <w:r w:rsidRPr="00D111EE">
        <w:rPr>
          <w:rFonts w:cstheme="minorHAnsi"/>
          <w:i/>
          <w:iCs/>
          <w:color w:val="222222"/>
          <w:shd w:val="clear" w:color="auto" w:fill="FFFFFF"/>
        </w:rPr>
        <w:t>An atlas of Carboniferous basin evolution in northern England</w:t>
      </w:r>
      <w:r w:rsidRPr="00D111EE">
        <w:rPr>
          <w:rFonts w:cstheme="minorHAnsi"/>
          <w:color w:val="222222"/>
          <w:shd w:val="clear" w:color="auto" w:fill="FFFFFF"/>
        </w:rPr>
        <w:t>. Geological Society.</w:t>
      </w:r>
    </w:p>
    <w:p w14:paraId="05D0EF95" w14:textId="6C54F9B3" w:rsidR="00D111EE" w:rsidRPr="00D111EE" w:rsidRDefault="00D111E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Freeman, B., Klemperer, S.L. and Hobbs, R.W., 1988. The deep structure of northern England and the Iapetus Suture zone from BIRPS deep seismic reflection profiles.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145</w:t>
      </w:r>
      <w:r w:rsidRPr="00D111EE">
        <w:rPr>
          <w:rFonts w:cstheme="minorHAnsi"/>
          <w:color w:val="222222"/>
          <w:shd w:val="clear" w:color="auto" w:fill="FFFFFF"/>
        </w:rPr>
        <w:t>(5), pp.727-740.</w:t>
      </w:r>
    </w:p>
    <w:p w14:paraId="0DAE1AED" w14:textId="418F200D" w:rsidR="006224FE" w:rsidRPr="00D111EE" w:rsidRDefault="006224F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George, T.N., 1958. Lower Carboniferous </w:t>
      </w:r>
      <w:proofErr w:type="spellStart"/>
      <w:r w:rsidRPr="00D111EE">
        <w:rPr>
          <w:rFonts w:cstheme="minorHAnsi"/>
          <w:color w:val="222222"/>
          <w:shd w:val="clear" w:color="auto" w:fill="FFFFFF"/>
        </w:rPr>
        <w:t>palaeogeography</w:t>
      </w:r>
      <w:proofErr w:type="spellEnd"/>
      <w:r w:rsidRPr="00D111EE">
        <w:rPr>
          <w:rFonts w:cstheme="minorHAnsi"/>
          <w:color w:val="222222"/>
          <w:shd w:val="clear" w:color="auto" w:fill="FFFFFF"/>
        </w:rPr>
        <w:t xml:space="preserve"> of the British Isles. </w:t>
      </w:r>
      <w:r w:rsidRPr="00D111EE">
        <w:rPr>
          <w:rFonts w:cstheme="minorHAnsi"/>
          <w:i/>
          <w:iCs/>
          <w:color w:val="222222"/>
          <w:shd w:val="clear" w:color="auto" w:fill="FFFFFF"/>
        </w:rPr>
        <w:t>Proceedings of the Yorkshire Geological Society</w:t>
      </w:r>
      <w:r w:rsidRPr="00D111EE">
        <w:rPr>
          <w:rFonts w:cstheme="minorHAnsi"/>
          <w:color w:val="222222"/>
          <w:shd w:val="clear" w:color="auto" w:fill="FFFFFF"/>
        </w:rPr>
        <w:t>, </w:t>
      </w:r>
      <w:r w:rsidRPr="00D111EE">
        <w:rPr>
          <w:rFonts w:cstheme="minorHAnsi"/>
          <w:i/>
          <w:iCs/>
          <w:color w:val="222222"/>
          <w:shd w:val="clear" w:color="auto" w:fill="FFFFFF"/>
        </w:rPr>
        <w:t>31</w:t>
      </w:r>
      <w:r w:rsidRPr="00D111EE">
        <w:rPr>
          <w:rFonts w:cstheme="minorHAnsi"/>
          <w:color w:val="222222"/>
          <w:shd w:val="clear" w:color="auto" w:fill="FFFFFF"/>
        </w:rPr>
        <w:t>(3), pp.227-318.</w:t>
      </w:r>
    </w:p>
    <w:p w14:paraId="0ABE8375" w14:textId="722ED512" w:rsidR="00DC2989" w:rsidRPr="00D111EE" w:rsidRDefault="00DC2989"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Green, P.F., 2002. Early Tertiary paleo-thermal effects in Northern England: reconciling results from apatite fission track analysis with geological evidence. </w:t>
      </w:r>
      <w:r w:rsidRPr="00D111EE">
        <w:rPr>
          <w:rFonts w:cstheme="minorHAnsi"/>
          <w:i/>
          <w:iCs/>
          <w:color w:val="222222"/>
          <w:shd w:val="clear" w:color="auto" w:fill="FFFFFF"/>
        </w:rPr>
        <w:t>Tectonophysics</w:t>
      </w:r>
      <w:r w:rsidRPr="00D111EE">
        <w:rPr>
          <w:rFonts w:cstheme="minorHAnsi"/>
          <w:color w:val="222222"/>
          <w:shd w:val="clear" w:color="auto" w:fill="FFFFFF"/>
        </w:rPr>
        <w:t>, </w:t>
      </w:r>
      <w:r w:rsidRPr="00D111EE">
        <w:rPr>
          <w:rFonts w:cstheme="minorHAnsi"/>
          <w:i/>
          <w:iCs/>
          <w:color w:val="222222"/>
          <w:shd w:val="clear" w:color="auto" w:fill="FFFFFF"/>
        </w:rPr>
        <w:t>349</w:t>
      </w:r>
      <w:r w:rsidRPr="00D111EE">
        <w:rPr>
          <w:rFonts w:cstheme="minorHAnsi"/>
          <w:color w:val="222222"/>
          <w:shd w:val="clear" w:color="auto" w:fill="FFFFFF"/>
        </w:rPr>
        <w:t>(1-4), pp.131-144.</w:t>
      </w:r>
    </w:p>
    <w:p w14:paraId="5C124EC8" w14:textId="628FB968" w:rsidR="00B13E0E" w:rsidRPr="00D111EE" w:rsidRDefault="00B13E0E"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Haszeldine</w:t>
      </w:r>
      <w:proofErr w:type="spellEnd"/>
      <w:r w:rsidRPr="00D111EE">
        <w:rPr>
          <w:rFonts w:cstheme="minorHAnsi"/>
          <w:color w:val="222222"/>
          <w:shd w:val="clear" w:color="auto" w:fill="FFFFFF"/>
        </w:rPr>
        <w:t xml:space="preserve">, R.S., 1984. Carboniferous North Atlantic </w:t>
      </w:r>
      <w:proofErr w:type="spellStart"/>
      <w:r w:rsidRPr="00D111EE">
        <w:rPr>
          <w:rFonts w:cstheme="minorHAnsi"/>
          <w:color w:val="222222"/>
          <w:shd w:val="clear" w:color="auto" w:fill="FFFFFF"/>
        </w:rPr>
        <w:t>palaeogeography</w:t>
      </w:r>
      <w:proofErr w:type="spellEnd"/>
      <w:r w:rsidRPr="00D111EE">
        <w:rPr>
          <w:rFonts w:cstheme="minorHAnsi"/>
          <w:color w:val="222222"/>
          <w:shd w:val="clear" w:color="auto" w:fill="FFFFFF"/>
        </w:rPr>
        <w:t xml:space="preserve">: stratigraphic evidence for rifting, not </w:t>
      </w:r>
      <w:proofErr w:type="spellStart"/>
      <w:r w:rsidRPr="00D111EE">
        <w:rPr>
          <w:rFonts w:cstheme="minorHAnsi"/>
          <w:color w:val="222222"/>
          <w:shd w:val="clear" w:color="auto" w:fill="FFFFFF"/>
        </w:rPr>
        <w:t>megashear</w:t>
      </w:r>
      <w:proofErr w:type="spellEnd"/>
      <w:r w:rsidRPr="00D111EE">
        <w:rPr>
          <w:rFonts w:cstheme="minorHAnsi"/>
          <w:color w:val="222222"/>
          <w:shd w:val="clear" w:color="auto" w:fill="FFFFFF"/>
        </w:rPr>
        <w:t xml:space="preserve"> or subduction. Geological Magazine, 121(5), pp.443-463.</w:t>
      </w:r>
    </w:p>
    <w:p w14:paraId="3EC8C477" w14:textId="2D80C656" w:rsidR="000A1EC6" w:rsidRPr="00D111EE" w:rsidRDefault="000A1EC6"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Holdsworth</w:t>
      </w:r>
      <w:proofErr w:type="spellEnd"/>
      <w:r w:rsidRPr="00D111EE">
        <w:rPr>
          <w:rFonts w:cstheme="minorHAnsi"/>
          <w:color w:val="222222"/>
          <w:shd w:val="clear" w:color="auto" w:fill="FFFFFF"/>
        </w:rPr>
        <w:t xml:space="preserve">, B., Dempsey, E., Selby, D., Le </w:t>
      </w:r>
      <w:proofErr w:type="spellStart"/>
      <w:r w:rsidRPr="00D111EE">
        <w:rPr>
          <w:rFonts w:cstheme="minorHAnsi"/>
          <w:color w:val="222222"/>
          <w:shd w:val="clear" w:color="auto" w:fill="FFFFFF"/>
        </w:rPr>
        <w:t>Cornu</w:t>
      </w:r>
      <w:proofErr w:type="spellEnd"/>
      <w:r w:rsidRPr="00D111EE">
        <w:rPr>
          <w:rFonts w:cstheme="minorHAnsi"/>
          <w:color w:val="222222"/>
          <w:shd w:val="clear" w:color="auto" w:fill="FFFFFF"/>
        </w:rPr>
        <w:t>, C. and Young, B., 2015, April. A reappraisal of the age, origin and structural setting of sulphide mineralisation in the UK North Pennines Orefield. In </w:t>
      </w:r>
      <w:r w:rsidRPr="00D111EE">
        <w:rPr>
          <w:rFonts w:cstheme="minorHAnsi"/>
          <w:i/>
          <w:iCs/>
          <w:color w:val="222222"/>
          <w:shd w:val="clear" w:color="auto" w:fill="FFFFFF"/>
        </w:rPr>
        <w:t>EGU General Assembly Conference Abstracts</w:t>
      </w:r>
      <w:r w:rsidRPr="00D111EE">
        <w:rPr>
          <w:rFonts w:cstheme="minorHAnsi"/>
          <w:color w:val="222222"/>
          <w:shd w:val="clear" w:color="auto" w:fill="FFFFFF"/>
        </w:rPr>
        <w:t> (Vol. 17).</w:t>
      </w:r>
    </w:p>
    <w:p w14:paraId="00BB11BC" w14:textId="3F2FBD17" w:rsidR="00DC2989" w:rsidRPr="00D111EE" w:rsidRDefault="00DC2989"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lastRenderedPageBreak/>
        <w:t>Holford</w:t>
      </w:r>
      <w:proofErr w:type="spellEnd"/>
      <w:r w:rsidRPr="00D111EE">
        <w:rPr>
          <w:rFonts w:cstheme="minorHAnsi"/>
          <w:color w:val="222222"/>
          <w:shd w:val="clear" w:color="auto" w:fill="FFFFFF"/>
        </w:rPr>
        <w:t xml:space="preserve">, S.P., Green, P.F., Turner, J.P., Williams, G.A., </w:t>
      </w:r>
      <w:proofErr w:type="spellStart"/>
      <w:r w:rsidRPr="00D111EE">
        <w:rPr>
          <w:rFonts w:cstheme="minorHAnsi"/>
          <w:color w:val="222222"/>
          <w:shd w:val="clear" w:color="auto" w:fill="FFFFFF"/>
        </w:rPr>
        <w:t>Hillis</w:t>
      </w:r>
      <w:proofErr w:type="spellEnd"/>
      <w:r w:rsidRPr="00D111EE">
        <w:rPr>
          <w:rFonts w:cstheme="minorHAnsi"/>
          <w:color w:val="222222"/>
          <w:shd w:val="clear" w:color="auto" w:fill="FFFFFF"/>
        </w:rPr>
        <w:t xml:space="preserve">, R.R., </w:t>
      </w:r>
      <w:proofErr w:type="spellStart"/>
      <w:r w:rsidRPr="00D111EE">
        <w:rPr>
          <w:rFonts w:cstheme="minorHAnsi"/>
          <w:color w:val="222222"/>
          <w:shd w:val="clear" w:color="auto" w:fill="FFFFFF"/>
        </w:rPr>
        <w:t>Tappin</w:t>
      </w:r>
      <w:proofErr w:type="spellEnd"/>
      <w:r w:rsidRPr="00D111EE">
        <w:rPr>
          <w:rFonts w:cstheme="minorHAnsi"/>
          <w:color w:val="222222"/>
          <w:shd w:val="clear" w:color="auto" w:fill="FFFFFF"/>
        </w:rPr>
        <w:t xml:space="preserve">, D.R. and </w:t>
      </w:r>
      <w:proofErr w:type="spellStart"/>
      <w:r w:rsidRPr="00D111EE">
        <w:rPr>
          <w:rFonts w:cstheme="minorHAnsi"/>
          <w:color w:val="222222"/>
          <w:shd w:val="clear" w:color="auto" w:fill="FFFFFF"/>
        </w:rPr>
        <w:t>Duddy</w:t>
      </w:r>
      <w:proofErr w:type="spellEnd"/>
      <w:r w:rsidRPr="00D111EE">
        <w:rPr>
          <w:rFonts w:cstheme="minorHAnsi"/>
          <w:color w:val="222222"/>
          <w:shd w:val="clear" w:color="auto" w:fill="FFFFFF"/>
        </w:rPr>
        <w:t>, I.R., 2008. Evidence for kilometre-scale Neogene exhumation driven by compressional deformation in the Irish Sea basin system. </w:t>
      </w:r>
      <w:r w:rsidRPr="00D111EE">
        <w:rPr>
          <w:rFonts w:cstheme="minorHAnsi"/>
          <w:i/>
          <w:iCs/>
          <w:color w:val="222222"/>
          <w:shd w:val="clear" w:color="auto" w:fill="FFFFFF"/>
        </w:rPr>
        <w:t>Geological Society, London, Special Publications</w:t>
      </w:r>
      <w:r w:rsidRPr="00D111EE">
        <w:rPr>
          <w:rFonts w:cstheme="minorHAnsi"/>
          <w:color w:val="222222"/>
          <w:shd w:val="clear" w:color="auto" w:fill="FFFFFF"/>
        </w:rPr>
        <w:t>, </w:t>
      </w:r>
      <w:r w:rsidRPr="00D111EE">
        <w:rPr>
          <w:rFonts w:cstheme="minorHAnsi"/>
          <w:i/>
          <w:iCs/>
          <w:color w:val="222222"/>
          <w:shd w:val="clear" w:color="auto" w:fill="FFFFFF"/>
        </w:rPr>
        <w:t>306</w:t>
      </w:r>
      <w:r w:rsidRPr="00D111EE">
        <w:rPr>
          <w:rFonts w:cstheme="minorHAnsi"/>
          <w:color w:val="222222"/>
          <w:shd w:val="clear" w:color="auto" w:fill="FFFFFF"/>
        </w:rPr>
        <w:t>(1), pp.91-119.</w:t>
      </w:r>
    </w:p>
    <w:p w14:paraId="7768A0FD" w14:textId="71158B8A" w:rsidR="006224FE" w:rsidRPr="00D111EE" w:rsidRDefault="006224F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Johnson, G.A.L., 1967. Basement control of Carboniferous sedimentation in northern England. </w:t>
      </w:r>
      <w:r w:rsidRPr="00D111EE">
        <w:rPr>
          <w:rFonts w:cstheme="minorHAnsi"/>
          <w:i/>
          <w:iCs/>
          <w:color w:val="222222"/>
          <w:shd w:val="clear" w:color="auto" w:fill="FFFFFF"/>
        </w:rPr>
        <w:t>Proceedings of the Yorkshire Geological Society</w:t>
      </w:r>
      <w:r w:rsidRPr="00D111EE">
        <w:rPr>
          <w:rFonts w:cstheme="minorHAnsi"/>
          <w:color w:val="222222"/>
          <w:shd w:val="clear" w:color="auto" w:fill="FFFFFF"/>
        </w:rPr>
        <w:t>, </w:t>
      </w:r>
      <w:r w:rsidRPr="00D111EE">
        <w:rPr>
          <w:rFonts w:cstheme="minorHAnsi"/>
          <w:i/>
          <w:iCs/>
          <w:color w:val="222222"/>
          <w:shd w:val="clear" w:color="auto" w:fill="FFFFFF"/>
        </w:rPr>
        <w:t>36</w:t>
      </w:r>
      <w:r w:rsidRPr="00D111EE">
        <w:rPr>
          <w:rFonts w:cstheme="minorHAnsi"/>
          <w:color w:val="222222"/>
          <w:shd w:val="clear" w:color="auto" w:fill="FFFFFF"/>
        </w:rPr>
        <w:t>(2), pp.175-194.</w:t>
      </w:r>
    </w:p>
    <w:p w14:paraId="38F788A0" w14:textId="77777777" w:rsidR="00B13E0E" w:rsidRPr="00D111EE" w:rsidRDefault="00B13E0E"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Karner</w:t>
      </w:r>
      <w:proofErr w:type="spellEnd"/>
      <w:r w:rsidRPr="00D111EE">
        <w:rPr>
          <w:rFonts w:cstheme="minorHAnsi"/>
          <w:color w:val="222222"/>
          <w:shd w:val="clear" w:color="auto" w:fill="FFFFFF"/>
        </w:rPr>
        <w:t>, G.D. and Watts, A.B., 1982. On isostasy at Atlantic‐type continental margins. Journal of Geophysical Research: Solid Earth, 87(B4), pp.2923-2948.</w:t>
      </w:r>
    </w:p>
    <w:p w14:paraId="5FD74DB6" w14:textId="74426F49"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Kimbell</w:t>
      </w:r>
      <w:proofErr w:type="spellEnd"/>
      <w:r w:rsidRPr="00D111EE">
        <w:rPr>
          <w:rFonts w:cstheme="minorHAnsi"/>
        </w:rPr>
        <w:t xml:space="preserve">, G.S., Chadwick, R.A., Holliday, D.W. and </w:t>
      </w:r>
      <w:proofErr w:type="spellStart"/>
      <w:r w:rsidRPr="00D111EE">
        <w:rPr>
          <w:rFonts w:cstheme="minorHAnsi"/>
        </w:rPr>
        <w:t>Werngren</w:t>
      </w:r>
      <w:proofErr w:type="spellEnd"/>
      <w:r w:rsidRPr="00D111EE">
        <w:rPr>
          <w:rFonts w:cstheme="minorHAnsi"/>
        </w:rPr>
        <w:t>, O.C., 1989. The structure and evolution of the Northumberland Trough from new seismic reflection data and its bearing on modes of continental extension. Journal of the Geological Society, 146(5), pp.775-787.</w:t>
      </w:r>
    </w:p>
    <w:p w14:paraId="33B428AC" w14:textId="052F1904" w:rsidR="00B27BD6" w:rsidRPr="00D111EE" w:rsidRDefault="00B27BD6"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Kimbell</w:t>
      </w:r>
      <w:proofErr w:type="spellEnd"/>
      <w:r w:rsidRPr="00D111EE">
        <w:rPr>
          <w:rFonts w:cstheme="minorHAnsi"/>
          <w:color w:val="222222"/>
          <w:shd w:val="clear" w:color="auto" w:fill="FFFFFF"/>
        </w:rPr>
        <w:t>, G., Carruthers, R.M., Walker, A. and Williamson, J.P., 2006. Regional geophysics of southern Scotland and Northern England.</w:t>
      </w:r>
    </w:p>
    <w:p w14:paraId="61CD34AE"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Kimbell</w:t>
      </w:r>
      <w:proofErr w:type="spellEnd"/>
      <w:r w:rsidRPr="00D111EE">
        <w:rPr>
          <w:rFonts w:cstheme="minorHAnsi"/>
          <w:color w:val="222222"/>
          <w:shd w:val="clear" w:color="auto" w:fill="FFFFFF"/>
        </w:rPr>
        <w:t>, G.S., Young, B., Millward, D. and Crowley, Q.G., 2010, November. The North Pennine batholith (</w:t>
      </w:r>
      <w:proofErr w:type="spellStart"/>
      <w:r w:rsidRPr="00D111EE">
        <w:rPr>
          <w:rFonts w:cstheme="minorHAnsi"/>
          <w:color w:val="222222"/>
          <w:shd w:val="clear" w:color="auto" w:fill="FFFFFF"/>
        </w:rPr>
        <w:t>Weardale</w:t>
      </w:r>
      <w:proofErr w:type="spellEnd"/>
      <w:r w:rsidRPr="00D111EE">
        <w:rPr>
          <w:rFonts w:cstheme="minorHAnsi"/>
          <w:color w:val="222222"/>
          <w:shd w:val="clear" w:color="auto" w:fill="FFFFFF"/>
        </w:rPr>
        <w:t xml:space="preserve"> Granite) of northern England: new data on its age and form. Geological Society of London.</w:t>
      </w:r>
    </w:p>
    <w:p w14:paraId="186AD0D4" w14:textId="26C4A118" w:rsidR="00B13E0E" w:rsidRPr="00D111EE" w:rsidRDefault="00B13E0E"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Kimbell</w:t>
      </w:r>
      <w:proofErr w:type="spellEnd"/>
      <w:r w:rsidRPr="00D111EE">
        <w:rPr>
          <w:rFonts w:cstheme="minorHAnsi"/>
          <w:color w:val="222222"/>
          <w:shd w:val="clear" w:color="auto" w:fill="FFFFFF"/>
        </w:rPr>
        <w:t>, G.S. and Williamson, J.P., 2015. A gravity interpretation of the Central North Sea.</w:t>
      </w:r>
    </w:p>
    <w:p w14:paraId="6064DC99" w14:textId="44B3E35F" w:rsidR="00DC2989" w:rsidRPr="00D111EE" w:rsidRDefault="00DC2989"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Kombrink</w:t>
      </w:r>
      <w:proofErr w:type="spellEnd"/>
      <w:r w:rsidRPr="00D111EE">
        <w:rPr>
          <w:rFonts w:cstheme="minorHAnsi"/>
          <w:color w:val="222222"/>
          <w:shd w:val="clear" w:color="auto" w:fill="FFFFFF"/>
        </w:rPr>
        <w:t xml:space="preserve">, H., </w:t>
      </w:r>
      <w:proofErr w:type="spellStart"/>
      <w:r w:rsidRPr="00D111EE">
        <w:rPr>
          <w:rFonts w:cstheme="minorHAnsi"/>
          <w:color w:val="222222"/>
          <w:shd w:val="clear" w:color="auto" w:fill="FFFFFF"/>
        </w:rPr>
        <w:t>Leever</w:t>
      </w:r>
      <w:proofErr w:type="spellEnd"/>
      <w:r w:rsidRPr="00D111EE">
        <w:rPr>
          <w:rFonts w:cstheme="minorHAnsi"/>
          <w:color w:val="222222"/>
          <w:shd w:val="clear" w:color="auto" w:fill="FFFFFF"/>
        </w:rPr>
        <w:t xml:space="preserve">, K.A., Van Wees, J.D., Van Bergen, F., David, P. and Wong, T.E., 2008. Late Carboniferous foreland basin formation and Early Carboniferous stretching in </w:t>
      </w:r>
      <w:proofErr w:type="spellStart"/>
      <w:r w:rsidRPr="00D111EE">
        <w:rPr>
          <w:rFonts w:cstheme="minorHAnsi"/>
          <w:color w:val="222222"/>
          <w:shd w:val="clear" w:color="auto" w:fill="FFFFFF"/>
        </w:rPr>
        <w:t>Northwestern</w:t>
      </w:r>
      <w:proofErr w:type="spellEnd"/>
      <w:r w:rsidRPr="00D111EE">
        <w:rPr>
          <w:rFonts w:cstheme="minorHAnsi"/>
          <w:color w:val="222222"/>
          <w:shd w:val="clear" w:color="auto" w:fill="FFFFFF"/>
        </w:rPr>
        <w:t xml:space="preserve"> Europe: inferences </w:t>
      </w:r>
      <w:proofErr w:type="spellStart"/>
      <w:r w:rsidRPr="00D111EE">
        <w:rPr>
          <w:rFonts w:cstheme="minorHAnsi"/>
          <w:color w:val="222222"/>
          <w:shd w:val="clear" w:color="auto" w:fill="FFFFFF"/>
        </w:rPr>
        <w:t>fromquantitative</w:t>
      </w:r>
      <w:proofErr w:type="spellEnd"/>
      <w:r w:rsidRPr="00D111EE">
        <w:rPr>
          <w:rFonts w:cstheme="minorHAnsi"/>
          <w:color w:val="222222"/>
          <w:shd w:val="clear" w:color="auto" w:fill="FFFFFF"/>
        </w:rPr>
        <w:t xml:space="preserve"> subsidence analyses in the Netherlands. </w:t>
      </w:r>
      <w:r w:rsidRPr="00D111EE">
        <w:rPr>
          <w:rFonts w:cstheme="minorHAnsi"/>
          <w:i/>
          <w:iCs/>
          <w:color w:val="222222"/>
          <w:shd w:val="clear" w:color="auto" w:fill="FFFFFF"/>
        </w:rPr>
        <w:t>Basin Research</w:t>
      </w:r>
      <w:r w:rsidRPr="00D111EE">
        <w:rPr>
          <w:rFonts w:cstheme="minorHAnsi"/>
          <w:color w:val="222222"/>
          <w:shd w:val="clear" w:color="auto" w:fill="FFFFFF"/>
        </w:rPr>
        <w:t>, </w:t>
      </w:r>
      <w:r w:rsidRPr="00D111EE">
        <w:rPr>
          <w:rFonts w:cstheme="minorHAnsi"/>
          <w:i/>
          <w:iCs/>
          <w:color w:val="222222"/>
          <w:shd w:val="clear" w:color="auto" w:fill="FFFFFF"/>
        </w:rPr>
        <w:t>20</w:t>
      </w:r>
      <w:r w:rsidRPr="00D111EE">
        <w:rPr>
          <w:rFonts w:cstheme="minorHAnsi"/>
          <w:color w:val="222222"/>
          <w:shd w:val="clear" w:color="auto" w:fill="FFFFFF"/>
        </w:rPr>
        <w:t>(3), pp.377-395.</w:t>
      </w:r>
    </w:p>
    <w:p w14:paraId="54DA11C8" w14:textId="41512C39"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Kooi</w:t>
      </w:r>
      <w:proofErr w:type="spellEnd"/>
      <w:r w:rsidRPr="00D111EE">
        <w:rPr>
          <w:rFonts w:cstheme="minorHAnsi"/>
        </w:rPr>
        <w:t xml:space="preserve">, H., </w:t>
      </w:r>
      <w:proofErr w:type="spellStart"/>
      <w:r w:rsidRPr="00D111EE">
        <w:rPr>
          <w:rFonts w:cstheme="minorHAnsi"/>
        </w:rPr>
        <w:t>Cloetingh</w:t>
      </w:r>
      <w:proofErr w:type="spellEnd"/>
      <w:r w:rsidRPr="00D111EE">
        <w:rPr>
          <w:rFonts w:cstheme="minorHAnsi"/>
        </w:rPr>
        <w:t xml:space="preserve">, S. and </w:t>
      </w:r>
      <w:proofErr w:type="spellStart"/>
      <w:r w:rsidRPr="00D111EE">
        <w:rPr>
          <w:rFonts w:cstheme="minorHAnsi"/>
        </w:rPr>
        <w:t>Burrus</w:t>
      </w:r>
      <w:proofErr w:type="spellEnd"/>
      <w:r w:rsidRPr="00D111EE">
        <w:rPr>
          <w:rFonts w:cstheme="minorHAnsi"/>
        </w:rPr>
        <w:t xml:space="preserve">, J., 1992. Lithospheric necking and regional isostasy at extensional basins 1. Subsidence and gravity </w:t>
      </w:r>
      <w:proofErr w:type="spellStart"/>
      <w:r w:rsidRPr="00D111EE">
        <w:rPr>
          <w:rFonts w:cstheme="minorHAnsi"/>
        </w:rPr>
        <w:t>modeling</w:t>
      </w:r>
      <w:proofErr w:type="spellEnd"/>
      <w:r w:rsidRPr="00D111EE">
        <w:rPr>
          <w:rFonts w:cstheme="minorHAnsi"/>
        </w:rPr>
        <w:t xml:space="preserve"> with an application to the Gulf of Lions margin (SE France). Journal of Geophysical Research: Solid Earth, 97(B12), pp.17553-17571.</w:t>
      </w:r>
    </w:p>
    <w:p w14:paraId="621A5861" w14:textId="463B8C24" w:rsidR="00B948A2" w:rsidRPr="00D111EE" w:rsidRDefault="00B948A2"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Kusznir</w:t>
      </w:r>
      <w:proofErr w:type="spellEnd"/>
      <w:r w:rsidRPr="00D111EE">
        <w:rPr>
          <w:rFonts w:cstheme="minorHAnsi"/>
          <w:color w:val="222222"/>
          <w:shd w:val="clear" w:color="auto" w:fill="FFFFFF"/>
        </w:rPr>
        <w:t>, N.J. and Park, R.G., 1987. The extensional strength of the continental lithosphere: its dependence on geothermal gradient, and crustal composition and thickness. </w:t>
      </w:r>
      <w:r w:rsidRPr="00D111EE">
        <w:rPr>
          <w:rFonts w:cstheme="minorHAnsi"/>
          <w:i/>
          <w:iCs/>
          <w:color w:val="222222"/>
          <w:shd w:val="clear" w:color="auto" w:fill="FFFFFF"/>
        </w:rPr>
        <w:t>Geological Society, London, Special Publications</w:t>
      </w:r>
      <w:r w:rsidRPr="00D111EE">
        <w:rPr>
          <w:rFonts w:cstheme="minorHAnsi"/>
          <w:color w:val="222222"/>
          <w:shd w:val="clear" w:color="auto" w:fill="FFFFFF"/>
        </w:rPr>
        <w:t>, </w:t>
      </w:r>
      <w:r w:rsidRPr="00D111EE">
        <w:rPr>
          <w:rFonts w:cstheme="minorHAnsi"/>
          <w:i/>
          <w:iCs/>
          <w:color w:val="222222"/>
          <w:shd w:val="clear" w:color="auto" w:fill="FFFFFF"/>
        </w:rPr>
        <w:t>28</w:t>
      </w:r>
      <w:r w:rsidRPr="00D111EE">
        <w:rPr>
          <w:rFonts w:cstheme="minorHAnsi"/>
          <w:color w:val="222222"/>
          <w:shd w:val="clear" w:color="auto" w:fill="FFFFFF"/>
        </w:rPr>
        <w:t>(1), pp.35-52.</w:t>
      </w:r>
    </w:p>
    <w:p w14:paraId="4CE90B69"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lastRenderedPageBreak/>
        <w:t>Kusznir</w:t>
      </w:r>
      <w:proofErr w:type="spellEnd"/>
      <w:r w:rsidRPr="00D111EE">
        <w:rPr>
          <w:rFonts w:cstheme="minorHAnsi"/>
        </w:rPr>
        <w:t xml:space="preserve">, N.J. and Egan, S.S., 1989. Simple-Shear and Pure-Shear Models of Extensional Sedimentary Basin Formation: Application to the Jeanne </w:t>
      </w:r>
      <w:proofErr w:type="spellStart"/>
      <w:r w:rsidRPr="00D111EE">
        <w:rPr>
          <w:rFonts w:cstheme="minorHAnsi"/>
        </w:rPr>
        <w:t>d'Arc</w:t>
      </w:r>
      <w:proofErr w:type="spellEnd"/>
      <w:r w:rsidRPr="00D111EE">
        <w:rPr>
          <w:rFonts w:cstheme="minorHAnsi"/>
        </w:rPr>
        <w:t xml:space="preserve"> Basin, Grand Banks of Newfoundland: Chapter 20: North American Margins.</w:t>
      </w:r>
    </w:p>
    <w:p w14:paraId="2367883F"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Kusznir</w:t>
      </w:r>
      <w:proofErr w:type="spellEnd"/>
      <w:r w:rsidRPr="00D111EE">
        <w:rPr>
          <w:rFonts w:cstheme="minorHAnsi"/>
        </w:rPr>
        <w:t xml:space="preserve">, N.J., Marsden, G. and Egan, S.S., 1991. A flexural-cantilever simple-shear/pure-shear model of continental lithosphere extension: applications to the Jeanne </w:t>
      </w:r>
      <w:proofErr w:type="spellStart"/>
      <w:r w:rsidRPr="00D111EE">
        <w:rPr>
          <w:rFonts w:cstheme="minorHAnsi"/>
        </w:rPr>
        <w:t>d’Arc</w:t>
      </w:r>
      <w:proofErr w:type="spellEnd"/>
      <w:r w:rsidRPr="00D111EE">
        <w:rPr>
          <w:rFonts w:cstheme="minorHAnsi"/>
        </w:rPr>
        <w:t xml:space="preserve"> Basin, Grand Banks and Viking </w:t>
      </w:r>
      <w:proofErr w:type="spellStart"/>
      <w:r w:rsidRPr="00D111EE">
        <w:rPr>
          <w:rFonts w:cstheme="minorHAnsi"/>
        </w:rPr>
        <w:t>Graben</w:t>
      </w:r>
      <w:proofErr w:type="spellEnd"/>
      <w:r w:rsidRPr="00D111EE">
        <w:rPr>
          <w:rFonts w:cstheme="minorHAnsi"/>
        </w:rPr>
        <w:t>, North Sea. Geological Society, London, Special Publications, 56(1), pp.41-60.</w:t>
      </w:r>
    </w:p>
    <w:p w14:paraId="74684151" w14:textId="77777777" w:rsidR="00B13E0E" w:rsidRPr="00D111EE" w:rsidRDefault="00B13E0E" w:rsidP="009E071D">
      <w:pPr>
        <w:spacing w:after="100" w:afterAutospacing="1" w:line="360" w:lineRule="auto"/>
        <w:ind w:left="720" w:hanging="720"/>
        <w:rPr>
          <w:rFonts w:cstheme="minorHAnsi"/>
        </w:rPr>
      </w:pPr>
      <w:r w:rsidRPr="00D111EE">
        <w:rPr>
          <w:rFonts w:cstheme="minorHAnsi"/>
        </w:rPr>
        <w:t>Lee, M.K., 1986. A new gravity survey of the Lake District and three-dimensional model of the granite batholith. Journal of the Geological Society, 143(3), pp.425-435.</w:t>
      </w:r>
    </w:p>
    <w:p w14:paraId="680E1787" w14:textId="64CC9D66" w:rsidR="00DC2989" w:rsidRPr="00D111EE" w:rsidRDefault="00DC2989"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Leeder</w:t>
      </w:r>
      <w:proofErr w:type="spellEnd"/>
      <w:r w:rsidRPr="00D111EE">
        <w:rPr>
          <w:rFonts w:cstheme="minorHAnsi"/>
          <w:color w:val="222222"/>
          <w:shd w:val="clear" w:color="auto" w:fill="FFFFFF"/>
        </w:rPr>
        <w:t xml:space="preserve">, M.R., 1975. </w:t>
      </w:r>
      <w:proofErr w:type="spellStart"/>
      <w:r w:rsidRPr="00D111EE">
        <w:rPr>
          <w:rFonts w:cstheme="minorHAnsi"/>
          <w:color w:val="222222"/>
          <w:shd w:val="clear" w:color="auto" w:fill="FFFFFF"/>
        </w:rPr>
        <w:t>Pedogenic</w:t>
      </w:r>
      <w:proofErr w:type="spellEnd"/>
      <w:r w:rsidRPr="00D111EE">
        <w:rPr>
          <w:rFonts w:cstheme="minorHAnsi"/>
          <w:color w:val="222222"/>
          <w:shd w:val="clear" w:color="auto" w:fill="FFFFFF"/>
        </w:rPr>
        <w:t xml:space="preserve"> carbonates and flood sediment accretion rates: a quantitative model for alluvial arid-zone </w:t>
      </w:r>
      <w:proofErr w:type="spellStart"/>
      <w:r w:rsidRPr="00D111EE">
        <w:rPr>
          <w:rFonts w:cstheme="minorHAnsi"/>
          <w:color w:val="222222"/>
          <w:shd w:val="clear" w:color="auto" w:fill="FFFFFF"/>
        </w:rPr>
        <w:t>lithofacies</w:t>
      </w:r>
      <w:proofErr w:type="spellEnd"/>
      <w:r w:rsidRPr="00D111EE">
        <w:rPr>
          <w:rFonts w:cstheme="minorHAnsi"/>
          <w:color w:val="222222"/>
          <w:shd w:val="clear" w:color="auto" w:fill="FFFFFF"/>
        </w:rPr>
        <w:t>. </w:t>
      </w:r>
      <w:r w:rsidRPr="00D111EE">
        <w:rPr>
          <w:rFonts w:cstheme="minorHAnsi"/>
          <w:i/>
          <w:iCs/>
          <w:color w:val="222222"/>
          <w:shd w:val="clear" w:color="auto" w:fill="FFFFFF"/>
        </w:rPr>
        <w:t>Geological Magazine</w:t>
      </w:r>
      <w:r w:rsidRPr="00D111EE">
        <w:rPr>
          <w:rFonts w:cstheme="minorHAnsi"/>
          <w:color w:val="222222"/>
          <w:shd w:val="clear" w:color="auto" w:fill="FFFFFF"/>
        </w:rPr>
        <w:t>, </w:t>
      </w:r>
      <w:r w:rsidRPr="00D111EE">
        <w:rPr>
          <w:rFonts w:cstheme="minorHAnsi"/>
          <w:i/>
          <w:iCs/>
          <w:color w:val="222222"/>
          <w:shd w:val="clear" w:color="auto" w:fill="FFFFFF"/>
        </w:rPr>
        <w:t>112</w:t>
      </w:r>
      <w:r w:rsidRPr="00D111EE">
        <w:rPr>
          <w:rFonts w:cstheme="minorHAnsi"/>
          <w:color w:val="222222"/>
          <w:shd w:val="clear" w:color="auto" w:fill="FFFFFF"/>
        </w:rPr>
        <w:t>(3), pp.257-270.</w:t>
      </w:r>
    </w:p>
    <w:p w14:paraId="0B874FDB"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Leeder</w:t>
      </w:r>
      <w:proofErr w:type="spellEnd"/>
      <w:r w:rsidRPr="00D111EE">
        <w:rPr>
          <w:rFonts w:cstheme="minorHAnsi"/>
        </w:rPr>
        <w:t>, M.R., 1982. Upper Palaeozoic basins of the British Isles—</w:t>
      </w:r>
      <w:proofErr w:type="spellStart"/>
      <w:r w:rsidRPr="00D111EE">
        <w:rPr>
          <w:rFonts w:cstheme="minorHAnsi"/>
        </w:rPr>
        <w:t>Caledonide</w:t>
      </w:r>
      <w:proofErr w:type="spellEnd"/>
      <w:r w:rsidRPr="00D111EE">
        <w:rPr>
          <w:rFonts w:cstheme="minorHAnsi"/>
        </w:rPr>
        <w:t xml:space="preserve"> inheritance versus Hercynian plate margin processes. Journal of the Geological Society, 139(4), pp.479-491.</w:t>
      </w:r>
    </w:p>
    <w:p w14:paraId="4098F58E" w14:textId="77777777"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Maclennan</w:t>
      </w:r>
      <w:proofErr w:type="spellEnd"/>
      <w:r w:rsidRPr="00D111EE">
        <w:rPr>
          <w:rFonts w:cstheme="minorHAnsi"/>
        </w:rPr>
        <w:t xml:space="preserve">, J. and Lovell, B., 2002. Control of regional sea level by surface uplift and subsidence caused by magmatic </w:t>
      </w:r>
      <w:proofErr w:type="spellStart"/>
      <w:r w:rsidRPr="00D111EE">
        <w:rPr>
          <w:rFonts w:cstheme="minorHAnsi"/>
        </w:rPr>
        <w:t>underplating</w:t>
      </w:r>
      <w:proofErr w:type="spellEnd"/>
      <w:r w:rsidRPr="00D111EE">
        <w:rPr>
          <w:rFonts w:cstheme="minorHAnsi"/>
        </w:rPr>
        <w:t xml:space="preserve"> of Earth's crust. Geology, 30(8), pp.675-678.</w:t>
      </w:r>
    </w:p>
    <w:p w14:paraId="78D270B6" w14:textId="77777777"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McKenzie, D., 1978. Some remarks on the development of sedimentary basins. </w:t>
      </w:r>
      <w:r w:rsidRPr="00D111EE">
        <w:rPr>
          <w:rFonts w:cstheme="minorHAnsi"/>
          <w:i/>
          <w:iCs/>
          <w:color w:val="222222"/>
          <w:shd w:val="clear" w:color="auto" w:fill="FFFFFF"/>
        </w:rPr>
        <w:t>Earth and Planetary science letters</w:t>
      </w:r>
      <w:r w:rsidRPr="00D111EE">
        <w:rPr>
          <w:rFonts w:cstheme="minorHAnsi"/>
          <w:color w:val="222222"/>
          <w:shd w:val="clear" w:color="auto" w:fill="FFFFFF"/>
        </w:rPr>
        <w:t>, </w:t>
      </w:r>
      <w:r w:rsidRPr="00D111EE">
        <w:rPr>
          <w:rFonts w:cstheme="minorHAnsi"/>
          <w:i/>
          <w:iCs/>
          <w:color w:val="222222"/>
          <w:shd w:val="clear" w:color="auto" w:fill="FFFFFF"/>
        </w:rPr>
        <w:t>40</w:t>
      </w:r>
      <w:r w:rsidRPr="00D111EE">
        <w:rPr>
          <w:rFonts w:cstheme="minorHAnsi"/>
          <w:color w:val="222222"/>
          <w:shd w:val="clear" w:color="auto" w:fill="FFFFFF"/>
        </w:rPr>
        <w:t>(1), pp.25-32.</w:t>
      </w:r>
    </w:p>
    <w:p w14:paraId="1B3F2DAE" w14:textId="5E11FA7C" w:rsidR="00B27BD6" w:rsidRPr="00D111EE" w:rsidRDefault="00B27BD6"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Meredith, D.J. and Egan, S.S., 2002. The geological and geodynamic evolution of the eastern Black Sea basin: insights from 2-D and 3-D tectonic modelling. </w:t>
      </w:r>
      <w:r w:rsidRPr="00D111EE">
        <w:rPr>
          <w:rFonts w:cstheme="minorHAnsi"/>
          <w:i/>
          <w:iCs/>
          <w:color w:val="222222"/>
          <w:shd w:val="clear" w:color="auto" w:fill="FFFFFF"/>
        </w:rPr>
        <w:t>Tectonophysics</w:t>
      </w:r>
      <w:r w:rsidRPr="00D111EE">
        <w:rPr>
          <w:rFonts w:cstheme="minorHAnsi"/>
          <w:color w:val="222222"/>
          <w:shd w:val="clear" w:color="auto" w:fill="FFFFFF"/>
        </w:rPr>
        <w:t>, </w:t>
      </w:r>
      <w:r w:rsidRPr="00D111EE">
        <w:rPr>
          <w:rFonts w:cstheme="minorHAnsi"/>
          <w:i/>
          <w:iCs/>
          <w:color w:val="222222"/>
          <w:shd w:val="clear" w:color="auto" w:fill="FFFFFF"/>
        </w:rPr>
        <w:t>350</w:t>
      </w:r>
      <w:r w:rsidRPr="00D111EE">
        <w:rPr>
          <w:rFonts w:cstheme="minorHAnsi"/>
          <w:color w:val="222222"/>
          <w:shd w:val="clear" w:color="auto" w:fill="FFFFFF"/>
        </w:rPr>
        <w:t>(2), pp.157-179.</w:t>
      </w:r>
    </w:p>
    <w:p w14:paraId="72C35EDB" w14:textId="2AC54415" w:rsidR="00BF2B7F" w:rsidRPr="00D111EE" w:rsidRDefault="00BF2B7F"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Monaghan, A.A. and Parrish, R.R., 2006. Geochronology of Carboniferous–Permian magmatism in the Midland Valley of Scotland: implications for regional </w:t>
      </w:r>
      <w:proofErr w:type="spellStart"/>
      <w:r w:rsidRPr="00D111EE">
        <w:rPr>
          <w:rFonts w:cstheme="minorHAnsi"/>
          <w:color w:val="222222"/>
          <w:shd w:val="clear" w:color="auto" w:fill="FFFFFF"/>
        </w:rPr>
        <w:t>tectonomagmatic</w:t>
      </w:r>
      <w:proofErr w:type="spellEnd"/>
      <w:r w:rsidRPr="00D111EE">
        <w:rPr>
          <w:rFonts w:cstheme="minorHAnsi"/>
          <w:color w:val="222222"/>
          <w:shd w:val="clear" w:color="auto" w:fill="FFFFFF"/>
        </w:rPr>
        <w:t xml:space="preserve"> evolution and the numerical time scale.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163</w:t>
      </w:r>
      <w:r w:rsidRPr="00D111EE">
        <w:rPr>
          <w:rFonts w:cstheme="minorHAnsi"/>
          <w:color w:val="222222"/>
          <w:shd w:val="clear" w:color="auto" w:fill="FFFFFF"/>
        </w:rPr>
        <w:t>(1), pp.15-28.</w:t>
      </w:r>
    </w:p>
    <w:p w14:paraId="3E6729C2" w14:textId="00620DC8"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Monaghan, A.A., </w:t>
      </w:r>
      <w:proofErr w:type="spellStart"/>
      <w:r w:rsidRPr="00D111EE">
        <w:rPr>
          <w:rFonts w:cstheme="minorHAnsi"/>
          <w:color w:val="222222"/>
          <w:shd w:val="clear" w:color="auto" w:fill="FFFFFF"/>
        </w:rPr>
        <w:t>Arsenikos</w:t>
      </w:r>
      <w:proofErr w:type="spellEnd"/>
      <w:r w:rsidRPr="00D111EE">
        <w:rPr>
          <w:rFonts w:cstheme="minorHAnsi"/>
          <w:color w:val="222222"/>
          <w:shd w:val="clear" w:color="auto" w:fill="FFFFFF"/>
        </w:rPr>
        <w:t xml:space="preserve">, S., Callaghan, E., Ellen, R., Gent, C., </w:t>
      </w:r>
      <w:proofErr w:type="spellStart"/>
      <w:r w:rsidRPr="00D111EE">
        <w:rPr>
          <w:rFonts w:cstheme="minorHAnsi"/>
          <w:color w:val="222222"/>
          <w:shd w:val="clear" w:color="auto" w:fill="FFFFFF"/>
        </w:rPr>
        <w:t>Greenhalgh</w:t>
      </w:r>
      <w:proofErr w:type="spellEnd"/>
      <w:r w:rsidRPr="00D111EE">
        <w:rPr>
          <w:rFonts w:cstheme="minorHAnsi"/>
          <w:color w:val="222222"/>
          <w:shd w:val="clear" w:color="auto" w:fill="FFFFFF"/>
        </w:rPr>
        <w:t xml:space="preserve">, E., </w:t>
      </w:r>
      <w:proofErr w:type="spellStart"/>
      <w:r w:rsidRPr="00D111EE">
        <w:rPr>
          <w:rFonts w:cstheme="minorHAnsi"/>
          <w:color w:val="222222"/>
          <w:shd w:val="clear" w:color="auto" w:fill="FFFFFF"/>
        </w:rPr>
        <w:t>Hannis</w:t>
      </w:r>
      <w:proofErr w:type="spellEnd"/>
      <w:r w:rsidRPr="00D111EE">
        <w:rPr>
          <w:rFonts w:cstheme="minorHAnsi"/>
          <w:color w:val="222222"/>
          <w:shd w:val="clear" w:color="auto" w:fill="FFFFFF"/>
        </w:rPr>
        <w:t xml:space="preserve">, S., Henderson, A., Leslie, G., Johnson, K. and </w:t>
      </w:r>
      <w:proofErr w:type="spellStart"/>
      <w:r w:rsidRPr="00D111EE">
        <w:rPr>
          <w:rFonts w:cstheme="minorHAnsi"/>
          <w:color w:val="222222"/>
          <w:shd w:val="clear" w:color="auto" w:fill="FFFFFF"/>
        </w:rPr>
        <w:t>Kassyk</w:t>
      </w:r>
      <w:proofErr w:type="spellEnd"/>
      <w:r w:rsidRPr="00D111EE">
        <w:rPr>
          <w:rFonts w:cstheme="minorHAnsi"/>
          <w:color w:val="222222"/>
          <w:shd w:val="clear" w:color="auto" w:fill="FFFFFF"/>
        </w:rPr>
        <w:t>, M., 2016. Overview of the 21CXRM Palaeozoic Project: a regional petroleum systems analysis of the offshore Carboniferous and Devonian of the UKCS.</w:t>
      </w:r>
    </w:p>
    <w:p w14:paraId="4CB75612" w14:textId="73F2F2B8" w:rsidR="00485B3D" w:rsidRPr="00D111EE" w:rsidRDefault="00485B3D"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lastRenderedPageBreak/>
        <w:t>Murchison, D., 2004. Aberrations in the coalification patterns of the offshore coalfields of Northumberland and Durham, United Kingdom. </w:t>
      </w:r>
      <w:r w:rsidRPr="00D111EE">
        <w:rPr>
          <w:rFonts w:cstheme="minorHAnsi"/>
          <w:i/>
          <w:iCs/>
          <w:color w:val="222222"/>
          <w:shd w:val="clear" w:color="auto" w:fill="FFFFFF"/>
        </w:rPr>
        <w:t>International journal of coal geology</w:t>
      </w:r>
      <w:r w:rsidRPr="00D111EE">
        <w:rPr>
          <w:rFonts w:cstheme="minorHAnsi"/>
          <w:color w:val="222222"/>
          <w:shd w:val="clear" w:color="auto" w:fill="FFFFFF"/>
        </w:rPr>
        <w:t>, </w:t>
      </w:r>
      <w:r w:rsidRPr="00D111EE">
        <w:rPr>
          <w:rFonts w:cstheme="minorHAnsi"/>
          <w:i/>
          <w:iCs/>
          <w:color w:val="222222"/>
          <w:shd w:val="clear" w:color="auto" w:fill="FFFFFF"/>
        </w:rPr>
        <w:t>58</w:t>
      </w:r>
      <w:r w:rsidRPr="00D111EE">
        <w:rPr>
          <w:rFonts w:cstheme="minorHAnsi"/>
          <w:color w:val="222222"/>
          <w:shd w:val="clear" w:color="auto" w:fill="FFFFFF"/>
        </w:rPr>
        <w:t>(3), pp.133-146.</w:t>
      </w:r>
    </w:p>
    <w:p w14:paraId="16B9D3CB" w14:textId="77777777" w:rsidR="00B13E0E" w:rsidRPr="00D111EE" w:rsidRDefault="00B13E0E"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Nicol, A., Walsh, J.J., </w:t>
      </w:r>
      <w:proofErr w:type="spellStart"/>
      <w:r w:rsidRPr="00D111EE">
        <w:rPr>
          <w:rFonts w:cstheme="minorHAnsi"/>
          <w:color w:val="222222"/>
          <w:shd w:val="clear" w:color="auto" w:fill="FFFFFF"/>
        </w:rPr>
        <w:t>Manzocchi</w:t>
      </w:r>
      <w:proofErr w:type="spellEnd"/>
      <w:r w:rsidRPr="00D111EE">
        <w:rPr>
          <w:rFonts w:cstheme="minorHAnsi"/>
          <w:color w:val="222222"/>
          <w:shd w:val="clear" w:color="auto" w:fill="FFFFFF"/>
        </w:rPr>
        <w:t xml:space="preserve">, T. and </w:t>
      </w:r>
      <w:proofErr w:type="spellStart"/>
      <w:r w:rsidRPr="00D111EE">
        <w:rPr>
          <w:rFonts w:cstheme="minorHAnsi"/>
          <w:color w:val="222222"/>
          <w:shd w:val="clear" w:color="auto" w:fill="FFFFFF"/>
        </w:rPr>
        <w:t>Morewood</w:t>
      </w:r>
      <w:proofErr w:type="spellEnd"/>
      <w:r w:rsidRPr="00D111EE">
        <w:rPr>
          <w:rFonts w:cstheme="minorHAnsi"/>
          <w:color w:val="222222"/>
          <w:shd w:val="clear" w:color="auto" w:fill="FFFFFF"/>
        </w:rPr>
        <w:t>, N., 2005. Displacement rates and average earthquake recurrence intervals on normal faults. Journal of Structural Geology, 27(3), pp.541-551.</w:t>
      </w:r>
    </w:p>
    <w:p w14:paraId="71FEBDD4" w14:textId="71386B34"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Parsons, B. and </w:t>
      </w:r>
      <w:proofErr w:type="spellStart"/>
      <w:r w:rsidRPr="00D111EE">
        <w:rPr>
          <w:rFonts w:cstheme="minorHAnsi"/>
        </w:rPr>
        <w:t>Sclater</w:t>
      </w:r>
      <w:proofErr w:type="spellEnd"/>
      <w:r w:rsidRPr="00D111EE">
        <w:rPr>
          <w:rFonts w:cstheme="minorHAnsi"/>
        </w:rPr>
        <w:t>, J.G., 1977. An analysis of the variation of ocean floor bathymetry and heat flow with age. Journal of geophysical research, 82(5), pp.803-827.</w:t>
      </w:r>
    </w:p>
    <w:p w14:paraId="1C759CE8" w14:textId="43626710" w:rsidR="00A11DD3" w:rsidRPr="00D111EE" w:rsidRDefault="00A11DD3"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Peace, G.R. and </w:t>
      </w:r>
      <w:proofErr w:type="spellStart"/>
      <w:r w:rsidRPr="00D111EE">
        <w:rPr>
          <w:rFonts w:cstheme="minorHAnsi"/>
          <w:color w:val="222222"/>
          <w:shd w:val="clear" w:color="auto" w:fill="FFFFFF"/>
        </w:rPr>
        <w:t>Besly</w:t>
      </w:r>
      <w:proofErr w:type="spellEnd"/>
      <w:r w:rsidRPr="00D111EE">
        <w:rPr>
          <w:rFonts w:cstheme="minorHAnsi"/>
          <w:color w:val="222222"/>
          <w:shd w:val="clear" w:color="auto" w:fill="FFFFFF"/>
        </w:rPr>
        <w:t>, B.M., 1997. End-Carboniferous fold-thrust structures, Oxfordshire, UK: implications for the structural evolution of the late Variscan foreland of south-central England.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154</w:t>
      </w:r>
      <w:r w:rsidRPr="00D111EE">
        <w:rPr>
          <w:rFonts w:cstheme="minorHAnsi"/>
          <w:color w:val="222222"/>
          <w:shd w:val="clear" w:color="auto" w:fill="FFFFFF"/>
        </w:rPr>
        <w:t>(2), pp.225-237.</w:t>
      </w:r>
    </w:p>
    <w:p w14:paraId="30FDB1E8" w14:textId="490AE926" w:rsidR="007E60DF" w:rsidRPr="00D111EE" w:rsidRDefault="007E60DF"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Pharaoh, T., England, R. and Lee, M., 1995. The concealed </w:t>
      </w:r>
      <w:proofErr w:type="spellStart"/>
      <w:r w:rsidRPr="00D111EE">
        <w:rPr>
          <w:rFonts w:cstheme="minorHAnsi"/>
          <w:color w:val="222222"/>
          <w:shd w:val="clear" w:color="auto" w:fill="FFFFFF"/>
        </w:rPr>
        <w:t>Caledonide</w:t>
      </w:r>
      <w:proofErr w:type="spellEnd"/>
      <w:r w:rsidRPr="00D111EE">
        <w:rPr>
          <w:rFonts w:cstheme="minorHAnsi"/>
          <w:color w:val="222222"/>
          <w:shd w:val="clear" w:color="auto" w:fill="FFFFFF"/>
        </w:rPr>
        <w:t xml:space="preserve"> basement of eastern England and the southern North Sea—a review. </w:t>
      </w:r>
      <w:proofErr w:type="spellStart"/>
      <w:r w:rsidRPr="00D111EE">
        <w:rPr>
          <w:rFonts w:cstheme="minorHAnsi"/>
          <w:i/>
          <w:iCs/>
          <w:color w:val="222222"/>
          <w:shd w:val="clear" w:color="auto" w:fill="FFFFFF"/>
        </w:rPr>
        <w:t>Studia</w:t>
      </w:r>
      <w:proofErr w:type="spellEnd"/>
      <w:r w:rsidRPr="00D111EE">
        <w:rPr>
          <w:rFonts w:cstheme="minorHAnsi"/>
          <w:i/>
          <w:iCs/>
          <w:color w:val="222222"/>
          <w:shd w:val="clear" w:color="auto" w:fill="FFFFFF"/>
        </w:rPr>
        <w:t xml:space="preserve"> </w:t>
      </w:r>
      <w:proofErr w:type="spellStart"/>
      <w:r w:rsidRPr="00D111EE">
        <w:rPr>
          <w:rFonts w:cstheme="minorHAnsi"/>
          <w:i/>
          <w:iCs/>
          <w:color w:val="222222"/>
          <w:shd w:val="clear" w:color="auto" w:fill="FFFFFF"/>
        </w:rPr>
        <w:t>geophysica</w:t>
      </w:r>
      <w:proofErr w:type="spellEnd"/>
      <w:r w:rsidRPr="00D111EE">
        <w:rPr>
          <w:rFonts w:cstheme="minorHAnsi"/>
          <w:i/>
          <w:iCs/>
          <w:color w:val="222222"/>
          <w:shd w:val="clear" w:color="auto" w:fill="FFFFFF"/>
        </w:rPr>
        <w:t xml:space="preserve"> et </w:t>
      </w:r>
      <w:proofErr w:type="spellStart"/>
      <w:r w:rsidRPr="00D111EE">
        <w:rPr>
          <w:rFonts w:cstheme="minorHAnsi"/>
          <w:i/>
          <w:iCs/>
          <w:color w:val="222222"/>
          <w:shd w:val="clear" w:color="auto" w:fill="FFFFFF"/>
        </w:rPr>
        <w:t>geodaetica</w:t>
      </w:r>
      <w:proofErr w:type="spellEnd"/>
      <w:r w:rsidRPr="00D111EE">
        <w:rPr>
          <w:rFonts w:cstheme="minorHAnsi"/>
          <w:color w:val="222222"/>
          <w:shd w:val="clear" w:color="auto" w:fill="FFFFFF"/>
        </w:rPr>
        <w:t>, </w:t>
      </w:r>
      <w:r w:rsidRPr="00D111EE">
        <w:rPr>
          <w:rFonts w:cstheme="minorHAnsi"/>
          <w:i/>
          <w:iCs/>
          <w:color w:val="222222"/>
          <w:shd w:val="clear" w:color="auto" w:fill="FFFFFF"/>
        </w:rPr>
        <w:t>39</w:t>
      </w:r>
      <w:r w:rsidRPr="00D111EE">
        <w:rPr>
          <w:rFonts w:cstheme="minorHAnsi"/>
          <w:color w:val="222222"/>
          <w:shd w:val="clear" w:color="auto" w:fill="FFFFFF"/>
        </w:rPr>
        <w:t>(3), pp.330-346.</w:t>
      </w:r>
    </w:p>
    <w:p w14:paraId="54C558DD" w14:textId="52AAABBD" w:rsidR="00B13E0E" w:rsidRPr="00D111EE" w:rsidRDefault="00B13E0E" w:rsidP="009E071D">
      <w:pPr>
        <w:spacing w:after="100" w:afterAutospacing="1" w:line="360" w:lineRule="auto"/>
        <w:ind w:left="720" w:hanging="720"/>
        <w:rPr>
          <w:rFonts w:cstheme="minorHAnsi"/>
        </w:rPr>
      </w:pPr>
      <w:r w:rsidRPr="00D111EE">
        <w:rPr>
          <w:rFonts w:cstheme="minorHAnsi"/>
        </w:rPr>
        <w:t xml:space="preserve">Pratt, J.H., 1858. The deflection of the plumb-line in India and the compensatory effect of a deficiency of matter below the Himalaya mountains. </w:t>
      </w:r>
      <w:proofErr w:type="spellStart"/>
      <w:r w:rsidRPr="00D111EE">
        <w:rPr>
          <w:rFonts w:cstheme="minorHAnsi"/>
        </w:rPr>
        <w:t>Philos</w:t>
      </w:r>
      <w:proofErr w:type="spellEnd"/>
      <w:r w:rsidRPr="00D111EE">
        <w:rPr>
          <w:rFonts w:cstheme="minorHAnsi"/>
        </w:rPr>
        <w:t xml:space="preserve"> Trans R So London, 149, pp.745-778.</w:t>
      </w:r>
    </w:p>
    <w:p w14:paraId="788B58FC" w14:textId="05B453CB" w:rsidR="005F37BB" w:rsidRPr="00D111EE" w:rsidRDefault="005F37BB"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Ridd</w:t>
      </w:r>
      <w:proofErr w:type="spellEnd"/>
      <w:r w:rsidRPr="00D111EE">
        <w:rPr>
          <w:rFonts w:cstheme="minorHAnsi"/>
          <w:color w:val="222222"/>
          <w:shd w:val="clear" w:color="auto" w:fill="FFFFFF"/>
        </w:rPr>
        <w:t xml:space="preserve">, M.F., Walker, D.B. and Jones, J.M., 1970. A deep borehole at </w:t>
      </w:r>
      <w:proofErr w:type="spellStart"/>
      <w:r w:rsidRPr="00D111EE">
        <w:rPr>
          <w:rFonts w:cstheme="minorHAnsi"/>
          <w:color w:val="222222"/>
          <w:shd w:val="clear" w:color="auto" w:fill="FFFFFF"/>
        </w:rPr>
        <w:t>Harton</w:t>
      </w:r>
      <w:proofErr w:type="spellEnd"/>
      <w:r w:rsidRPr="00D111EE">
        <w:rPr>
          <w:rFonts w:cstheme="minorHAnsi"/>
          <w:color w:val="222222"/>
          <w:shd w:val="clear" w:color="auto" w:fill="FFFFFF"/>
        </w:rPr>
        <w:t xml:space="preserve"> on the margin of the Northumbrian Trough. </w:t>
      </w:r>
      <w:r w:rsidRPr="00D111EE">
        <w:rPr>
          <w:rFonts w:cstheme="minorHAnsi"/>
          <w:i/>
          <w:iCs/>
          <w:color w:val="222222"/>
          <w:shd w:val="clear" w:color="auto" w:fill="FFFFFF"/>
        </w:rPr>
        <w:t>Proceedings of the Yorkshire Geological Society</w:t>
      </w:r>
      <w:r w:rsidRPr="00D111EE">
        <w:rPr>
          <w:rFonts w:cstheme="minorHAnsi"/>
          <w:color w:val="222222"/>
          <w:shd w:val="clear" w:color="auto" w:fill="FFFFFF"/>
        </w:rPr>
        <w:t>, </w:t>
      </w:r>
      <w:r w:rsidRPr="00D111EE">
        <w:rPr>
          <w:rFonts w:cstheme="minorHAnsi"/>
          <w:i/>
          <w:iCs/>
          <w:color w:val="222222"/>
          <w:shd w:val="clear" w:color="auto" w:fill="FFFFFF"/>
        </w:rPr>
        <w:t>38</w:t>
      </w:r>
      <w:r w:rsidRPr="00D111EE">
        <w:rPr>
          <w:rFonts w:cstheme="minorHAnsi"/>
          <w:color w:val="222222"/>
          <w:shd w:val="clear" w:color="auto" w:fill="FFFFFF"/>
        </w:rPr>
        <w:t>(1), pp.75-103.</w:t>
      </w:r>
    </w:p>
    <w:p w14:paraId="71FF4F49" w14:textId="0A58EACD" w:rsidR="000A1EC6" w:rsidRPr="00D111EE" w:rsidRDefault="000A1EC6" w:rsidP="009E071D">
      <w:pPr>
        <w:spacing w:after="100" w:afterAutospacing="1" w:line="360" w:lineRule="auto"/>
        <w:ind w:left="720" w:hanging="720"/>
        <w:rPr>
          <w:rFonts w:cstheme="minorHAnsi"/>
        </w:rPr>
      </w:pPr>
      <w:r w:rsidRPr="00D111EE">
        <w:rPr>
          <w:rFonts w:cstheme="minorHAnsi"/>
          <w:color w:val="222222"/>
          <w:shd w:val="clear" w:color="auto" w:fill="FFFFFF"/>
        </w:rPr>
        <w:t>Ritchie, J.D., Johnson, H., Browne, M.A.E. and Monaghan, A.A., 2003. Late Devonian–Carboniferous tectonic evolution within the Firth of Forth, Midland Valley; as revealed from 2D seismic reflection data. </w:t>
      </w:r>
      <w:r w:rsidRPr="00D111EE">
        <w:rPr>
          <w:rFonts w:cstheme="minorHAnsi"/>
          <w:i/>
          <w:iCs/>
          <w:color w:val="222222"/>
          <w:shd w:val="clear" w:color="auto" w:fill="FFFFFF"/>
        </w:rPr>
        <w:t>Scottish Journal of Geology</w:t>
      </w:r>
      <w:r w:rsidRPr="00D111EE">
        <w:rPr>
          <w:rFonts w:cstheme="minorHAnsi"/>
          <w:color w:val="222222"/>
          <w:shd w:val="clear" w:color="auto" w:fill="FFFFFF"/>
        </w:rPr>
        <w:t>, </w:t>
      </w:r>
      <w:r w:rsidRPr="00D111EE">
        <w:rPr>
          <w:rFonts w:cstheme="minorHAnsi"/>
          <w:i/>
          <w:iCs/>
          <w:color w:val="222222"/>
          <w:shd w:val="clear" w:color="auto" w:fill="FFFFFF"/>
        </w:rPr>
        <w:t>39</w:t>
      </w:r>
      <w:r w:rsidRPr="00D111EE">
        <w:rPr>
          <w:rFonts w:cstheme="minorHAnsi"/>
          <w:color w:val="222222"/>
          <w:shd w:val="clear" w:color="auto" w:fill="FFFFFF"/>
        </w:rPr>
        <w:t>(2), pp.121-134.</w:t>
      </w:r>
    </w:p>
    <w:p w14:paraId="31EEF106" w14:textId="31E5B325" w:rsidR="00B13E0E" w:rsidRPr="00D111EE" w:rsidRDefault="00B13E0E" w:rsidP="009E071D">
      <w:pPr>
        <w:spacing w:after="100" w:afterAutospacing="1" w:line="360" w:lineRule="auto"/>
        <w:ind w:left="720" w:hanging="720"/>
        <w:rPr>
          <w:rFonts w:cstheme="minorHAnsi"/>
        </w:rPr>
      </w:pPr>
      <w:proofErr w:type="spellStart"/>
      <w:r w:rsidRPr="00D111EE">
        <w:rPr>
          <w:rFonts w:cstheme="minorHAnsi"/>
        </w:rPr>
        <w:t>Royden</w:t>
      </w:r>
      <w:proofErr w:type="spellEnd"/>
      <w:r w:rsidRPr="00D111EE">
        <w:rPr>
          <w:rFonts w:cstheme="minorHAnsi"/>
        </w:rPr>
        <w:t>, L. and Keen, C.E., 1980. Rifting process and thermal evolution of the continental margin of eastern Canada determined from subsidence curves. Earth and Planetary Science Letters, 51(2), pp.343-361.</w:t>
      </w:r>
    </w:p>
    <w:p w14:paraId="54165880" w14:textId="75A7CAFB" w:rsidR="005F37BB" w:rsidRPr="00D111EE" w:rsidRDefault="005F37BB"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Sonder</w:t>
      </w:r>
      <w:proofErr w:type="spellEnd"/>
      <w:r w:rsidRPr="00D111EE">
        <w:rPr>
          <w:rFonts w:cstheme="minorHAnsi"/>
          <w:color w:val="222222"/>
          <w:shd w:val="clear" w:color="auto" w:fill="FFFFFF"/>
        </w:rPr>
        <w:t>, L.J., 1990. Effects of density contrasts on the orientation of stresses in the lithosphere: Relation to principal stress directions in the Transverse Ranges, California. </w:t>
      </w:r>
      <w:r w:rsidRPr="00D111EE">
        <w:rPr>
          <w:rFonts w:cstheme="minorHAnsi"/>
          <w:i/>
          <w:iCs/>
          <w:color w:val="222222"/>
          <w:shd w:val="clear" w:color="auto" w:fill="FFFFFF"/>
        </w:rPr>
        <w:t>Tectonics</w:t>
      </w:r>
      <w:r w:rsidRPr="00D111EE">
        <w:rPr>
          <w:rFonts w:cstheme="minorHAnsi"/>
          <w:color w:val="222222"/>
          <w:shd w:val="clear" w:color="auto" w:fill="FFFFFF"/>
        </w:rPr>
        <w:t>, </w:t>
      </w:r>
      <w:r w:rsidRPr="00D111EE">
        <w:rPr>
          <w:rFonts w:cstheme="minorHAnsi"/>
          <w:i/>
          <w:iCs/>
          <w:color w:val="222222"/>
          <w:shd w:val="clear" w:color="auto" w:fill="FFFFFF"/>
        </w:rPr>
        <w:t>9</w:t>
      </w:r>
      <w:r w:rsidRPr="00D111EE">
        <w:rPr>
          <w:rFonts w:cstheme="minorHAnsi"/>
          <w:color w:val="222222"/>
          <w:shd w:val="clear" w:color="auto" w:fill="FFFFFF"/>
        </w:rPr>
        <w:t>(4), pp.761-771.</w:t>
      </w:r>
    </w:p>
    <w:p w14:paraId="0E5CFC19" w14:textId="70FB80BF" w:rsidR="007E60DF" w:rsidRPr="00D111EE" w:rsidRDefault="007E60DF"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lastRenderedPageBreak/>
        <w:t>Soper</w:t>
      </w:r>
      <w:proofErr w:type="spellEnd"/>
      <w:r w:rsidRPr="00D111EE">
        <w:rPr>
          <w:rFonts w:cstheme="minorHAnsi"/>
          <w:color w:val="222222"/>
          <w:shd w:val="clear" w:color="auto" w:fill="FFFFFF"/>
        </w:rPr>
        <w:t>, N.J., England, R.W., Snyder, D.B. and Ryan, P.D., 1992. The Iapetus suture zone in England, Scotland and eastern Ireland: a reconciliation of geological and deep seismic data. </w:t>
      </w:r>
      <w:r w:rsidRPr="00D111EE">
        <w:rPr>
          <w:rFonts w:cstheme="minorHAnsi"/>
          <w:i/>
          <w:iCs/>
          <w:color w:val="222222"/>
          <w:shd w:val="clear" w:color="auto" w:fill="FFFFFF"/>
        </w:rPr>
        <w:t>Journal of the Geological Society</w:t>
      </w:r>
      <w:r w:rsidRPr="00D111EE">
        <w:rPr>
          <w:rFonts w:cstheme="minorHAnsi"/>
          <w:color w:val="222222"/>
          <w:shd w:val="clear" w:color="auto" w:fill="FFFFFF"/>
        </w:rPr>
        <w:t>, </w:t>
      </w:r>
      <w:r w:rsidRPr="00D111EE">
        <w:rPr>
          <w:rFonts w:cstheme="minorHAnsi"/>
          <w:i/>
          <w:iCs/>
          <w:color w:val="222222"/>
          <w:shd w:val="clear" w:color="auto" w:fill="FFFFFF"/>
        </w:rPr>
        <w:t>149</w:t>
      </w:r>
      <w:r w:rsidRPr="00D111EE">
        <w:rPr>
          <w:rFonts w:cstheme="minorHAnsi"/>
          <w:color w:val="222222"/>
          <w:shd w:val="clear" w:color="auto" w:fill="FFFFFF"/>
        </w:rPr>
        <w:t>(5), pp.697-700.</w:t>
      </w:r>
    </w:p>
    <w:p w14:paraId="5200E6FA" w14:textId="409C231B" w:rsidR="001C79DB" w:rsidRPr="00D111EE" w:rsidRDefault="001C79DB"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Stein, S., </w:t>
      </w:r>
      <w:proofErr w:type="spellStart"/>
      <w:r w:rsidRPr="00D111EE">
        <w:rPr>
          <w:rFonts w:cstheme="minorHAnsi"/>
          <w:color w:val="222222"/>
          <w:shd w:val="clear" w:color="auto" w:fill="FFFFFF"/>
        </w:rPr>
        <w:t>Cloetingh</w:t>
      </w:r>
      <w:proofErr w:type="spellEnd"/>
      <w:r w:rsidRPr="00D111EE">
        <w:rPr>
          <w:rFonts w:cstheme="minorHAnsi"/>
          <w:color w:val="222222"/>
          <w:shd w:val="clear" w:color="auto" w:fill="FFFFFF"/>
        </w:rPr>
        <w:t xml:space="preserve">, S., Sleep, N.H. and </w:t>
      </w:r>
      <w:proofErr w:type="spellStart"/>
      <w:r w:rsidRPr="00D111EE">
        <w:rPr>
          <w:rFonts w:cstheme="minorHAnsi"/>
          <w:color w:val="222222"/>
          <w:shd w:val="clear" w:color="auto" w:fill="FFFFFF"/>
        </w:rPr>
        <w:t>Wortel</w:t>
      </w:r>
      <w:proofErr w:type="spellEnd"/>
      <w:r w:rsidRPr="00D111EE">
        <w:rPr>
          <w:rFonts w:cstheme="minorHAnsi"/>
          <w:color w:val="222222"/>
          <w:shd w:val="clear" w:color="auto" w:fill="FFFFFF"/>
        </w:rPr>
        <w:t>, R., 1989. Passive margin earthquakes, stresses and rheology. In </w:t>
      </w:r>
      <w:r w:rsidRPr="00D111EE">
        <w:rPr>
          <w:rFonts w:cstheme="minorHAnsi"/>
          <w:i/>
          <w:iCs/>
          <w:color w:val="222222"/>
          <w:shd w:val="clear" w:color="auto" w:fill="FFFFFF"/>
        </w:rPr>
        <w:t xml:space="preserve">Earthquakes at North-Atlantic Passive Margins: </w:t>
      </w:r>
      <w:proofErr w:type="spellStart"/>
      <w:r w:rsidRPr="00D111EE">
        <w:rPr>
          <w:rFonts w:cstheme="minorHAnsi"/>
          <w:i/>
          <w:iCs/>
          <w:color w:val="222222"/>
          <w:shd w:val="clear" w:color="auto" w:fill="FFFFFF"/>
        </w:rPr>
        <w:t>Neotectonics</w:t>
      </w:r>
      <w:proofErr w:type="spellEnd"/>
      <w:r w:rsidRPr="00D111EE">
        <w:rPr>
          <w:rFonts w:cstheme="minorHAnsi"/>
          <w:i/>
          <w:iCs/>
          <w:color w:val="222222"/>
          <w:shd w:val="clear" w:color="auto" w:fill="FFFFFF"/>
        </w:rPr>
        <w:t xml:space="preserve"> and Postglacial Rebound</w:t>
      </w:r>
      <w:r w:rsidRPr="00D111EE">
        <w:rPr>
          <w:rFonts w:cstheme="minorHAnsi"/>
          <w:color w:val="222222"/>
          <w:shd w:val="clear" w:color="auto" w:fill="FFFFFF"/>
        </w:rPr>
        <w:t> (pp. 231-259). Springer, Dordrecht.</w:t>
      </w:r>
    </w:p>
    <w:p w14:paraId="5FE885EB" w14:textId="6C112C7E" w:rsidR="007C24FD" w:rsidRPr="00D111EE" w:rsidRDefault="00B13E0E" w:rsidP="009E071D">
      <w:pPr>
        <w:spacing w:after="100" w:afterAutospacing="1" w:line="360" w:lineRule="auto"/>
        <w:ind w:left="720" w:hanging="720"/>
        <w:rPr>
          <w:rFonts w:cstheme="minorHAnsi"/>
        </w:rPr>
      </w:pPr>
      <w:r w:rsidRPr="00D111EE">
        <w:rPr>
          <w:rFonts w:cstheme="minorHAnsi"/>
        </w:rPr>
        <w:t xml:space="preserve">Stone, P., Millward, D., Young, B., Merritt, J., Clarke, S., </w:t>
      </w:r>
      <w:proofErr w:type="spellStart"/>
      <w:r w:rsidRPr="00D111EE">
        <w:rPr>
          <w:rFonts w:cstheme="minorHAnsi"/>
        </w:rPr>
        <w:t>McCormac</w:t>
      </w:r>
      <w:proofErr w:type="spellEnd"/>
      <w:r w:rsidRPr="00D111EE">
        <w:rPr>
          <w:rFonts w:cstheme="minorHAnsi"/>
        </w:rPr>
        <w:t>, M. and Lawrence, D., 2010. Northern England. British Geological Survey.</w:t>
      </w:r>
    </w:p>
    <w:p w14:paraId="766666DA" w14:textId="77777777" w:rsidR="007C24FD" w:rsidRPr="00D111EE" w:rsidRDefault="007C24FD" w:rsidP="009E071D">
      <w:pPr>
        <w:spacing w:after="100" w:afterAutospacing="1" w:line="360" w:lineRule="auto"/>
        <w:ind w:left="720" w:hanging="720"/>
        <w:rPr>
          <w:rFonts w:cstheme="minorHAnsi"/>
        </w:rPr>
      </w:pPr>
      <w:proofErr w:type="spellStart"/>
      <w:r w:rsidRPr="00D111EE">
        <w:rPr>
          <w:rFonts w:cstheme="minorHAnsi"/>
        </w:rPr>
        <w:t>Terrington</w:t>
      </w:r>
      <w:proofErr w:type="spellEnd"/>
      <w:r w:rsidRPr="00D111EE">
        <w:rPr>
          <w:rFonts w:cstheme="minorHAnsi"/>
        </w:rPr>
        <w:t>, R.L. and Thorpe, S., 2013. Metadata report for the Northumberland and Solway Basin 1: 250 000 geological model.</w:t>
      </w:r>
    </w:p>
    <w:p w14:paraId="1AA648BE" w14:textId="7D95A292" w:rsidR="007E60DF" w:rsidRPr="00D111EE" w:rsidRDefault="007E60DF" w:rsidP="009E071D">
      <w:pPr>
        <w:spacing w:after="100" w:afterAutospacing="1" w:line="360" w:lineRule="auto"/>
        <w:ind w:left="720" w:hanging="720"/>
        <w:rPr>
          <w:rFonts w:cstheme="minorHAnsi"/>
          <w:color w:val="222222"/>
          <w:shd w:val="clear" w:color="auto" w:fill="FFFFFF"/>
        </w:rPr>
      </w:pPr>
      <w:proofErr w:type="spellStart"/>
      <w:r w:rsidRPr="00D111EE">
        <w:rPr>
          <w:rFonts w:cstheme="minorHAnsi"/>
          <w:color w:val="222222"/>
          <w:shd w:val="clear" w:color="auto" w:fill="FFFFFF"/>
        </w:rPr>
        <w:t>Verrall</w:t>
      </w:r>
      <w:proofErr w:type="spellEnd"/>
      <w:r w:rsidRPr="00D111EE">
        <w:rPr>
          <w:rFonts w:cstheme="minorHAnsi"/>
          <w:color w:val="222222"/>
          <w:shd w:val="clear" w:color="auto" w:fill="FFFFFF"/>
        </w:rPr>
        <w:t>, P., 1982. Structural interpretation with applications to North Sea problems: Geological Society of London Course Notes No 3. </w:t>
      </w:r>
      <w:r w:rsidRPr="00D111EE">
        <w:rPr>
          <w:rFonts w:cstheme="minorHAnsi"/>
          <w:i/>
          <w:iCs/>
          <w:color w:val="222222"/>
          <w:shd w:val="clear" w:color="auto" w:fill="FFFFFF"/>
        </w:rPr>
        <w:t>JAPEC (UK)</w:t>
      </w:r>
      <w:r w:rsidRPr="00D111EE">
        <w:rPr>
          <w:rFonts w:cstheme="minorHAnsi"/>
          <w:color w:val="222222"/>
          <w:shd w:val="clear" w:color="auto" w:fill="FFFFFF"/>
        </w:rPr>
        <w:t>.</w:t>
      </w:r>
    </w:p>
    <w:p w14:paraId="708AC20F" w14:textId="3D3349F1" w:rsidR="00A113F4" w:rsidRPr="00D111EE" w:rsidRDefault="00A113F4" w:rsidP="009E071D">
      <w:pPr>
        <w:spacing w:after="100" w:afterAutospacing="1" w:line="360" w:lineRule="auto"/>
        <w:ind w:left="720" w:hanging="720"/>
        <w:rPr>
          <w:rFonts w:cstheme="minorHAnsi"/>
        </w:rPr>
      </w:pPr>
      <w:r w:rsidRPr="00D111EE">
        <w:rPr>
          <w:rFonts w:cstheme="minorHAnsi"/>
        </w:rPr>
        <w:t xml:space="preserve">Watts, A.B., Bodine, J.H. and </w:t>
      </w:r>
      <w:proofErr w:type="spellStart"/>
      <w:r w:rsidRPr="00D111EE">
        <w:rPr>
          <w:rFonts w:cstheme="minorHAnsi"/>
        </w:rPr>
        <w:t>Steckler</w:t>
      </w:r>
      <w:proofErr w:type="spellEnd"/>
      <w:r w:rsidRPr="00D111EE">
        <w:rPr>
          <w:rFonts w:cstheme="minorHAnsi"/>
        </w:rPr>
        <w:t xml:space="preserve">, M.S., 1980. Observations of flexure and the state of stress in the oceanic lithosphere. </w:t>
      </w:r>
      <w:r w:rsidRPr="00D111EE">
        <w:rPr>
          <w:rFonts w:cstheme="minorHAnsi"/>
          <w:i/>
        </w:rPr>
        <w:t>Journal of Geophysical Research: Solid Earth</w:t>
      </w:r>
      <w:r w:rsidRPr="00D111EE">
        <w:rPr>
          <w:rFonts w:cstheme="minorHAnsi"/>
        </w:rPr>
        <w:t xml:space="preserve">, </w:t>
      </w:r>
      <w:r w:rsidRPr="00D111EE">
        <w:rPr>
          <w:rFonts w:cstheme="minorHAnsi"/>
          <w:i/>
        </w:rPr>
        <w:t>85</w:t>
      </w:r>
      <w:r w:rsidRPr="00D111EE">
        <w:rPr>
          <w:rFonts w:cstheme="minorHAnsi"/>
        </w:rPr>
        <w:t>(B11), pp.6369-6376.</w:t>
      </w:r>
    </w:p>
    <w:p w14:paraId="4C9B317C" w14:textId="1EB27C67" w:rsidR="001C79DB" w:rsidRPr="00D111EE" w:rsidRDefault="001C79DB" w:rsidP="009E071D">
      <w:pPr>
        <w:spacing w:after="100" w:afterAutospacing="1" w:line="360" w:lineRule="auto"/>
        <w:ind w:left="720" w:hanging="720"/>
        <w:rPr>
          <w:rFonts w:cstheme="minorHAnsi"/>
        </w:rPr>
      </w:pPr>
      <w:r w:rsidRPr="00D111EE">
        <w:rPr>
          <w:rFonts w:cstheme="minorHAnsi"/>
          <w:color w:val="222222"/>
          <w:shd w:val="clear" w:color="auto" w:fill="FFFFFF"/>
        </w:rPr>
        <w:t xml:space="preserve">Watts, A.B. and </w:t>
      </w:r>
      <w:proofErr w:type="spellStart"/>
      <w:r w:rsidRPr="00D111EE">
        <w:rPr>
          <w:rFonts w:cstheme="minorHAnsi"/>
          <w:color w:val="222222"/>
          <w:shd w:val="clear" w:color="auto" w:fill="FFFFFF"/>
        </w:rPr>
        <w:t>Zhong</w:t>
      </w:r>
      <w:proofErr w:type="spellEnd"/>
      <w:r w:rsidRPr="00D111EE">
        <w:rPr>
          <w:rFonts w:cstheme="minorHAnsi"/>
          <w:color w:val="222222"/>
          <w:shd w:val="clear" w:color="auto" w:fill="FFFFFF"/>
        </w:rPr>
        <w:t>, S., 2000. Observations of flexure and the rheology of oceanic lithosphere. </w:t>
      </w:r>
      <w:r w:rsidRPr="00D111EE">
        <w:rPr>
          <w:rFonts w:cstheme="minorHAnsi"/>
          <w:i/>
          <w:iCs/>
          <w:color w:val="222222"/>
          <w:shd w:val="clear" w:color="auto" w:fill="FFFFFF"/>
        </w:rPr>
        <w:t>Geophysical Journal International</w:t>
      </w:r>
      <w:r w:rsidRPr="00D111EE">
        <w:rPr>
          <w:rFonts w:cstheme="minorHAnsi"/>
          <w:color w:val="222222"/>
          <w:shd w:val="clear" w:color="auto" w:fill="FFFFFF"/>
        </w:rPr>
        <w:t>, </w:t>
      </w:r>
      <w:r w:rsidRPr="00D111EE">
        <w:rPr>
          <w:rFonts w:cstheme="minorHAnsi"/>
          <w:i/>
          <w:iCs/>
          <w:color w:val="222222"/>
          <w:shd w:val="clear" w:color="auto" w:fill="FFFFFF"/>
        </w:rPr>
        <w:t>142</w:t>
      </w:r>
      <w:r w:rsidRPr="00D111EE">
        <w:rPr>
          <w:rFonts w:cstheme="minorHAnsi"/>
          <w:color w:val="222222"/>
          <w:shd w:val="clear" w:color="auto" w:fill="FFFFFF"/>
        </w:rPr>
        <w:t>(3), pp.855-875.</w:t>
      </w:r>
    </w:p>
    <w:p w14:paraId="3FA6BAFA" w14:textId="4573402B" w:rsidR="00EE7CDE" w:rsidRPr="00D111EE" w:rsidRDefault="00EE7CDE" w:rsidP="009E071D">
      <w:pPr>
        <w:spacing w:after="100" w:afterAutospacing="1" w:line="360" w:lineRule="auto"/>
        <w:ind w:left="720" w:hanging="720"/>
        <w:rPr>
          <w:rFonts w:cstheme="minorHAnsi"/>
        </w:rPr>
      </w:pPr>
      <w:r w:rsidRPr="00D111EE">
        <w:rPr>
          <w:rFonts w:cstheme="minorHAnsi"/>
          <w:color w:val="222222"/>
          <w:shd w:val="clear" w:color="auto" w:fill="FFFFFF"/>
        </w:rPr>
        <w:t>Watts, A.B., 2001. </w:t>
      </w:r>
      <w:r w:rsidRPr="00D111EE">
        <w:rPr>
          <w:rFonts w:cstheme="minorHAnsi"/>
          <w:i/>
          <w:iCs/>
          <w:color w:val="222222"/>
          <w:shd w:val="clear" w:color="auto" w:fill="FFFFFF"/>
        </w:rPr>
        <w:t>Isostasy and Flexure of the Lithosphere</w:t>
      </w:r>
      <w:r w:rsidRPr="00D111EE">
        <w:rPr>
          <w:rFonts w:cstheme="minorHAnsi"/>
          <w:color w:val="222222"/>
          <w:shd w:val="clear" w:color="auto" w:fill="FFFFFF"/>
        </w:rPr>
        <w:t>. Cambridge University Press.</w:t>
      </w:r>
    </w:p>
    <w:p w14:paraId="1B65E58E" w14:textId="36015A57" w:rsidR="007E60DF" w:rsidRPr="00D111EE" w:rsidRDefault="007E60DF" w:rsidP="009E071D">
      <w:pPr>
        <w:spacing w:after="100" w:afterAutospacing="1" w:line="360" w:lineRule="auto"/>
        <w:ind w:left="720" w:hanging="720"/>
        <w:rPr>
          <w:rFonts w:cstheme="minorHAnsi"/>
        </w:rPr>
      </w:pPr>
      <w:r w:rsidRPr="00D111EE">
        <w:rPr>
          <w:rFonts w:cstheme="minorHAnsi"/>
          <w:color w:val="222222"/>
          <w:shd w:val="clear" w:color="auto" w:fill="FFFFFF"/>
        </w:rPr>
        <w:t>White, N.J., Jackson, J.A. and McKenzie, D.P., 1986. The relationship between the geometry of normal faults and that of the sedimentary layers in their hanging walls. </w:t>
      </w:r>
      <w:r w:rsidRPr="00D111EE">
        <w:rPr>
          <w:rFonts w:cstheme="minorHAnsi"/>
          <w:i/>
          <w:iCs/>
          <w:color w:val="222222"/>
          <w:shd w:val="clear" w:color="auto" w:fill="FFFFFF"/>
        </w:rPr>
        <w:t>Journal of Structural Geology</w:t>
      </w:r>
      <w:r w:rsidRPr="00D111EE">
        <w:rPr>
          <w:rFonts w:cstheme="minorHAnsi"/>
          <w:color w:val="222222"/>
          <w:shd w:val="clear" w:color="auto" w:fill="FFFFFF"/>
        </w:rPr>
        <w:t>, </w:t>
      </w:r>
      <w:r w:rsidRPr="00D111EE">
        <w:rPr>
          <w:rFonts w:cstheme="minorHAnsi"/>
          <w:i/>
          <w:iCs/>
          <w:color w:val="222222"/>
          <w:shd w:val="clear" w:color="auto" w:fill="FFFFFF"/>
        </w:rPr>
        <w:t>8</w:t>
      </w:r>
      <w:r w:rsidRPr="00D111EE">
        <w:rPr>
          <w:rFonts w:cstheme="minorHAnsi"/>
          <w:color w:val="222222"/>
          <w:shd w:val="clear" w:color="auto" w:fill="FFFFFF"/>
        </w:rPr>
        <w:t>(8), pp.897-909.</w:t>
      </w:r>
    </w:p>
    <w:p w14:paraId="369775C3" w14:textId="144B94F6" w:rsidR="001C79DB" w:rsidRPr="00D111EE" w:rsidRDefault="001C79DB" w:rsidP="009E071D">
      <w:pPr>
        <w:spacing w:after="100" w:afterAutospacing="1" w:line="360" w:lineRule="auto"/>
        <w:ind w:left="720" w:hanging="720"/>
        <w:rPr>
          <w:rFonts w:cstheme="minorHAnsi"/>
          <w:color w:val="222222"/>
          <w:shd w:val="clear" w:color="auto" w:fill="FFFFFF"/>
        </w:rPr>
      </w:pPr>
      <w:r w:rsidRPr="00D111EE">
        <w:rPr>
          <w:rFonts w:cstheme="minorHAnsi"/>
          <w:color w:val="222222"/>
          <w:shd w:val="clear" w:color="auto" w:fill="FFFFFF"/>
        </w:rPr>
        <w:t xml:space="preserve">Ziegler, P.A., </w:t>
      </w:r>
      <w:proofErr w:type="spellStart"/>
      <w:r w:rsidRPr="00D111EE">
        <w:rPr>
          <w:rFonts w:cstheme="minorHAnsi"/>
          <w:color w:val="222222"/>
          <w:shd w:val="clear" w:color="auto" w:fill="FFFFFF"/>
        </w:rPr>
        <w:t>Cloetingh</w:t>
      </w:r>
      <w:proofErr w:type="spellEnd"/>
      <w:r w:rsidRPr="00D111EE">
        <w:rPr>
          <w:rFonts w:cstheme="minorHAnsi"/>
          <w:color w:val="222222"/>
          <w:shd w:val="clear" w:color="auto" w:fill="FFFFFF"/>
        </w:rPr>
        <w:t>, S. and van Wees, J.D., 1995. Dynamics of intra-plate compressional deformation: the Alpine foreland and other examples. </w:t>
      </w:r>
      <w:r w:rsidRPr="00D111EE">
        <w:rPr>
          <w:rFonts w:cstheme="minorHAnsi"/>
          <w:i/>
          <w:iCs/>
          <w:color w:val="222222"/>
          <w:shd w:val="clear" w:color="auto" w:fill="FFFFFF"/>
        </w:rPr>
        <w:t>Tectonophysics</w:t>
      </w:r>
      <w:r w:rsidRPr="00D111EE">
        <w:rPr>
          <w:rFonts w:cstheme="minorHAnsi"/>
          <w:color w:val="222222"/>
          <w:shd w:val="clear" w:color="auto" w:fill="FFFFFF"/>
        </w:rPr>
        <w:t>, </w:t>
      </w:r>
      <w:r w:rsidRPr="00D111EE">
        <w:rPr>
          <w:rFonts w:cstheme="minorHAnsi"/>
          <w:i/>
          <w:iCs/>
          <w:color w:val="222222"/>
          <w:shd w:val="clear" w:color="auto" w:fill="FFFFFF"/>
        </w:rPr>
        <w:t>252</w:t>
      </w:r>
      <w:r w:rsidRPr="00D111EE">
        <w:rPr>
          <w:rFonts w:cstheme="minorHAnsi"/>
          <w:color w:val="222222"/>
          <w:shd w:val="clear" w:color="auto" w:fill="FFFFFF"/>
        </w:rPr>
        <w:t>(1-4), pp.7-59.</w:t>
      </w:r>
    </w:p>
    <w:p w14:paraId="329E6AD6" w14:textId="690B329B" w:rsidR="005F37BB" w:rsidRPr="00D111EE" w:rsidRDefault="005F37BB" w:rsidP="009E071D">
      <w:pPr>
        <w:spacing w:after="100" w:afterAutospacing="1" w:line="360" w:lineRule="auto"/>
        <w:ind w:left="720" w:hanging="720"/>
        <w:rPr>
          <w:rFonts w:cstheme="minorHAnsi"/>
        </w:rPr>
      </w:pPr>
      <w:proofErr w:type="spellStart"/>
      <w:r w:rsidRPr="00D111EE">
        <w:rPr>
          <w:rFonts w:cstheme="minorHAnsi"/>
          <w:color w:val="222222"/>
          <w:shd w:val="clear" w:color="auto" w:fill="FFFFFF"/>
        </w:rPr>
        <w:t>Zoback</w:t>
      </w:r>
      <w:proofErr w:type="spellEnd"/>
      <w:r w:rsidRPr="00D111EE">
        <w:rPr>
          <w:rFonts w:cstheme="minorHAnsi"/>
          <w:color w:val="222222"/>
          <w:shd w:val="clear" w:color="auto" w:fill="FFFFFF"/>
        </w:rPr>
        <w:t>, M.L., 1992. First‐and second‐order patterns of stress in the lithosphere: The World Stress Map Project. </w:t>
      </w:r>
      <w:r w:rsidRPr="00D111EE">
        <w:rPr>
          <w:rFonts w:cstheme="minorHAnsi"/>
          <w:i/>
          <w:iCs/>
          <w:color w:val="222222"/>
          <w:shd w:val="clear" w:color="auto" w:fill="FFFFFF"/>
        </w:rPr>
        <w:t>Journal of Geophysical Research: Solid Earth</w:t>
      </w:r>
      <w:r w:rsidRPr="00D111EE">
        <w:rPr>
          <w:rFonts w:cstheme="minorHAnsi"/>
          <w:color w:val="222222"/>
          <w:shd w:val="clear" w:color="auto" w:fill="FFFFFF"/>
        </w:rPr>
        <w:t>, </w:t>
      </w:r>
      <w:r w:rsidRPr="00D111EE">
        <w:rPr>
          <w:rFonts w:cstheme="minorHAnsi"/>
          <w:i/>
          <w:iCs/>
          <w:color w:val="222222"/>
          <w:shd w:val="clear" w:color="auto" w:fill="FFFFFF"/>
        </w:rPr>
        <w:t>97</w:t>
      </w:r>
      <w:r w:rsidRPr="00D111EE">
        <w:rPr>
          <w:rFonts w:cstheme="minorHAnsi"/>
          <w:color w:val="222222"/>
          <w:shd w:val="clear" w:color="auto" w:fill="FFFFFF"/>
        </w:rPr>
        <w:t>(B8), pp.11703-11728.</w:t>
      </w:r>
    </w:p>
    <w:sectPr w:rsidR="005F37BB" w:rsidRPr="00D111EE" w:rsidSect="0075029C">
      <w:footerReference w:type="default" r:id="rId21"/>
      <w:pgSz w:w="11906" w:h="16838"/>
      <w:pgMar w:top="1440" w:right="1440" w:bottom="1440" w:left="1440" w:header="708" w:footer="708" w:gutter="0"/>
      <w:lnNumType w:countBy="1" w:restart="continuou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49800A" w16cid:durableId="1F25812A"/>
  <w16cid:commentId w16cid:paraId="01A50284" w16cid:durableId="1F25812B"/>
  <w16cid:commentId w16cid:paraId="31C545EE" w16cid:durableId="1F25812C"/>
  <w16cid:commentId w16cid:paraId="1A7FF81E" w16cid:durableId="1F25812D"/>
  <w16cid:commentId w16cid:paraId="1B9AE014" w16cid:durableId="1F25812E"/>
  <w16cid:commentId w16cid:paraId="7B055478" w16cid:durableId="1F25812F"/>
  <w16cid:commentId w16cid:paraId="38F8EB46" w16cid:durableId="1F258130"/>
  <w16cid:commentId w16cid:paraId="7F4EA454" w16cid:durableId="1F258131"/>
  <w16cid:commentId w16cid:paraId="7F6C924A" w16cid:durableId="1F259665"/>
  <w16cid:commentId w16cid:paraId="44E659A1" w16cid:durableId="1F25976E"/>
  <w16cid:commentId w16cid:paraId="64ABF7A9" w16cid:durableId="1F259798"/>
  <w16cid:commentId w16cid:paraId="1A72F090" w16cid:durableId="1F2599A3"/>
  <w16cid:commentId w16cid:paraId="73A9C6A3" w16cid:durableId="1F2599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1305A" w14:textId="77777777" w:rsidR="001B37C8" w:rsidRDefault="001B37C8" w:rsidP="00F004E1">
      <w:pPr>
        <w:spacing w:after="0" w:line="240" w:lineRule="auto"/>
      </w:pPr>
      <w:r>
        <w:separator/>
      </w:r>
    </w:p>
  </w:endnote>
  <w:endnote w:type="continuationSeparator" w:id="0">
    <w:p w14:paraId="7B8C107E" w14:textId="77777777" w:rsidR="001B37C8" w:rsidRDefault="001B37C8" w:rsidP="00F00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650234"/>
      <w:docPartObj>
        <w:docPartGallery w:val="Page Numbers (Bottom of Page)"/>
        <w:docPartUnique/>
      </w:docPartObj>
    </w:sdtPr>
    <w:sdtEndPr>
      <w:rPr>
        <w:color w:val="7F7F7F" w:themeColor="background1" w:themeShade="7F"/>
        <w:spacing w:val="60"/>
      </w:rPr>
    </w:sdtEndPr>
    <w:sdtContent>
      <w:p w14:paraId="5C6C1E0B" w14:textId="3576AA39" w:rsidR="001B37C8" w:rsidRDefault="001B37C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B6EBB" w:rsidRPr="002B6EBB">
          <w:rPr>
            <w:b/>
            <w:bCs/>
            <w:noProof/>
          </w:rPr>
          <w:t>22</w:t>
        </w:r>
        <w:r>
          <w:rPr>
            <w:b/>
            <w:bCs/>
            <w:noProof/>
          </w:rPr>
          <w:fldChar w:fldCharType="end"/>
        </w:r>
        <w:r>
          <w:rPr>
            <w:b/>
            <w:bCs/>
          </w:rPr>
          <w:t xml:space="preserve"> | </w:t>
        </w:r>
        <w:r>
          <w:rPr>
            <w:color w:val="7F7F7F" w:themeColor="background1" w:themeShade="7F"/>
            <w:spacing w:val="60"/>
          </w:rPr>
          <w:t>Page</w:t>
        </w:r>
      </w:p>
    </w:sdtContent>
  </w:sdt>
  <w:p w14:paraId="79371BFE" w14:textId="77777777" w:rsidR="001B37C8" w:rsidRDefault="001B3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0581E" w14:textId="77777777" w:rsidR="001B37C8" w:rsidRDefault="001B37C8" w:rsidP="00F004E1">
      <w:pPr>
        <w:spacing w:after="0" w:line="240" w:lineRule="auto"/>
      </w:pPr>
      <w:r>
        <w:separator/>
      </w:r>
    </w:p>
  </w:footnote>
  <w:footnote w:type="continuationSeparator" w:id="0">
    <w:p w14:paraId="45BFB4EC" w14:textId="77777777" w:rsidR="001B37C8" w:rsidRDefault="001B37C8" w:rsidP="00F00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5FF7"/>
    <w:multiLevelType w:val="hybridMultilevel"/>
    <w:tmpl w:val="ADC60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181D"/>
    <w:multiLevelType w:val="hybridMultilevel"/>
    <w:tmpl w:val="94506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B51DD"/>
    <w:multiLevelType w:val="hybridMultilevel"/>
    <w:tmpl w:val="B400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142E93"/>
    <w:multiLevelType w:val="hybridMultilevel"/>
    <w:tmpl w:val="DC74D6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C660533"/>
    <w:multiLevelType w:val="hybridMultilevel"/>
    <w:tmpl w:val="5FC6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AB5022"/>
    <w:multiLevelType w:val="multilevel"/>
    <w:tmpl w:val="D722C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0C2DE3"/>
    <w:multiLevelType w:val="hybridMultilevel"/>
    <w:tmpl w:val="13666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775BE"/>
    <w:multiLevelType w:val="hybridMultilevel"/>
    <w:tmpl w:val="7764B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F8F2CFD"/>
    <w:multiLevelType w:val="hybridMultilevel"/>
    <w:tmpl w:val="415A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23F63"/>
    <w:multiLevelType w:val="hybridMultilevel"/>
    <w:tmpl w:val="DD3A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83969"/>
    <w:multiLevelType w:val="multilevel"/>
    <w:tmpl w:val="8348C5A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92308A4"/>
    <w:multiLevelType w:val="hybridMultilevel"/>
    <w:tmpl w:val="3288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D374C"/>
    <w:multiLevelType w:val="hybridMultilevel"/>
    <w:tmpl w:val="3AC04F6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3" w15:restartNumberingAfterBreak="0">
    <w:nsid w:val="4C702AEC"/>
    <w:multiLevelType w:val="hybridMultilevel"/>
    <w:tmpl w:val="923C9B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EB94CEE"/>
    <w:multiLevelType w:val="hybridMultilevel"/>
    <w:tmpl w:val="196A3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F4AD7"/>
    <w:multiLevelType w:val="hybridMultilevel"/>
    <w:tmpl w:val="C4DE1F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5AAA705F"/>
    <w:multiLevelType w:val="hybridMultilevel"/>
    <w:tmpl w:val="8C5C24D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1A25D68"/>
    <w:multiLevelType w:val="hybridMultilevel"/>
    <w:tmpl w:val="65783CEA"/>
    <w:lvl w:ilvl="0" w:tplc="7C3EDCE8">
      <w:start w:val="3"/>
      <w:numFmt w:val="bullet"/>
      <w:lvlText w:val="-"/>
      <w:lvlJc w:val="left"/>
      <w:pPr>
        <w:ind w:left="720" w:hanging="360"/>
      </w:pPr>
      <w:rPr>
        <w:rFonts w:ascii="Calibri Light" w:eastAsiaTheme="majorEastAsia" w:hAnsi="Calibri Ligh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9364EA"/>
    <w:multiLevelType w:val="hybridMultilevel"/>
    <w:tmpl w:val="5478D0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74040BE9"/>
    <w:multiLevelType w:val="hybridMultilevel"/>
    <w:tmpl w:val="DBB8D3E0"/>
    <w:lvl w:ilvl="0" w:tplc="A616420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560BCB"/>
    <w:multiLevelType w:val="hybridMultilevel"/>
    <w:tmpl w:val="3DEA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6"/>
  </w:num>
  <w:num w:numId="4">
    <w:abstractNumId w:val="4"/>
  </w:num>
  <w:num w:numId="5">
    <w:abstractNumId w:val="0"/>
  </w:num>
  <w:num w:numId="6">
    <w:abstractNumId w:val="2"/>
  </w:num>
  <w:num w:numId="7">
    <w:abstractNumId w:val="20"/>
  </w:num>
  <w:num w:numId="8">
    <w:abstractNumId w:val="1"/>
  </w:num>
  <w:num w:numId="9">
    <w:abstractNumId w:val="10"/>
  </w:num>
  <w:num w:numId="10">
    <w:abstractNumId w:val="8"/>
  </w:num>
  <w:num w:numId="11">
    <w:abstractNumId w:val="7"/>
  </w:num>
  <w:num w:numId="12">
    <w:abstractNumId w:val="18"/>
  </w:num>
  <w:num w:numId="13">
    <w:abstractNumId w:val="16"/>
  </w:num>
  <w:num w:numId="14">
    <w:abstractNumId w:val="17"/>
  </w:num>
  <w:num w:numId="15">
    <w:abstractNumId w:val="19"/>
  </w:num>
  <w:num w:numId="16">
    <w:abstractNumId w:val="12"/>
  </w:num>
  <w:num w:numId="17">
    <w:abstractNumId w:val="14"/>
  </w:num>
  <w:num w:numId="18">
    <w:abstractNumId w:val="13"/>
  </w:num>
  <w:num w:numId="19">
    <w:abstractNumId w:val="15"/>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0E"/>
    <w:rsid w:val="0001798A"/>
    <w:rsid w:val="0002221E"/>
    <w:rsid w:val="00027307"/>
    <w:rsid w:val="000301D5"/>
    <w:rsid w:val="00032612"/>
    <w:rsid w:val="00032C00"/>
    <w:rsid w:val="000338EE"/>
    <w:rsid w:val="00037224"/>
    <w:rsid w:val="00041937"/>
    <w:rsid w:val="00042FDC"/>
    <w:rsid w:val="0004327A"/>
    <w:rsid w:val="00047A32"/>
    <w:rsid w:val="00055C73"/>
    <w:rsid w:val="00060115"/>
    <w:rsid w:val="00060CBE"/>
    <w:rsid w:val="00061161"/>
    <w:rsid w:val="000637B4"/>
    <w:rsid w:val="0006395A"/>
    <w:rsid w:val="000641EF"/>
    <w:rsid w:val="000710A2"/>
    <w:rsid w:val="00073A05"/>
    <w:rsid w:val="00073D5A"/>
    <w:rsid w:val="00077EA5"/>
    <w:rsid w:val="00084DEF"/>
    <w:rsid w:val="00090603"/>
    <w:rsid w:val="00093880"/>
    <w:rsid w:val="0009477B"/>
    <w:rsid w:val="00096760"/>
    <w:rsid w:val="000A1EC6"/>
    <w:rsid w:val="000A2D75"/>
    <w:rsid w:val="000B25CA"/>
    <w:rsid w:val="000B30BD"/>
    <w:rsid w:val="000B4683"/>
    <w:rsid w:val="000B5796"/>
    <w:rsid w:val="000C5E92"/>
    <w:rsid w:val="000D13E1"/>
    <w:rsid w:val="000D26A9"/>
    <w:rsid w:val="000D6A28"/>
    <w:rsid w:val="000F0E4F"/>
    <w:rsid w:val="000F3012"/>
    <w:rsid w:val="000F33E4"/>
    <w:rsid w:val="000F36EA"/>
    <w:rsid w:val="000F3D76"/>
    <w:rsid w:val="000F4EDD"/>
    <w:rsid w:val="000F6759"/>
    <w:rsid w:val="000F6AAE"/>
    <w:rsid w:val="001010A2"/>
    <w:rsid w:val="00104C15"/>
    <w:rsid w:val="001117D4"/>
    <w:rsid w:val="0011387E"/>
    <w:rsid w:val="00117584"/>
    <w:rsid w:val="00117D1D"/>
    <w:rsid w:val="00122F3B"/>
    <w:rsid w:val="0012527B"/>
    <w:rsid w:val="00125E8D"/>
    <w:rsid w:val="00130E1A"/>
    <w:rsid w:val="001348B0"/>
    <w:rsid w:val="00136634"/>
    <w:rsid w:val="0014091E"/>
    <w:rsid w:val="001413FF"/>
    <w:rsid w:val="00144EA9"/>
    <w:rsid w:val="00153DB9"/>
    <w:rsid w:val="0015429C"/>
    <w:rsid w:val="00154563"/>
    <w:rsid w:val="00157624"/>
    <w:rsid w:val="001602B7"/>
    <w:rsid w:val="001640BD"/>
    <w:rsid w:val="0017458B"/>
    <w:rsid w:val="00182431"/>
    <w:rsid w:val="00184004"/>
    <w:rsid w:val="00190DA3"/>
    <w:rsid w:val="001915D5"/>
    <w:rsid w:val="00196C0E"/>
    <w:rsid w:val="001A2180"/>
    <w:rsid w:val="001A4192"/>
    <w:rsid w:val="001A4447"/>
    <w:rsid w:val="001B044C"/>
    <w:rsid w:val="001B3528"/>
    <w:rsid w:val="001B37C8"/>
    <w:rsid w:val="001C14BC"/>
    <w:rsid w:val="001C2AC3"/>
    <w:rsid w:val="001C30FE"/>
    <w:rsid w:val="001C5803"/>
    <w:rsid w:val="001C79DB"/>
    <w:rsid w:val="001D1723"/>
    <w:rsid w:val="001D3731"/>
    <w:rsid w:val="001D701C"/>
    <w:rsid w:val="001D7CAD"/>
    <w:rsid w:val="001E3C40"/>
    <w:rsid w:val="001E60E1"/>
    <w:rsid w:val="001E64C7"/>
    <w:rsid w:val="001E69DF"/>
    <w:rsid w:val="001F1C2B"/>
    <w:rsid w:val="001F22C3"/>
    <w:rsid w:val="001F4F6D"/>
    <w:rsid w:val="001F5F44"/>
    <w:rsid w:val="001F62D1"/>
    <w:rsid w:val="002000F7"/>
    <w:rsid w:val="00205C72"/>
    <w:rsid w:val="00205D3D"/>
    <w:rsid w:val="00213C61"/>
    <w:rsid w:val="00216B74"/>
    <w:rsid w:val="0022105B"/>
    <w:rsid w:val="00232165"/>
    <w:rsid w:val="00232767"/>
    <w:rsid w:val="00237B93"/>
    <w:rsid w:val="002477FA"/>
    <w:rsid w:val="00251490"/>
    <w:rsid w:val="00257A4A"/>
    <w:rsid w:val="00264956"/>
    <w:rsid w:val="002650F0"/>
    <w:rsid w:val="00273B8A"/>
    <w:rsid w:val="00280C2B"/>
    <w:rsid w:val="00283732"/>
    <w:rsid w:val="0028441E"/>
    <w:rsid w:val="002848CC"/>
    <w:rsid w:val="00284981"/>
    <w:rsid w:val="00285E29"/>
    <w:rsid w:val="00291B29"/>
    <w:rsid w:val="002926FE"/>
    <w:rsid w:val="002A0D89"/>
    <w:rsid w:val="002A1E5A"/>
    <w:rsid w:val="002A36FA"/>
    <w:rsid w:val="002A7F07"/>
    <w:rsid w:val="002B14A9"/>
    <w:rsid w:val="002B1A19"/>
    <w:rsid w:val="002B343B"/>
    <w:rsid w:val="002B666F"/>
    <w:rsid w:val="002B6EBB"/>
    <w:rsid w:val="002C1F9B"/>
    <w:rsid w:val="002D1A72"/>
    <w:rsid w:val="002D355C"/>
    <w:rsid w:val="002D63EE"/>
    <w:rsid w:val="002E2D7F"/>
    <w:rsid w:val="002E4E73"/>
    <w:rsid w:val="002E5330"/>
    <w:rsid w:val="002E7FA9"/>
    <w:rsid w:val="002F44AD"/>
    <w:rsid w:val="002F7616"/>
    <w:rsid w:val="003020EB"/>
    <w:rsid w:val="00303F8B"/>
    <w:rsid w:val="00305457"/>
    <w:rsid w:val="0030773E"/>
    <w:rsid w:val="00316B08"/>
    <w:rsid w:val="003211A5"/>
    <w:rsid w:val="0032230B"/>
    <w:rsid w:val="00324D0C"/>
    <w:rsid w:val="00325323"/>
    <w:rsid w:val="00325768"/>
    <w:rsid w:val="00331469"/>
    <w:rsid w:val="003338F9"/>
    <w:rsid w:val="0033430E"/>
    <w:rsid w:val="00336372"/>
    <w:rsid w:val="00345000"/>
    <w:rsid w:val="00351D94"/>
    <w:rsid w:val="00353092"/>
    <w:rsid w:val="00362F30"/>
    <w:rsid w:val="0036753F"/>
    <w:rsid w:val="00367793"/>
    <w:rsid w:val="00385557"/>
    <w:rsid w:val="0038652D"/>
    <w:rsid w:val="00387D80"/>
    <w:rsid w:val="003949A0"/>
    <w:rsid w:val="003A3682"/>
    <w:rsid w:val="003A54E6"/>
    <w:rsid w:val="003B2D81"/>
    <w:rsid w:val="003B5EA3"/>
    <w:rsid w:val="003C0D3F"/>
    <w:rsid w:val="003C157D"/>
    <w:rsid w:val="003C5312"/>
    <w:rsid w:val="003C6275"/>
    <w:rsid w:val="003C690F"/>
    <w:rsid w:val="003C6EF6"/>
    <w:rsid w:val="003D038F"/>
    <w:rsid w:val="003D25B0"/>
    <w:rsid w:val="003E2FC1"/>
    <w:rsid w:val="003E59D2"/>
    <w:rsid w:val="003F5AAD"/>
    <w:rsid w:val="003F5E89"/>
    <w:rsid w:val="003F6929"/>
    <w:rsid w:val="003F6FED"/>
    <w:rsid w:val="003F776B"/>
    <w:rsid w:val="00400D07"/>
    <w:rsid w:val="00402FAB"/>
    <w:rsid w:val="004043A5"/>
    <w:rsid w:val="004119E5"/>
    <w:rsid w:val="00412C3A"/>
    <w:rsid w:val="00413052"/>
    <w:rsid w:val="00414294"/>
    <w:rsid w:val="00423127"/>
    <w:rsid w:val="0042400F"/>
    <w:rsid w:val="0043064E"/>
    <w:rsid w:val="004315E8"/>
    <w:rsid w:val="0043363C"/>
    <w:rsid w:val="00435412"/>
    <w:rsid w:val="00442E94"/>
    <w:rsid w:val="0044454D"/>
    <w:rsid w:val="004463BE"/>
    <w:rsid w:val="00450A87"/>
    <w:rsid w:val="00452372"/>
    <w:rsid w:val="0045284C"/>
    <w:rsid w:val="00452C64"/>
    <w:rsid w:val="004568F1"/>
    <w:rsid w:val="004572CC"/>
    <w:rsid w:val="00462657"/>
    <w:rsid w:val="00462BB0"/>
    <w:rsid w:val="0046525D"/>
    <w:rsid w:val="00467289"/>
    <w:rsid w:val="004713C5"/>
    <w:rsid w:val="004717DA"/>
    <w:rsid w:val="00472463"/>
    <w:rsid w:val="00473125"/>
    <w:rsid w:val="004764EE"/>
    <w:rsid w:val="00477025"/>
    <w:rsid w:val="00477177"/>
    <w:rsid w:val="00480C32"/>
    <w:rsid w:val="00482C84"/>
    <w:rsid w:val="004841DF"/>
    <w:rsid w:val="00485B3D"/>
    <w:rsid w:val="004901C1"/>
    <w:rsid w:val="004922A3"/>
    <w:rsid w:val="004A1959"/>
    <w:rsid w:val="004A61B6"/>
    <w:rsid w:val="004A709C"/>
    <w:rsid w:val="004B0070"/>
    <w:rsid w:val="004B0447"/>
    <w:rsid w:val="004B257D"/>
    <w:rsid w:val="004B5D02"/>
    <w:rsid w:val="004C12CA"/>
    <w:rsid w:val="004C479F"/>
    <w:rsid w:val="004C5571"/>
    <w:rsid w:val="004C63BB"/>
    <w:rsid w:val="004D25F2"/>
    <w:rsid w:val="004D2973"/>
    <w:rsid w:val="004D73B4"/>
    <w:rsid w:val="004E0F99"/>
    <w:rsid w:val="004E48B2"/>
    <w:rsid w:val="004E711D"/>
    <w:rsid w:val="004F0EEC"/>
    <w:rsid w:val="004F1065"/>
    <w:rsid w:val="004F4639"/>
    <w:rsid w:val="004F5FC9"/>
    <w:rsid w:val="004F7476"/>
    <w:rsid w:val="004F7F45"/>
    <w:rsid w:val="005155A3"/>
    <w:rsid w:val="00515C7D"/>
    <w:rsid w:val="00516776"/>
    <w:rsid w:val="005238BE"/>
    <w:rsid w:val="005246C0"/>
    <w:rsid w:val="00532E64"/>
    <w:rsid w:val="00534BE5"/>
    <w:rsid w:val="0054169B"/>
    <w:rsid w:val="005476B2"/>
    <w:rsid w:val="00550CAE"/>
    <w:rsid w:val="005526E7"/>
    <w:rsid w:val="00553B4F"/>
    <w:rsid w:val="00564257"/>
    <w:rsid w:val="00566CC0"/>
    <w:rsid w:val="005720FD"/>
    <w:rsid w:val="00572773"/>
    <w:rsid w:val="0057314B"/>
    <w:rsid w:val="00583886"/>
    <w:rsid w:val="005A01EE"/>
    <w:rsid w:val="005A2AAB"/>
    <w:rsid w:val="005A69C9"/>
    <w:rsid w:val="005B0C0D"/>
    <w:rsid w:val="005B1395"/>
    <w:rsid w:val="005B226B"/>
    <w:rsid w:val="005B30FE"/>
    <w:rsid w:val="005B5F04"/>
    <w:rsid w:val="005C0FE7"/>
    <w:rsid w:val="005C196B"/>
    <w:rsid w:val="005C341E"/>
    <w:rsid w:val="005C4A81"/>
    <w:rsid w:val="005C53C4"/>
    <w:rsid w:val="005D1D32"/>
    <w:rsid w:val="005D318F"/>
    <w:rsid w:val="005D475D"/>
    <w:rsid w:val="005E03D8"/>
    <w:rsid w:val="005E639D"/>
    <w:rsid w:val="005F1A43"/>
    <w:rsid w:val="005F37BB"/>
    <w:rsid w:val="006013DB"/>
    <w:rsid w:val="006078BC"/>
    <w:rsid w:val="00616694"/>
    <w:rsid w:val="006171A1"/>
    <w:rsid w:val="00617761"/>
    <w:rsid w:val="006224FE"/>
    <w:rsid w:val="0062491E"/>
    <w:rsid w:val="00626838"/>
    <w:rsid w:val="006307E2"/>
    <w:rsid w:val="006308CA"/>
    <w:rsid w:val="006315F9"/>
    <w:rsid w:val="00635455"/>
    <w:rsid w:val="00636864"/>
    <w:rsid w:val="00641C65"/>
    <w:rsid w:val="006476A8"/>
    <w:rsid w:val="006478E9"/>
    <w:rsid w:val="0066656A"/>
    <w:rsid w:val="00666F14"/>
    <w:rsid w:val="00670C59"/>
    <w:rsid w:val="00672190"/>
    <w:rsid w:val="00672F2E"/>
    <w:rsid w:val="00680274"/>
    <w:rsid w:val="00682319"/>
    <w:rsid w:val="00685CAE"/>
    <w:rsid w:val="0068751B"/>
    <w:rsid w:val="00690AF1"/>
    <w:rsid w:val="00691752"/>
    <w:rsid w:val="006918ED"/>
    <w:rsid w:val="0069329B"/>
    <w:rsid w:val="00695AAE"/>
    <w:rsid w:val="006A23B4"/>
    <w:rsid w:val="006A4D76"/>
    <w:rsid w:val="006A6340"/>
    <w:rsid w:val="006B1BB4"/>
    <w:rsid w:val="006B26D1"/>
    <w:rsid w:val="006B2EE0"/>
    <w:rsid w:val="006B2F58"/>
    <w:rsid w:val="006B3F59"/>
    <w:rsid w:val="006B6D88"/>
    <w:rsid w:val="006C6912"/>
    <w:rsid w:val="006E1D89"/>
    <w:rsid w:val="006E41CC"/>
    <w:rsid w:val="006E474C"/>
    <w:rsid w:val="006F2853"/>
    <w:rsid w:val="006F4974"/>
    <w:rsid w:val="006F52EA"/>
    <w:rsid w:val="006F77B5"/>
    <w:rsid w:val="006F7BC2"/>
    <w:rsid w:val="00700503"/>
    <w:rsid w:val="00701C0B"/>
    <w:rsid w:val="00703401"/>
    <w:rsid w:val="00707F92"/>
    <w:rsid w:val="007101DD"/>
    <w:rsid w:val="00711183"/>
    <w:rsid w:val="007142CD"/>
    <w:rsid w:val="00715523"/>
    <w:rsid w:val="00715C28"/>
    <w:rsid w:val="00716398"/>
    <w:rsid w:val="00722195"/>
    <w:rsid w:val="00725978"/>
    <w:rsid w:val="0073278B"/>
    <w:rsid w:val="0073355D"/>
    <w:rsid w:val="00734268"/>
    <w:rsid w:val="00735693"/>
    <w:rsid w:val="00735D00"/>
    <w:rsid w:val="0074126A"/>
    <w:rsid w:val="00745892"/>
    <w:rsid w:val="0075029C"/>
    <w:rsid w:val="0075191E"/>
    <w:rsid w:val="00752C24"/>
    <w:rsid w:val="007635B9"/>
    <w:rsid w:val="00764DB3"/>
    <w:rsid w:val="00766118"/>
    <w:rsid w:val="0077251F"/>
    <w:rsid w:val="0077315F"/>
    <w:rsid w:val="00774C5E"/>
    <w:rsid w:val="0077545B"/>
    <w:rsid w:val="00784201"/>
    <w:rsid w:val="007866B8"/>
    <w:rsid w:val="00793962"/>
    <w:rsid w:val="007976DB"/>
    <w:rsid w:val="00797B24"/>
    <w:rsid w:val="007A356D"/>
    <w:rsid w:val="007B26A0"/>
    <w:rsid w:val="007B42F2"/>
    <w:rsid w:val="007C0875"/>
    <w:rsid w:val="007C210A"/>
    <w:rsid w:val="007C24FD"/>
    <w:rsid w:val="007C2CD0"/>
    <w:rsid w:val="007C4093"/>
    <w:rsid w:val="007C518E"/>
    <w:rsid w:val="007D1593"/>
    <w:rsid w:val="007D3BAC"/>
    <w:rsid w:val="007D47FC"/>
    <w:rsid w:val="007D5952"/>
    <w:rsid w:val="007D5B02"/>
    <w:rsid w:val="007E4725"/>
    <w:rsid w:val="007E60DF"/>
    <w:rsid w:val="007F5CDE"/>
    <w:rsid w:val="00803014"/>
    <w:rsid w:val="008045A2"/>
    <w:rsid w:val="00810EDC"/>
    <w:rsid w:val="00813084"/>
    <w:rsid w:val="00814B92"/>
    <w:rsid w:val="00814F90"/>
    <w:rsid w:val="008156C6"/>
    <w:rsid w:val="008239F7"/>
    <w:rsid w:val="0083032F"/>
    <w:rsid w:val="008540B1"/>
    <w:rsid w:val="008553B7"/>
    <w:rsid w:val="00856C6D"/>
    <w:rsid w:val="00857551"/>
    <w:rsid w:val="00863830"/>
    <w:rsid w:val="008675D1"/>
    <w:rsid w:val="008746D2"/>
    <w:rsid w:val="00877D57"/>
    <w:rsid w:val="008805D2"/>
    <w:rsid w:val="00881CF3"/>
    <w:rsid w:val="00882A49"/>
    <w:rsid w:val="00883776"/>
    <w:rsid w:val="00892C11"/>
    <w:rsid w:val="00896FD3"/>
    <w:rsid w:val="0089799D"/>
    <w:rsid w:val="008A0644"/>
    <w:rsid w:val="008A2378"/>
    <w:rsid w:val="008A3E9D"/>
    <w:rsid w:val="008B1B5D"/>
    <w:rsid w:val="008B38B0"/>
    <w:rsid w:val="008B49E9"/>
    <w:rsid w:val="008B5F5E"/>
    <w:rsid w:val="008B73E9"/>
    <w:rsid w:val="008C16E4"/>
    <w:rsid w:val="008C4646"/>
    <w:rsid w:val="008C6600"/>
    <w:rsid w:val="008D5A49"/>
    <w:rsid w:val="008D75AC"/>
    <w:rsid w:val="008D7BAA"/>
    <w:rsid w:val="008D7E1E"/>
    <w:rsid w:val="008E1E82"/>
    <w:rsid w:val="008E289F"/>
    <w:rsid w:val="008E2B24"/>
    <w:rsid w:val="008E5019"/>
    <w:rsid w:val="008F39FD"/>
    <w:rsid w:val="008F69FE"/>
    <w:rsid w:val="009003AA"/>
    <w:rsid w:val="00900D53"/>
    <w:rsid w:val="00901D2C"/>
    <w:rsid w:val="00901EEC"/>
    <w:rsid w:val="0090324B"/>
    <w:rsid w:val="00904A9D"/>
    <w:rsid w:val="00905A47"/>
    <w:rsid w:val="009110FA"/>
    <w:rsid w:val="00914472"/>
    <w:rsid w:val="0091520C"/>
    <w:rsid w:val="00916467"/>
    <w:rsid w:val="00922AEA"/>
    <w:rsid w:val="00922F13"/>
    <w:rsid w:val="00924768"/>
    <w:rsid w:val="009345E3"/>
    <w:rsid w:val="009417F0"/>
    <w:rsid w:val="00943188"/>
    <w:rsid w:val="00946047"/>
    <w:rsid w:val="0095018D"/>
    <w:rsid w:val="0095705A"/>
    <w:rsid w:val="00962829"/>
    <w:rsid w:val="009635CF"/>
    <w:rsid w:val="009756C2"/>
    <w:rsid w:val="00975B7B"/>
    <w:rsid w:val="00977372"/>
    <w:rsid w:val="00981DCE"/>
    <w:rsid w:val="0098735D"/>
    <w:rsid w:val="009A11DF"/>
    <w:rsid w:val="009A1C1F"/>
    <w:rsid w:val="009A78B0"/>
    <w:rsid w:val="009B123A"/>
    <w:rsid w:val="009B27B4"/>
    <w:rsid w:val="009C0907"/>
    <w:rsid w:val="009C7D02"/>
    <w:rsid w:val="009D2B86"/>
    <w:rsid w:val="009D77A6"/>
    <w:rsid w:val="009E071D"/>
    <w:rsid w:val="009E1C1B"/>
    <w:rsid w:val="009E1FEC"/>
    <w:rsid w:val="009F6365"/>
    <w:rsid w:val="00A0111B"/>
    <w:rsid w:val="00A019A0"/>
    <w:rsid w:val="00A07709"/>
    <w:rsid w:val="00A07AD2"/>
    <w:rsid w:val="00A1032B"/>
    <w:rsid w:val="00A110B5"/>
    <w:rsid w:val="00A113F4"/>
    <w:rsid w:val="00A11DD3"/>
    <w:rsid w:val="00A125AA"/>
    <w:rsid w:val="00A13B3D"/>
    <w:rsid w:val="00A15A4B"/>
    <w:rsid w:val="00A227A1"/>
    <w:rsid w:val="00A24DE4"/>
    <w:rsid w:val="00A30660"/>
    <w:rsid w:val="00A31077"/>
    <w:rsid w:val="00A341E6"/>
    <w:rsid w:val="00A3529C"/>
    <w:rsid w:val="00A36028"/>
    <w:rsid w:val="00A436F4"/>
    <w:rsid w:val="00A46D02"/>
    <w:rsid w:val="00A53570"/>
    <w:rsid w:val="00A73D6B"/>
    <w:rsid w:val="00A74290"/>
    <w:rsid w:val="00A76234"/>
    <w:rsid w:val="00A76CBD"/>
    <w:rsid w:val="00A84A4B"/>
    <w:rsid w:val="00A853AE"/>
    <w:rsid w:val="00A86D05"/>
    <w:rsid w:val="00A86F46"/>
    <w:rsid w:val="00A87786"/>
    <w:rsid w:val="00A90F7F"/>
    <w:rsid w:val="00A929F8"/>
    <w:rsid w:val="00A942DB"/>
    <w:rsid w:val="00A94906"/>
    <w:rsid w:val="00A96684"/>
    <w:rsid w:val="00A9683A"/>
    <w:rsid w:val="00A97408"/>
    <w:rsid w:val="00AA3E47"/>
    <w:rsid w:val="00AA6B7B"/>
    <w:rsid w:val="00AB39F9"/>
    <w:rsid w:val="00AB5A1F"/>
    <w:rsid w:val="00AC059B"/>
    <w:rsid w:val="00AC0EC1"/>
    <w:rsid w:val="00AC3678"/>
    <w:rsid w:val="00AC6467"/>
    <w:rsid w:val="00AC6AFC"/>
    <w:rsid w:val="00AC7E1E"/>
    <w:rsid w:val="00AD09B9"/>
    <w:rsid w:val="00AD542A"/>
    <w:rsid w:val="00AD69FC"/>
    <w:rsid w:val="00AE3EE6"/>
    <w:rsid w:val="00AE5C79"/>
    <w:rsid w:val="00AF30B1"/>
    <w:rsid w:val="00AF3435"/>
    <w:rsid w:val="00AF3BE0"/>
    <w:rsid w:val="00AF6EA4"/>
    <w:rsid w:val="00AF7563"/>
    <w:rsid w:val="00B00AB4"/>
    <w:rsid w:val="00B01566"/>
    <w:rsid w:val="00B01917"/>
    <w:rsid w:val="00B01C9E"/>
    <w:rsid w:val="00B03B2F"/>
    <w:rsid w:val="00B05165"/>
    <w:rsid w:val="00B11C22"/>
    <w:rsid w:val="00B1241C"/>
    <w:rsid w:val="00B13E0E"/>
    <w:rsid w:val="00B22BFA"/>
    <w:rsid w:val="00B24D91"/>
    <w:rsid w:val="00B26BDD"/>
    <w:rsid w:val="00B27BD6"/>
    <w:rsid w:val="00B336F5"/>
    <w:rsid w:val="00B33EF2"/>
    <w:rsid w:val="00B3648F"/>
    <w:rsid w:val="00B41BD7"/>
    <w:rsid w:val="00B43121"/>
    <w:rsid w:val="00B470D7"/>
    <w:rsid w:val="00B5117E"/>
    <w:rsid w:val="00B51604"/>
    <w:rsid w:val="00B53107"/>
    <w:rsid w:val="00B547FF"/>
    <w:rsid w:val="00B54A48"/>
    <w:rsid w:val="00B5518F"/>
    <w:rsid w:val="00B60A10"/>
    <w:rsid w:val="00B60DC7"/>
    <w:rsid w:val="00B6477B"/>
    <w:rsid w:val="00B64E1C"/>
    <w:rsid w:val="00B66430"/>
    <w:rsid w:val="00B72629"/>
    <w:rsid w:val="00B75045"/>
    <w:rsid w:val="00B8063F"/>
    <w:rsid w:val="00B81254"/>
    <w:rsid w:val="00B819DF"/>
    <w:rsid w:val="00B821EE"/>
    <w:rsid w:val="00B928E3"/>
    <w:rsid w:val="00B948A2"/>
    <w:rsid w:val="00B948B6"/>
    <w:rsid w:val="00BA7CC5"/>
    <w:rsid w:val="00BB607C"/>
    <w:rsid w:val="00BB71C3"/>
    <w:rsid w:val="00BC02F5"/>
    <w:rsid w:val="00BC5922"/>
    <w:rsid w:val="00BC6A0E"/>
    <w:rsid w:val="00BD102D"/>
    <w:rsid w:val="00BD13C2"/>
    <w:rsid w:val="00BD2FB8"/>
    <w:rsid w:val="00BD4E65"/>
    <w:rsid w:val="00BE36CD"/>
    <w:rsid w:val="00BE3C91"/>
    <w:rsid w:val="00BE3EF3"/>
    <w:rsid w:val="00BF04E5"/>
    <w:rsid w:val="00BF137E"/>
    <w:rsid w:val="00BF1528"/>
    <w:rsid w:val="00BF2B7F"/>
    <w:rsid w:val="00BF4858"/>
    <w:rsid w:val="00BF5285"/>
    <w:rsid w:val="00C0024C"/>
    <w:rsid w:val="00C004B6"/>
    <w:rsid w:val="00C00F4F"/>
    <w:rsid w:val="00C01154"/>
    <w:rsid w:val="00C03EFC"/>
    <w:rsid w:val="00C07CB0"/>
    <w:rsid w:val="00C10333"/>
    <w:rsid w:val="00C148D3"/>
    <w:rsid w:val="00C14BBD"/>
    <w:rsid w:val="00C154CB"/>
    <w:rsid w:val="00C160B3"/>
    <w:rsid w:val="00C165F2"/>
    <w:rsid w:val="00C16BCC"/>
    <w:rsid w:val="00C16C78"/>
    <w:rsid w:val="00C211C6"/>
    <w:rsid w:val="00C22189"/>
    <w:rsid w:val="00C242BC"/>
    <w:rsid w:val="00C30002"/>
    <w:rsid w:val="00C3017E"/>
    <w:rsid w:val="00C32F55"/>
    <w:rsid w:val="00C401CF"/>
    <w:rsid w:val="00C40EC8"/>
    <w:rsid w:val="00C41C5A"/>
    <w:rsid w:val="00C50357"/>
    <w:rsid w:val="00C517FF"/>
    <w:rsid w:val="00C52832"/>
    <w:rsid w:val="00C56152"/>
    <w:rsid w:val="00C66B87"/>
    <w:rsid w:val="00C67686"/>
    <w:rsid w:val="00C72A30"/>
    <w:rsid w:val="00C7467C"/>
    <w:rsid w:val="00C766A3"/>
    <w:rsid w:val="00C81A22"/>
    <w:rsid w:val="00C81A8F"/>
    <w:rsid w:val="00C86E38"/>
    <w:rsid w:val="00C91131"/>
    <w:rsid w:val="00C9231D"/>
    <w:rsid w:val="00C94251"/>
    <w:rsid w:val="00C95A9E"/>
    <w:rsid w:val="00CA3071"/>
    <w:rsid w:val="00CA429C"/>
    <w:rsid w:val="00CA62CE"/>
    <w:rsid w:val="00CB3A9E"/>
    <w:rsid w:val="00CB6C35"/>
    <w:rsid w:val="00CB7D55"/>
    <w:rsid w:val="00CC187A"/>
    <w:rsid w:val="00CC1CB0"/>
    <w:rsid w:val="00CC1E0A"/>
    <w:rsid w:val="00CC1E85"/>
    <w:rsid w:val="00CC3742"/>
    <w:rsid w:val="00CD1235"/>
    <w:rsid w:val="00CD5582"/>
    <w:rsid w:val="00CD70DE"/>
    <w:rsid w:val="00CE3103"/>
    <w:rsid w:val="00CE47B9"/>
    <w:rsid w:val="00CF06C9"/>
    <w:rsid w:val="00CF30EA"/>
    <w:rsid w:val="00CF5343"/>
    <w:rsid w:val="00D0332F"/>
    <w:rsid w:val="00D07AC6"/>
    <w:rsid w:val="00D103FD"/>
    <w:rsid w:val="00D111EE"/>
    <w:rsid w:val="00D12D1F"/>
    <w:rsid w:val="00D21C68"/>
    <w:rsid w:val="00D24319"/>
    <w:rsid w:val="00D263B0"/>
    <w:rsid w:val="00D275BA"/>
    <w:rsid w:val="00D328E9"/>
    <w:rsid w:val="00D37D31"/>
    <w:rsid w:val="00D41649"/>
    <w:rsid w:val="00D43188"/>
    <w:rsid w:val="00D51B24"/>
    <w:rsid w:val="00D5410B"/>
    <w:rsid w:val="00D54392"/>
    <w:rsid w:val="00D6050B"/>
    <w:rsid w:val="00D61601"/>
    <w:rsid w:val="00D6404D"/>
    <w:rsid w:val="00D70F36"/>
    <w:rsid w:val="00D73650"/>
    <w:rsid w:val="00D84A2F"/>
    <w:rsid w:val="00D87216"/>
    <w:rsid w:val="00D920EB"/>
    <w:rsid w:val="00D934E2"/>
    <w:rsid w:val="00D93F39"/>
    <w:rsid w:val="00DA134F"/>
    <w:rsid w:val="00DA1E8B"/>
    <w:rsid w:val="00DA611B"/>
    <w:rsid w:val="00DB00A3"/>
    <w:rsid w:val="00DB1C5B"/>
    <w:rsid w:val="00DB2139"/>
    <w:rsid w:val="00DB21A5"/>
    <w:rsid w:val="00DC2989"/>
    <w:rsid w:val="00DC29FC"/>
    <w:rsid w:val="00DC570D"/>
    <w:rsid w:val="00DC7F9D"/>
    <w:rsid w:val="00DD1088"/>
    <w:rsid w:val="00DD4AD2"/>
    <w:rsid w:val="00DD60D9"/>
    <w:rsid w:val="00DE74F9"/>
    <w:rsid w:val="00DF0B8A"/>
    <w:rsid w:val="00DF17BD"/>
    <w:rsid w:val="00DF4535"/>
    <w:rsid w:val="00DF7461"/>
    <w:rsid w:val="00E02439"/>
    <w:rsid w:val="00E02BEB"/>
    <w:rsid w:val="00E04323"/>
    <w:rsid w:val="00E10A0C"/>
    <w:rsid w:val="00E14238"/>
    <w:rsid w:val="00E1510B"/>
    <w:rsid w:val="00E15CA4"/>
    <w:rsid w:val="00E164AF"/>
    <w:rsid w:val="00E25BD0"/>
    <w:rsid w:val="00E267C8"/>
    <w:rsid w:val="00E33447"/>
    <w:rsid w:val="00E34557"/>
    <w:rsid w:val="00E41CD8"/>
    <w:rsid w:val="00E50C38"/>
    <w:rsid w:val="00E53BAB"/>
    <w:rsid w:val="00E564A3"/>
    <w:rsid w:val="00E57008"/>
    <w:rsid w:val="00E613F6"/>
    <w:rsid w:val="00E63583"/>
    <w:rsid w:val="00E63CF0"/>
    <w:rsid w:val="00E640E8"/>
    <w:rsid w:val="00E67184"/>
    <w:rsid w:val="00E72C7A"/>
    <w:rsid w:val="00E77702"/>
    <w:rsid w:val="00E83055"/>
    <w:rsid w:val="00E85571"/>
    <w:rsid w:val="00E920A4"/>
    <w:rsid w:val="00E9275E"/>
    <w:rsid w:val="00E939F2"/>
    <w:rsid w:val="00E93B8C"/>
    <w:rsid w:val="00E971C6"/>
    <w:rsid w:val="00E97A50"/>
    <w:rsid w:val="00E97D2B"/>
    <w:rsid w:val="00EA052C"/>
    <w:rsid w:val="00EA1D3F"/>
    <w:rsid w:val="00EA35A1"/>
    <w:rsid w:val="00EB16B5"/>
    <w:rsid w:val="00EB313E"/>
    <w:rsid w:val="00EB58F7"/>
    <w:rsid w:val="00EC31B4"/>
    <w:rsid w:val="00EC4E6B"/>
    <w:rsid w:val="00EC5C67"/>
    <w:rsid w:val="00EC5F46"/>
    <w:rsid w:val="00EC6A96"/>
    <w:rsid w:val="00ED1051"/>
    <w:rsid w:val="00ED1B8C"/>
    <w:rsid w:val="00ED1BF3"/>
    <w:rsid w:val="00ED4EE6"/>
    <w:rsid w:val="00ED75DA"/>
    <w:rsid w:val="00EE1376"/>
    <w:rsid w:val="00EE7CDE"/>
    <w:rsid w:val="00EF6346"/>
    <w:rsid w:val="00F004E1"/>
    <w:rsid w:val="00F04216"/>
    <w:rsid w:val="00F05D36"/>
    <w:rsid w:val="00F100D5"/>
    <w:rsid w:val="00F117EC"/>
    <w:rsid w:val="00F13970"/>
    <w:rsid w:val="00F14BC4"/>
    <w:rsid w:val="00F16FAF"/>
    <w:rsid w:val="00F21284"/>
    <w:rsid w:val="00F21EA0"/>
    <w:rsid w:val="00F33175"/>
    <w:rsid w:val="00F34DE9"/>
    <w:rsid w:val="00F35AA4"/>
    <w:rsid w:val="00F53DB5"/>
    <w:rsid w:val="00F60C94"/>
    <w:rsid w:val="00F6263A"/>
    <w:rsid w:val="00F64C9B"/>
    <w:rsid w:val="00F65F9B"/>
    <w:rsid w:val="00F66443"/>
    <w:rsid w:val="00F670E4"/>
    <w:rsid w:val="00F72AC6"/>
    <w:rsid w:val="00F742FC"/>
    <w:rsid w:val="00F826C9"/>
    <w:rsid w:val="00F848C2"/>
    <w:rsid w:val="00F85C26"/>
    <w:rsid w:val="00F87386"/>
    <w:rsid w:val="00FA1ED6"/>
    <w:rsid w:val="00FA618E"/>
    <w:rsid w:val="00FB0451"/>
    <w:rsid w:val="00FB3544"/>
    <w:rsid w:val="00FC080E"/>
    <w:rsid w:val="00FC0C91"/>
    <w:rsid w:val="00FC2F4E"/>
    <w:rsid w:val="00FC2F62"/>
    <w:rsid w:val="00FC64EF"/>
    <w:rsid w:val="00FC6B64"/>
    <w:rsid w:val="00FC6BBE"/>
    <w:rsid w:val="00FD024C"/>
    <w:rsid w:val="00FD28FA"/>
    <w:rsid w:val="00FD4224"/>
    <w:rsid w:val="00FD4667"/>
    <w:rsid w:val="00FE543B"/>
    <w:rsid w:val="00FE6ADE"/>
    <w:rsid w:val="00FE77F0"/>
    <w:rsid w:val="00FE7FC2"/>
    <w:rsid w:val="00FF3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133D"/>
  <w15:chartTrackingRefBased/>
  <w15:docId w15:val="{C2B184C8-CC59-4968-91FB-E7455A8F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E0E"/>
  </w:style>
  <w:style w:type="paragraph" w:styleId="Heading1">
    <w:name w:val="heading 1"/>
    <w:basedOn w:val="Normal"/>
    <w:next w:val="Normal"/>
    <w:link w:val="Heading1Char"/>
    <w:uiPriority w:val="9"/>
    <w:qFormat/>
    <w:rsid w:val="00B13E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13E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3E0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E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13E0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13E0E"/>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B13E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E0E"/>
    <w:rPr>
      <w:rFonts w:ascii="Segoe UI" w:hAnsi="Segoe UI" w:cs="Segoe UI"/>
      <w:sz w:val="18"/>
      <w:szCs w:val="18"/>
    </w:rPr>
  </w:style>
  <w:style w:type="paragraph" w:styleId="ListParagraph">
    <w:name w:val="List Paragraph"/>
    <w:basedOn w:val="Normal"/>
    <w:uiPriority w:val="34"/>
    <w:qFormat/>
    <w:rsid w:val="00B13E0E"/>
    <w:pPr>
      <w:ind w:left="720"/>
      <w:contextualSpacing/>
    </w:pPr>
  </w:style>
  <w:style w:type="character" w:styleId="CommentReference">
    <w:name w:val="annotation reference"/>
    <w:basedOn w:val="DefaultParagraphFont"/>
    <w:uiPriority w:val="99"/>
    <w:semiHidden/>
    <w:unhideWhenUsed/>
    <w:rsid w:val="00B13E0E"/>
    <w:rPr>
      <w:sz w:val="16"/>
      <w:szCs w:val="16"/>
    </w:rPr>
  </w:style>
  <w:style w:type="paragraph" w:styleId="CommentText">
    <w:name w:val="annotation text"/>
    <w:basedOn w:val="Normal"/>
    <w:link w:val="CommentTextChar"/>
    <w:uiPriority w:val="99"/>
    <w:semiHidden/>
    <w:unhideWhenUsed/>
    <w:rsid w:val="00B13E0E"/>
    <w:pPr>
      <w:spacing w:line="240" w:lineRule="auto"/>
    </w:pPr>
    <w:rPr>
      <w:sz w:val="20"/>
      <w:szCs w:val="20"/>
    </w:rPr>
  </w:style>
  <w:style w:type="character" w:customStyle="1" w:styleId="CommentTextChar">
    <w:name w:val="Comment Text Char"/>
    <w:basedOn w:val="DefaultParagraphFont"/>
    <w:link w:val="CommentText"/>
    <w:uiPriority w:val="99"/>
    <w:semiHidden/>
    <w:rsid w:val="00B13E0E"/>
    <w:rPr>
      <w:sz w:val="20"/>
      <w:szCs w:val="20"/>
    </w:rPr>
  </w:style>
  <w:style w:type="character" w:customStyle="1" w:styleId="CommentSubjectChar">
    <w:name w:val="Comment Subject Char"/>
    <w:basedOn w:val="CommentTextChar"/>
    <w:link w:val="CommentSubject"/>
    <w:uiPriority w:val="99"/>
    <w:semiHidden/>
    <w:rsid w:val="00B13E0E"/>
    <w:rPr>
      <w:b/>
      <w:bCs/>
      <w:sz w:val="20"/>
      <w:szCs w:val="20"/>
    </w:rPr>
  </w:style>
  <w:style w:type="paragraph" w:styleId="CommentSubject">
    <w:name w:val="annotation subject"/>
    <w:basedOn w:val="CommentText"/>
    <w:next w:val="CommentText"/>
    <w:link w:val="CommentSubjectChar"/>
    <w:uiPriority w:val="99"/>
    <w:semiHidden/>
    <w:unhideWhenUsed/>
    <w:rsid w:val="00B13E0E"/>
    <w:rPr>
      <w:b/>
      <w:bCs/>
    </w:rPr>
  </w:style>
  <w:style w:type="table" w:styleId="TableGrid">
    <w:name w:val="Table Grid"/>
    <w:basedOn w:val="TableNormal"/>
    <w:uiPriority w:val="39"/>
    <w:rsid w:val="00B13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E60E1"/>
    <w:rPr>
      <w:color w:val="808080"/>
    </w:rPr>
  </w:style>
  <w:style w:type="character" w:styleId="LineNumber">
    <w:name w:val="line number"/>
    <w:basedOn w:val="DefaultParagraphFont"/>
    <w:uiPriority w:val="99"/>
    <w:semiHidden/>
    <w:unhideWhenUsed/>
    <w:rsid w:val="0075029C"/>
  </w:style>
  <w:style w:type="paragraph" w:styleId="Header">
    <w:name w:val="header"/>
    <w:basedOn w:val="Normal"/>
    <w:link w:val="HeaderChar"/>
    <w:uiPriority w:val="99"/>
    <w:unhideWhenUsed/>
    <w:rsid w:val="00F00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4E1"/>
  </w:style>
  <w:style w:type="paragraph" w:styleId="Footer">
    <w:name w:val="footer"/>
    <w:basedOn w:val="Normal"/>
    <w:link w:val="FooterChar"/>
    <w:uiPriority w:val="99"/>
    <w:unhideWhenUsed/>
    <w:rsid w:val="00F00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4E1"/>
  </w:style>
  <w:style w:type="character" w:styleId="Hyperlink">
    <w:name w:val="Hyperlink"/>
    <w:basedOn w:val="DefaultParagraphFont"/>
    <w:uiPriority w:val="99"/>
    <w:unhideWhenUsed/>
    <w:rsid w:val="00863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26306">
      <w:bodyDiv w:val="1"/>
      <w:marLeft w:val="0"/>
      <w:marRight w:val="0"/>
      <w:marTop w:val="0"/>
      <w:marBottom w:val="0"/>
      <w:divBdr>
        <w:top w:val="none" w:sz="0" w:space="0" w:color="auto"/>
        <w:left w:val="none" w:sz="0" w:space="0" w:color="auto"/>
        <w:bottom w:val="none" w:sz="0" w:space="0" w:color="auto"/>
        <w:right w:val="none" w:sz="0" w:space="0" w:color="auto"/>
      </w:divBdr>
    </w:div>
    <w:div w:id="249699274">
      <w:bodyDiv w:val="1"/>
      <w:marLeft w:val="0"/>
      <w:marRight w:val="0"/>
      <w:marTop w:val="0"/>
      <w:marBottom w:val="0"/>
      <w:divBdr>
        <w:top w:val="none" w:sz="0" w:space="0" w:color="auto"/>
        <w:left w:val="none" w:sz="0" w:space="0" w:color="auto"/>
        <w:bottom w:val="none" w:sz="0" w:space="0" w:color="auto"/>
        <w:right w:val="none" w:sz="0" w:space="0" w:color="auto"/>
      </w:divBdr>
    </w:div>
    <w:div w:id="429012014">
      <w:bodyDiv w:val="1"/>
      <w:marLeft w:val="0"/>
      <w:marRight w:val="0"/>
      <w:marTop w:val="0"/>
      <w:marBottom w:val="0"/>
      <w:divBdr>
        <w:top w:val="none" w:sz="0" w:space="0" w:color="auto"/>
        <w:left w:val="none" w:sz="0" w:space="0" w:color="auto"/>
        <w:bottom w:val="none" w:sz="0" w:space="0" w:color="auto"/>
        <w:right w:val="none" w:sz="0" w:space="0" w:color="auto"/>
      </w:divBdr>
      <w:divsChild>
        <w:div w:id="1973899357">
          <w:marLeft w:val="0"/>
          <w:marRight w:val="0"/>
          <w:marTop w:val="0"/>
          <w:marBottom w:val="0"/>
          <w:divBdr>
            <w:top w:val="none" w:sz="0" w:space="0" w:color="auto"/>
            <w:left w:val="none" w:sz="0" w:space="0" w:color="auto"/>
            <w:bottom w:val="none" w:sz="0" w:space="0" w:color="auto"/>
            <w:right w:val="none" w:sz="0" w:space="0" w:color="auto"/>
          </w:divBdr>
        </w:div>
      </w:divsChild>
    </w:div>
    <w:div w:id="579172172">
      <w:bodyDiv w:val="1"/>
      <w:marLeft w:val="0"/>
      <w:marRight w:val="0"/>
      <w:marTop w:val="0"/>
      <w:marBottom w:val="0"/>
      <w:divBdr>
        <w:top w:val="none" w:sz="0" w:space="0" w:color="auto"/>
        <w:left w:val="none" w:sz="0" w:space="0" w:color="auto"/>
        <w:bottom w:val="none" w:sz="0" w:space="0" w:color="auto"/>
        <w:right w:val="none" w:sz="0" w:space="0" w:color="auto"/>
      </w:divBdr>
    </w:div>
    <w:div w:id="737674258">
      <w:bodyDiv w:val="1"/>
      <w:marLeft w:val="0"/>
      <w:marRight w:val="0"/>
      <w:marTop w:val="0"/>
      <w:marBottom w:val="0"/>
      <w:divBdr>
        <w:top w:val="none" w:sz="0" w:space="0" w:color="auto"/>
        <w:left w:val="none" w:sz="0" w:space="0" w:color="auto"/>
        <w:bottom w:val="none" w:sz="0" w:space="0" w:color="auto"/>
        <w:right w:val="none" w:sz="0" w:space="0" w:color="auto"/>
      </w:divBdr>
    </w:div>
    <w:div w:id="1181553829">
      <w:bodyDiv w:val="1"/>
      <w:marLeft w:val="0"/>
      <w:marRight w:val="0"/>
      <w:marTop w:val="0"/>
      <w:marBottom w:val="0"/>
      <w:divBdr>
        <w:top w:val="none" w:sz="0" w:space="0" w:color="auto"/>
        <w:left w:val="none" w:sz="0" w:space="0" w:color="auto"/>
        <w:bottom w:val="none" w:sz="0" w:space="0" w:color="auto"/>
        <w:right w:val="none" w:sz="0" w:space="0" w:color="auto"/>
      </w:divBdr>
    </w:div>
    <w:div w:id="1287152376">
      <w:bodyDiv w:val="1"/>
      <w:marLeft w:val="0"/>
      <w:marRight w:val="0"/>
      <w:marTop w:val="0"/>
      <w:marBottom w:val="0"/>
      <w:divBdr>
        <w:top w:val="none" w:sz="0" w:space="0" w:color="auto"/>
        <w:left w:val="none" w:sz="0" w:space="0" w:color="auto"/>
        <w:bottom w:val="none" w:sz="0" w:space="0" w:color="auto"/>
        <w:right w:val="none" w:sz="0" w:space="0" w:color="auto"/>
      </w:divBdr>
    </w:div>
    <w:div w:id="1313411336">
      <w:bodyDiv w:val="1"/>
      <w:marLeft w:val="0"/>
      <w:marRight w:val="0"/>
      <w:marTop w:val="0"/>
      <w:marBottom w:val="0"/>
      <w:divBdr>
        <w:top w:val="none" w:sz="0" w:space="0" w:color="auto"/>
        <w:left w:val="none" w:sz="0" w:space="0" w:color="auto"/>
        <w:bottom w:val="none" w:sz="0" w:space="0" w:color="auto"/>
        <w:right w:val="none" w:sz="0" w:space="0" w:color="auto"/>
      </w:divBdr>
    </w:div>
    <w:div w:id="1886989651">
      <w:bodyDiv w:val="1"/>
      <w:marLeft w:val="0"/>
      <w:marRight w:val="0"/>
      <w:marTop w:val="0"/>
      <w:marBottom w:val="0"/>
      <w:divBdr>
        <w:top w:val="none" w:sz="0" w:space="0" w:color="auto"/>
        <w:left w:val="none" w:sz="0" w:space="0" w:color="auto"/>
        <w:bottom w:val="none" w:sz="0" w:space="0" w:color="auto"/>
        <w:right w:val="none" w:sz="0" w:space="0" w:color="auto"/>
      </w:divBdr>
    </w:div>
    <w:div w:id="210595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p.howell@keele.ac.uk"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 Id="rId2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BF535-ABCD-4685-AAF2-CF7FA394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48</Pages>
  <Words>11962</Words>
  <Characters>68185</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Keele University</Company>
  <LinksUpToDate>false</LinksUpToDate>
  <CharactersWithSpaces>79988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Howell</dc:creator>
  <cp:keywords/>
  <dc:description/>
  <cp:lastModifiedBy>Louis</cp:lastModifiedBy>
  <cp:revision>14</cp:revision>
  <cp:lastPrinted>2018-08-30T10:02:00Z</cp:lastPrinted>
  <dcterms:created xsi:type="dcterms:W3CDTF">2018-10-02T08:47:00Z</dcterms:created>
  <dcterms:modified xsi:type="dcterms:W3CDTF">2019-02-22T11:27:00Z</dcterms:modified>
</cp:coreProperties>
</file>