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7A0E6" w14:textId="29FCFD3E" w:rsidR="004E2C11" w:rsidRPr="00113825" w:rsidRDefault="008E1600" w:rsidP="00E83234">
      <w:pPr>
        <w:pStyle w:val="Title"/>
        <w:rPr>
          <w:sz w:val="22"/>
          <w:szCs w:val="22"/>
        </w:rPr>
      </w:pPr>
      <w:bookmarkStart w:id="0" w:name="_GoBack"/>
      <w:bookmarkEnd w:id="0"/>
      <w:r w:rsidRPr="00113825">
        <w:rPr>
          <w:sz w:val="22"/>
          <w:szCs w:val="22"/>
        </w:rPr>
        <w:t xml:space="preserve">Towards local bioeconomy: A </w:t>
      </w:r>
      <w:r w:rsidR="00464A9B" w:rsidRPr="00113825">
        <w:rPr>
          <w:sz w:val="22"/>
          <w:szCs w:val="22"/>
        </w:rPr>
        <w:t>stepwise framework</w:t>
      </w:r>
      <w:r w:rsidRPr="00113825">
        <w:rPr>
          <w:sz w:val="22"/>
          <w:szCs w:val="22"/>
        </w:rPr>
        <w:t xml:space="preserve"> for high-resolution spatial quantification of forestry residues</w:t>
      </w:r>
    </w:p>
    <w:p w14:paraId="0E080EB4" w14:textId="7DFC8DF7" w:rsidR="00D06F9E" w:rsidRPr="00113825" w:rsidRDefault="009F6FF1" w:rsidP="00D06F9E">
      <w:pPr>
        <w:jc w:val="center"/>
        <w:rPr>
          <w:szCs w:val="20"/>
        </w:rPr>
      </w:pPr>
      <w:r w:rsidRPr="00113825">
        <w:rPr>
          <w:szCs w:val="20"/>
        </w:rPr>
        <w:t>Karan, S.K.</w:t>
      </w:r>
      <w:r w:rsidRPr="00113825">
        <w:rPr>
          <w:szCs w:val="20"/>
          <w:vertAlign w:val="superscript"/>
        </w:rPr>
        <w:t>1, *</w:t>
      </w:r>
      <w:r w:rsidRPr="00113825">
        <w:rPr>
          <w:szCs w:val="20"/>
        </w:rPr>
        <w:t xml:space="preserve"> and Hamelin, L.</w:t>
      </w:r>
      <w:r w:rsidRPr="00113825">
        <w:rPr>
          <w:szCs w:val="20"/>
          <w:vertAlign w:val="superscript"/>
        </w:rPr>
        <w:t>1</w:t>
      </w:r>
    </w:p>
    <w:p w14:paraId="13F38842" w14:textId="7BB797A4" w:rsidR="0038161D" w:rsidRPr="00113825" w:rsidRDefault="0038161D" w:rsidP="001E48E2">
      <w:pPr>
        <w:spacing w:after="0"/>
        <w:ind w:left="180" w:hanging="180"/>
        <w:jc w:val="center"/>
        <w:rPr>
          <w:rFonts w:eastAsia="Times New Roman" w:cs="Times New Roman"/>
          <w:szCs w:val="24"/>
          <w:u w:val="single"/>
          <w:lang w:eastAsia="ca-ES"/>
        </w:rPr>
      </w:pPr>
      <w:r w:rsidRPr="00113825">
        <w:rPr>
          <w:rFonts w:eastAsia="Times New Roman" w:cs="Times New Roman"/>
          <w:szCs w:val="24"/>
          <w:lang w:eastAsia="da-DK"/>
        </w:rPr>
        <w:t>1. Toulouse Biotechnology Institute (TBI), INSA, INRA</w:t>
      </w:r>
      <w:r w:rsidR="007E71D6" w:rsidRPr="00113825">
        <w:rPr>
          <w:rFonts w:eastAsia="Times New Roman" w:cs="Times New Roman"/>
          <w:szCs w:val="24"/>
          <w:lang w:eastAsia="da-DK"/>
        </w:rPr>
        <w:t>E</w:t>
      </w:r>
      <w:r w:rsidRPr="00113825">
        <w:rPr>
          <w:rFonts w:eastAsia="Times New Roman" w:cs="Times New Roman"/>
          <w:szCs w:val="24"/>
          <w:lang w:eastAsia="da-DK"/>
        </w:rPr>
        <w:t xml:space="preserve"> UMR792 and CNRS UMR5504, Federal University of Toulouse, 135 Avenue de </w:t>
      </w:r>
      <w:proofErr w:type="spellStart"/>
      <w:r w:rsidRPr="00113825">
        <w:rPr>
          <w:rFonts w:eastAsia="Times New Roman" w:cs="Times New Roman"/>
          <w:szCs w:val="24"/>
          <w:lang w:eastAsia="da-DK"/>
        </w:rPr>
        <w:t>Rangueil</w:t>
      </w:r>
      <w:proofErr w:type="spellEnd"/>
      <w:r w:rsidRPr="00113825">
        <w:rPr>
          <w:rFonts w:eastAsia="Times New Roman" w:cs="Times New Roman"/>
          <w:szCs w:val="24"/>
          <w:lang w:eastAsia="da-DK"/>
        </w:rPr>
        <w:t>, F-31077, Toulouse, France</w:t>
      </w:r>
    </w:p>
    <w:p w14:paraId="00BF0DB1" w14:textId="77777777" w:rsidR="0038161D" w:rsidRPr="00113825" w:rsidRDefault="0038161D" w:rsidP="0038161D">
      <w:pPr>
        <w:spacing w:after="0"/>
        <w:rPr>
          <w:rFonts w:eastAsia="Times New Roman" w:cs="Times New Roman"/>
          <w:szCs w:val="24"/>
          <w:u w:val="single"/>
          <w:lang w:eastAsia="ca-ES"/>
        </w:rPr>
      </w:pPr>
    </w:p>
    <w:p w14:paraId="3C7CFE3E" w14:textId="77777777" w:rsidR="0038161D" w:rsidRPr="00113825" w:rsidRDefault="0038161D" w:rsidP="0038161D">
      <w:pPr>
        <w:spacing w:after="0"/>
        <w:rPr>
          <w:rFonts w:eastAsia="Calibri" w:cs="Times New Roman"/>
          <w:szCs w:val="24"/>
        </w:rPr>
      </w:pPr>
      <w:r w:rsidRPr="00113825">
        <w:rPr>
          <w:rFonts w:eastAsia="Calibri" w:cs="Times New Roman"/>
          <w:szCs w:val="24"/>
          <w:lang w:eastAsia="ca-ES"/>
        </w:rPr>
        <w:t>* Corresponding Author:</w:t>
      </w:r>
    </w:p>
    <w:p w14:paraId="00BA6ADC" w14:textId="5B775292" w:rsidR="0038161D" w:rsidRPr="00113825" w:rsidRDefault="0038161D" w:rsidP="0038161D">
      <w:pPr>
        <w:spacing w:after="0"/>
        <w:rPr>
          <w:rFonts w:eastAsia="Calibri" w:cs="Times New Roman"/>
          <w:szCs w:val="24"/>
          <w:lang w:eastAsia="ca-ES"/>
        </w:rPr>
      </w:pPr>
      <w:r w:rsidRPr="00113825">
        <w:rPr>
          <w:rFonts w:eastAsia="Calibri" w:cs="Times New Roman"/>
          <w:szCs w:val="24"/>
          <w:lang w:eastAsia="ca-ES"/>
        </w:rPr>
        <w:t xml:space="preserve">Email: </w:t>
      </w:r>
      <w:r w:rsidRPr="00113825">
        <w:rPr>
          <w:rStyle w:val="Hyperlink"/>
          <w:rFonts w:eastAsia="Calibri" w:cs="Times New Roman"/>
          <w:color w:val="auto"/>
          <w:szCs w:val="24"/>
        </w:rPr>
        <w:t>karan@insa-toulouse.fr</w:t>
      </w:r>
      <w:r w:rsidR="009F6FF1" w:rsidRPr="00113825">
        <w:rPr>
          <w:rStyle w:val="Hyperlink"/>
          <w:rFonts w:eastAsia="Calibri" w:cs="Times New Roman"/>
          <w:color w:val="auto"/>
          <w:szCs w:val="24"/>
        </w:rPr>
        <w:t>,</w:t>
      </w:r>
      <w:r w:rsidRPr="00113825">
        <w:rPr>
          <w:rFonts w:eastAsia="Calibri" w:cs="Times New Roman"/>
          <w:szCs w:val="24"/>
        </w:rPr>
        <w:t xml:space="preserve"> </w:t>
      </w:r>
      <w:r w:rsidRPr="00113825">
        <w:rPr>
          <w:rFonts w:eastAsia="Calibri" w:cs="Times New Roman"/>
          <w:szCs w:val="24"/>
          <w:lang w:eastAsia="ca-ES"/>
        </w:rPr>
        <w:t xml:space="preserve">Tel.: +33 </w:t>
      </w:r>
      <w:r w:rsidR="009F6FF1" w:rsidRPr="00113825">
        <w:rPr>
          <w:rFonts w:eastAsia="Calibri" w:cs="Times New Roman"/>
          <w:szCs w:val="24"/>
          <w:lang w:eastAsia="ca-ES"/>
        </w:rPr>
        <w:t>051</w:t>
      </w:r>
      <w:r w:rsidRPr="00113825">
        <w:rPr>
          <w:rFonts w:eastAsia="Calibri" w:cs="Times New Roman"/>
          <w:szCs w:val="24"/>
          <w:lang w:eastAsia="ca-ES"/>
        </w:rPr>
        <w:t>-155-97</w:t>
      </w:r>
      <w:r w:rsidR="009F6FF1" w:rsidRPr="00113825">
        <w:rPr>
          <w:rFonts w:eastAsia="Calibri" w:cs="Times New Roman"/>
          <w:szCs w:val="24"/>
          <w:lang w:eastAsia="ca-ES"/>
        </w:rPr>
        <w:t>91</w:t>
      </w:r>
    </w:p>
    <w:p w14:paraId="748C53EE" w14:textId="52227AE1" w:rsidR="00173F67" w:rsidRPr="00113825" w:rsidRDefault="00173F67" w:rsidP="00C53CF3">
      <w:pPr>
        <w:spacing w:after="0" w:line="240" w:lineRule="auto"/>
      </w:pPr>
    </w:p>
    <w:p w14:paraId="30C4D175" w14:textId="5C51E631" w:rsidR="008E1600" w:rsidRPr="00113825" w:rsidRDefault="008E1600" w:rsidP="0048432B">
      <w:pPr>
        <w:pStyle w:val="Heading1"/>
      </w:pPr>
      <w:r w:rsidRPr="00113825">
        <w:t>Abstract:</w:t>
      </w:r>
    </w:p>
    <w:p w14:paraId="69502B39" w14:textId="6347516B" w:rsidR="00125026" w:rsidRPr="00113825" w:rsidRDefault="00125026" w:rsidP="00125026">
      <w:pPr>
        <w:jc w:val="both"/>
        <w:rPr>
          <w:szCs w:val="20"/>
        </w:rPr>
      </w:pPr>
      <w:r w:rsidRPr="00113825">
        <w:t>In the ambition of a transition from fossil carbon use, forestry residues are attracting considerable attention as a feedstock for the future bioeconomy. However, there is a limited spatially</w:t>
      </w:r>
      <w:r w:rsidR="001600B3" w:rsidRPr="00113825">
        <w:t xml:space="preserve"> </w:t>
      </w:r>
      <w:r w:rsidRPr="00113825">
        <w:t xml:space="preserve">explicit understanding of their availability. Confronted with limited resources for extensive field measurement campaigns, there </w:t>
      </w:r>
      <w:r w:rsidR="000C4808" w:rsidRPr="00113825">
        <w:t>are</w:t>
      </w:r>
      <w:r w:rsidRPr="00113825">
        <w:t xml:space="preserve"> also limited discussions on the best practices towards a harmonized methodology to derive spatially</w:t>
      </w:r>
      <w:r w:rsidR="001600B3" w:rsidRPr="00113825">
        <w:t xml:space="preserve"> </w:t>
      </w:r>
      <w:r w:rsidRPr="00113825">
        <w:t>explicit estimates of forestry residues.</w:t>
      </w:r>
      <w:r w:rsidRPr="00113825">
        <w:rPr>
          <w:rFonts w:cstheme="majorHAnsi"/>
          <w:szCs w:val="20"/>
        </w:rPr>
        <w:t xml:space="preserve"> In this study, we bridge this gap by developing a generic framework “</w:t>
      </w:r>
      <w:proofErr w:type="spellStart"/>
      <w:r w:rsidRPr="00113825">
        <w:rPr>
          <w:rFonts w:cstheme="majorHAnsi"/>
          <w:szCs w:val="20"/>
        </w:rPr>
        <w:t>CamBEE</w:t>
      </w:r>
      <w:proofErr w:type="spellEnd"/>
      <w:r w:rsidRPr="00113825">
        <w:rPr>
          <w:rFonts w:cstheme="majorHAnsi"/>
          <w:szCs w:val="20"/>
        </w:rPr>
        <w:t xml:space="preserve">”, for a transparent estimation of above-ground </w:t>
      </w:r>
      <w:r w:rsidR="009F6FF1" w:rsidRPr="00113825">
        <w:rPr>
          <w:rFonts w:cstheme="majorHAnsi"/>
          <w:szCs w:val="20"/>
        </w:rPr>
        <w:t>primary forestry residues</w:t>
      </w:r>
      <w:r w:rsidRPr="00113825">
        <w:rPr>
          <w:rFonts w:cstheme="majorHAnsi"/>
          <w:szCs w:val="20"/>
        </w:rPr>
        <w:t xml:space="preserve">, with a quantification of the uncertainty of the generated estimates. </w:t>
      </w:r>
      <w:proofErr w:type="spellStart"/>
      <w:r w:rsidRPr="00113825">
        <w:rPr>
          <w:rFonts w:cstheme="majorHAnsi"/>
          <w:szCs w:val="20"/>
        </w:rPr>
        <w:t>CamBEE</w:t>
      </w:r>
      <w:proofErr w:type="spellEnd"/>
      <w:r w:rsidRPr="00113825">
        <w:rPr>
          <w:rFonts w:cstheme="majorHAnsi"/>
          <w:szCs w:val="20"/>
        </w:rPr>
        <w:t xml:space="preserve"> is a four-step procedure relying on open access spatial data. Our framework further provides insights on the appropriate spatial resolution to select. Here, we detail this method and provide an example of its application through a case study for France. </w:t>
      </w:r>
      <w:r w:rsidRPr="00113825">
        <w:rPr>
          <w:szCs w:val="20"/>
        </w:rPr>
        <w:t xml:space="preserve">The results for the case study indicate a total theoretical potential of </w:t>
      </w:r>
      <w:r w:rsidR="00F64294" w:rsidRPr="00113825">
        <w:rPr>
          <w:szCs w:val="20"/>
        </w:rPr>
        <w:t>8.4 Million Mg</w:t>
      </w:r>
      <w:r w:rsidR="00F64294" w:rsidRPr="00113825">
        <w:rPr>
          <w:szCs w:val="20"/>
          <w:vertAlign w:val="subscript"/>
        </w:rPr>
        <w:t>dry matter</w:t>
      </w:r>
      <w:r w:rsidR="00F64294" w:rsidRPr="00113825">
        <w:rPr>
          <w:szCs w:val="20"/>
        </w:rPr>
        <w:t xml:space="preserve"> </w:t>
      </w:r>
      <w:r w:rsidRPr="00113825">
        <w:rPr>
          <w:szCs w:val="20"/>
        </w:rPr>
        <w:t>y</w:t>
      </w:r>
      <w:r w:rsidR="00F64294" w:rsidRPr="00113825">
        <w:rPr>
          <w:szCs w:val="20"/>
        </w:rPr>
        <w:t>ear</w:t>
      </w:r>
      <w:r w:rsidRPr="00113825">
        <w:rPr>
          <w:szCs w:val="20"/>
          <w:vertAlign w:val="superscript"/>
        </w:rPr>
        <w:t>-1</w:t>
      </w:r>
      <w:r w:rsidRPr="00113825">
        <w:rPr>
          <w:szCs w:val="20"/>
        </w:rPr>
        <w:t xml:space="preserve"> (</w:t>
      </w:r>
      <w:r w:rsidR="00F64294" w:rsidRPr="00113825">
        <w:rPr>
          <w:szCs w:val="20"/>
        </w:rPr>
        <w:t>4.4</w:t>
      </w:r>
      <w:r w:rsidRPr="00113825">
        <w:rPr>
          <w:szCs w:val="20"/>
        </w:rPr>
        <w:t xml:space="preserve"> – </w:t>
      </w:r>
      <w:r w:rsidR="00F64294" w:rsidRPr="00113825">
        <w:rPr>
          <w:szCs w:val="20"/>
        </w:rPr>
        <w:t>13.9</w:t>
      </w:r>
      <w:r w:rsidRPr="00113825">
        <w:rPr>
          <w:szCs w:val="20"/>
        </w:rPr>
        <w:t xml:space="preserve"> </w:t>
      </w:r>
      <w:r w:rsidR="00F64294" w:rsidRPr="00113825">
        <w:rPr>
          <w:szCs w:val="20"/>
        </w:rPr>
        <w:t>Million Mg</w:t>
      </w:r>
      <w:r w:rsidR="00F64294" w:rsidRPr="00113825">
        <w:rPr>
          <w:szCs w:val="20"/>
          <w:vertAlign w:val="subscript"/>
        </w:rPr>
        <w:t>dry matter</w:t>
      </w:r>
      <w:r w:rsidR="00F64294" w:rsidRPr="00113825">
        <w:rPr>
          <w:szCs w:val="20"/>
        </w:rPr>
        <w:t xml:space="preserve"> year</w:t>
      </w:r>
      <w:r w:rsidR="00F64294" w:rsidRPr="00113825">
        <w:rPr>
          <w:szCs w:val="20"/>
          <w:vertAlign w:val="superscript"/>
        </w:rPr>
        <w:t>-1</w:t>
      </w:r>
      <w:r w:rsidR="00904FF3" w:rsidRPr="00113825">
        <w:rPr>
          <w:szCs w:val="20"/>
        </w:rPr>
        <w:t>), which deviates of only 32</w:t>
      </w:r>
      <w:r w:rsidRPr="00113825">
        <w:rPr>
          <w:szCs w:val="20"/>
        </w:rPr>
        <w:t>% (</w:t>
      </w:r>
      <w:r w:rsidR="00904FF3" w:rsidRPr="00113825">
        <w:rPr>
          <w:szCs w:val="20"/>
        </w:rPr>
        <w:t>32 – 78</w:t>
      </w:r>
      <w:r w:rsidRPr="00113825">
        <w:rPr>
          <w:szCs w:val="20"/>
        </w:rPr>
        <w:t xml:space="preserve"> %) from the available statistically-based estimates.</w:t>
      </w:r>
    </w:p>
    <w:p w14:paraId="670A0BD8" w14:textId="7C9E833A" w:rsidR="009F6FF1" w:rsidRPr="00113825" w:rsidRDefault="009F6FF1" w:rsidP="00DE6E0A">
      <w:pPr>
        <w:pStyle w:val="Heading1"/>
      </w:pPr>
      <w:r w:rsidRPr="00113825">
        <w:t>Highlights:</w:t>
      </w:r>
    </w:p>
    <w:p w14:paraId="2B82BC87" w14:textId="77777777" w:rsidR="007D00B1" w:rsidRPr="00113825" w:rsidRDefault="007D00B1" w:rsidP="007D00B1">
      <w:pPr>
        <w:pStyle w:val="ListParagraph"/>
        <w:numPr>
          <w:ilvl w:val="0"/>
          <w:numId w:val="13"/>
        </w:numPr>
        <w:jc w:val="both"/>
      </w:pPr>
      <w:proofErr w:type="spellStart"/>
      <w:r w:rsidRPr="00113825">
        <w:t>CamBEE</w:t>
      </w:r>
      <w:proofErr w:type="spellEnd"/>
      <w:r w:rsidRPr="00113825">
        <w:t>: A framework for high-resolution spatial quantification of forestry residues</w:t>
      </w:r>
    </w:p>
    <w:p w14:paraId="6528D3EE" w14:textId="77777777" w:rsidR="007D00B1" w:rsidRPr="00113825" w:rsidRDefault="007D00B1" w:rsidP="007D00B1">
      <w:pPr>
        <w:pStyle w:val="ListParagraph"/>
        <w:numPr>
          <w:ilvl w:val="0"/>
          <w:numId w:val="13"/>
        </w:numPr>
        <w:jc w:val="both"/>
      </w:pPr>
      <w:r w:rsidRPr="00113825">
        <w:t>Uses open-source spatial data &amp; presents results with uncertainties</w:t>
      </w:r>
    </w:p>
    <w:p w14:paraId="0BA8BAD2" w14:textId="52175BC7" w:rsidR="009F6FF1" w:rsidRPr="00113825" w:rsidRDefault="009F6FF1" w:rsidP="007D00B1">
      <w:pPr>
        <w:pStyle w:val="ListParagraph"/>
        <w:numPr>
          <w:ilvl w:val="0"/>
          <w:numId w:val="13"/>
        </w:numPr>
        <w:jc w:val="both"/>
      </w:pPr>
      <w:r w:rsidRPr="00113825">
        <w:t>A metric for deciding the spatial resolution for such assessments is provided</w:t>
      </w:r>
    </w:p>
    <w:p w14:paraId="26A9B108" w14:textId="669E3972" w:rsidR="009F6FF1" w:rsidRPr="00113825" w:rsidRDefault="007D00B1" w:rsidP="007D00B1">
      <w:pPr>
        <w:pStyle w:val="ListParagraph"/>
        <w:numPr>
          <w:ilvl w:val="0"/>
          <w:numId w:val="13"/>
        </w:numPr>
        <w:jc w:val="both"/>
      </w:pPr>
      <w:r w:rsidRPr="00113825">
        <w:t>Exemplified results for France reveal 8.4 Million t DM y</w:t>
      </w:r>
      <w:r w:rsidRPr="00113825">
        <w:rPr>
          <w:vertAlign w:val="superscript"/>
        </w:rPr>
        <w:t>-1</w:t>
      </w:r>
      <w:r w:rsidRPr="00113825">
        <w:t xml:space="preserve"> of total availability</w:t>
      </w:r>
    </w:p>
    <w:p w14:paraId="7011C567" w14:textId="4829FEA4" w:rsidR="00125026" w:rsidRPr="00113825" w:rsidRDefault="00125026" w:rsidP="00125026">
      <w:pPr>
        <w:pStyle w:val="Heading1"/>
        <w:rPr>
          <w:rStyle w:val="Heading1Char"/>
          <w:b/>
          <w:i/>
          <w:szCs w:val="20"/>
        </w:rPr>
      </w:pPr>
      <w:r w:rsidRPr="00113825">
        <w:rPr>
          <w:rStyle w:val="Heading1Char"/>
          <w:b/>
        </w:rPr>
        <w:t xml:space="preserve">Keywords: </w:t>
      </w:r>
      <w:r w:rsidRPr="00113825">
        <w:rPr>
          <w:rStyle w:val="Heading1Char"/>
          <w:b/>
          <w:i/>
          <w:szCs w:val="20"/>
        </w:rPr>
        <w:t>Bioeconomy</w:t>
      </w:r>
      <w:r w:rsidR="00625944" w:rsidRPr="00113825">
        <w:rPr>
          <w:rStyle w:val="Heading1Char"/>
          <w:b/>
          <w:i/>
          <w:szCs w:val="20"/>
        </w:rPr>
        <w:t>;</w:t>
      </w:r>
      <w:r w:rsidRPr="00113825">
        <w:rPr>
          <w:rStyle w:val="Heading1Char"/>
          <w:b/>
          <w:i/>
          <w:szCs w:val="20"/>
        </w:rPr>
        <w:t xml:space="preserve"> Forest Residues</w:t>
      </w:r>
      <w:r w:rsidR="00625944" w:rsidRPr="00113825">
        <w:rPr>
          <w:rStyle w:val="Heading1Char"/>
          <w:b/>
          <w:i/>
          <w:szCs w:val="20"/>
        </w:rPr>
        <w:t>;</w:t>
      </w:r>
      <w:r w:rsidRPr="00113825">
        <w:rPr>
          <w:rStyle w:val="Heading1Char"/>
          <w:b/>
          <w:i/>
          <w:szCs w:val="20"/>
        </w:rPr>
        <w:t xml:space="preserve"> Spatial Quantification</w:t>
      </w:r>
      <w:r w:rsidR="00625944" w:rsidRPr="00113825">
        <w:rPr>
          <w:rStyle w:val="Heading1Char"/>
          <w:b/>
          <w:i/>
          <w:szCs w:val="20"/>
        </w:rPr>
        <w:t>;</w:t>
      </w:r>
      <w:r w:rsidRPr="00113825">
        <w:rPr>
          <w:rStyle w:val="Heading1Char"/>
          <w:b/>
          <w:i/>
          <w:szCs w:val="20"/>
        </w:rPr>
        <w:t xml:space="preserve"> Theoretical Potential</w:t>
      </w:r>
      <w:r w:rsidR="00625944" w:rsidRPr="00113825">
        <w:rPr>
          <w:rStyle w:val="Heading1Char"/>
          <w:b/>
          <w:i/>
          <w:szCs w:val="20"/>
        </w:rPr>
        <w:t>;</w:t>
      </w:r>
      <w:r w:rsidRPr="00113825">
        <w:rPr>
          <w:rStyle w:val="Heading1Char"/>
          <w:b/>
          <w:i/>
          <w:szCs w:val="20"/>
        </w:rPr>
        <w:t xml:space="preserve"> Uncertainty Assessment</w:t>
      </w:r>
      <w:r w:rsidR="00625944" w:rsidRPr="00113825">
        <w:rPr>
          <w:rStyle w:val="Heading1Char"/>
          <w:b/>
          <w:i/>
          <w:szCs w:val="20"/>
        </w:rPr>
        <w:t>;</w:t>
      </w:r>
      <w:r w:rsidRPr="00113825">
        <w:rPr>
          <w:rStyle w:val="Heading1Char"/>
          <w:b/>
          <w:i/>
          <w:szCs w:val="20"/>
        </w:rPr>
        <w:t xml:space="preserve"> Fossil carbon transition</w:t>
      </w:r>
      <w:r w:rsidR="00625944" w:rsidRPr="00113825">
        <w:rPr>
          <w:rStyle w:val="Heading1Char"/>
          <w:b/>
          <w:i/>
          <w:szCs w:val="20"/>
        </w:rPr>
        <w:t>.</w:t>
      </w:r>
    </w:p>
    <w:p w14:paraId="3217213B" w14:textId="77777777" w:rsidR="00F70E5D" w:rsidRPr="00113825" w:rsidRDefault="00F70E5D" w:rsidP="00F70E5D">
      <w:pPr>
        <w:spacing w:after="120" w:line="240" w:lineRule="auto"/>
        <w:rPr>
          <w:b/>
          <w:szCs w:val="20"/>
        </w:rPr>
      </w:pPr>
      <w:r w:rsidRPr="00113825">
        <w:rPr>
          <w:b/>
          <w:szCs w:val="20"/>
        </w:rPr>
        <w:t>Word Count: 7564</w:t>
      </w:r>
    </w:p>
    <w:p w14:paraId="1707AF37" w14:textId="05C18870" w:rsidR="009F6FF1" w:rsidRPr="00113825" w:rsidRDefault="009F6FF1" w:rsidP="00985370">
      <w:pPr>
        <w:pStyle w:val="Heading1"/>
      </w:pPr>
      <w:r w:rsidRPr="00113825">
        <w:t>List of Abbreviations</w:t>
      </w:r>
    </w:p>
    <w:p w14:paraId="19E60E53" w14:textId="0C0CA36F" w:rsidR="009F6FF1" w:rsidRPr="00113825" w:rsidRDefault="009F6FF1" w:rsidP="00DE6E0A">
      <w:pPr>
        <w:spacing w:after="80" w:line="240" w:lineRule="auto"/>
        <w:rPr>
          <w:rFonts w:cstheme="majorHAnsi"/>
          <w:szCs w:val="20"/>
        </w:rPr>
      </w:pPr>
      <w:r w:rsidRPr="00113825">
        <w:rPr>
          <w:rFonts w:cstheme="majorHAnsi"/>
          <w:szCs w:val="20"/>
        </w:rPr>
        <w:t>°C</w:t>
      </w:r>
      <w:r w:rsidRPr="00113825">
        <w:rPr>
          <w:rFonts w:cstheme="majorHAnsi"/>
          <w:szCs w:val="20"/>
        </w:rPr>
        <w:tab/>
      </w:r>
      <w:r w:rsidRPr="00113825">
        <w:rPr>
          <w:rFonts w:cstheme="majorHAnsi"/>
          <w:szCs w:val="20"/>
        </w:rPr>
        <w:tab/>
        <w:t>Degree Celsius</w:t>
      </w:r>
      <w:r w:rsidRPr="00113825">
        <w:rPr>
          <w:rFonts w:cstheme="majorHAnsi"/>
          <w:szCs w:val="20"/>
        </w:rPr>
        <w:tab/>
      </w:r>
      <w:r w:rsidRPr="00113825">
        <w:rPr>
          <w:rFonts w:cstheme="majorHAnsi"/>
          <w:szCs w:val="20"/>
        </w:rPr>
        <w:tab/>
      </w:r>
      <w:r w:rsidRPr="00113825">
        <w:rPr>
          <w:rFonts w:cstheme="majorHAnsi"/>
          <w:szCs w:val="20"/>
        </w:rPr>
        <w:tab/>
      </w:r>
      <w:r w:rsidRPr="00113825">
        <w:rPr>
          <w:rFonts w:cstheme="majorHAnsi"/>
          <w:szCs w:val="20"/>
        </w:rPr>
        <w:tab/>
      </w:r>
    </w:p>
    <w:p w14:paraId="29C04026" w14:textId="46808CF5" w:rsidR="009F6FF1" w:rsidRPr="00113825" w:rsidRDefault="009F6FF1" w:rsidP="00DE6E0A">
      <w:pPr>
        <w:spacing w:after="80" w:line="240" w:lineRule="auto"/>
      </w:pPr>
      <w:r w:rsidRPr="00113825">
        <w:t>ALS</w:t>
      </w:r>
      <w:r w:rsidRPr="00113825">
        <w:tab/>
      </w:r>
      <w:r w:rsidRPr="00113825">
        <w:tab/>
        <w:t>Airborne Laser Scanning</w:t>
      </w:r>
    </w:p>
    <w:p w14:paraId="4F69BBE8" w14:textId="7C8BAD51" w:rsidR="009F6FF1" w:rsidRPr="00113825" w:rsidRDefault="009F6FF1" w:rsidP="00DE6E0A">
      <w:pPr>
        <w:spacing w:after="80" w:line="240" w:lineRule="auto"/>
      </w:pPr>
      <w:r w:rsidRPr="00113825">
        <w:t>BEE</w:t>
      </w:r>
      <w:r w:rsidRPr="00113825">
        <w:tab/>
      </w:r>
      <w:r w:rsidRPr="00113825">
        <w:tab/>
        <w:t>Biomass Energy Europe</w:t>
      </w:r>
    </w:p>
    <w:p w14:paraId="265AA5C6" w14:textId="1B3B159B" w:rsidR="009F6FF1" w:rsidRPr="00113825" w:rsidRDefault="009F6FF1" w:rsidP="00DE6E0A">
      <w:pPr>
        <w:spacing w:after="80" w:line="240" w:lineRule="auto"/>
      </w:pPr>
      <w:r w:rsidRPr="00113825">
        <w:t>BEF</w:t>
      </w:r>
      <w:r w:rsidRPr="00113825">
        <w:tab/>
      </w:r>
      <w:r w:rsidRPr="00113825">
        <w:tab/>
        <w:t>Biomass Expansion Factor</w:t>
      </w:r>
    </w:p>
    <w:p w14:paraId="6ABC533D" w14:textId="00A61BB1" w:rsidR="009F6FF1" w:rsidRPr="00113825" w:rsidRDefault="009F6FF1" w:rsidP="00DE6E0A">
      <w:pPr>
        <w:spacing w:after="80" w:line="240" w:lineRule="auto"/>
      </w:pPr>
      <w:r w:rsidRPr="00113825">
        <w:t>CCI</w:t>
      </w:r>
      <w:r w:rsidRPr="00113825">
        <w:tab/>
      </w:r>
      <w:r w:rsidRPr="00113825">
        <w:tab/>
        <w:t>Climate Change Initiative</w:t>
      </w:r>
    </w:p>
    <w:p w14:paraId="55D24811" w14:textId="0F2FDEB9" w:rsidR="009F6FF1" w:rsidRPr="00113825" w:rsidRDefault="009F6FF1" w:rsidP="00DE6E0A">
      <w:pPr>
        <w:spacing w:after="80" w:line="240" w:lineRule="auto"/>
      </w:pPr>
      <w:r w:rsidRPr="00113825">
        <w:t>CLC</w:t>
      </w:r>
      <w:r w:rsidRPr="00113825">
        <w:tab/>
      </w:r>
      <w:r w:rsidRPr="00113825">
        <w:tab/>
        <w:t>CORINE land cover</w:t>
      </w:r>
    </w:p>
    <w:p w14:paraId="7F238625" w14:textId="1ACD9602" w:rsidR="009F6FF1" w:rsidRPr="00113825" w:rsidRDefault="009F6FF1" w:rsidP="00DE6E0A">
      <w:pPr>
        <w:spacing w:after="80" w:line="240" w:lineRule="auto"/>
      </w:pPr>
      <w:r w:rsidRPr="00113825">
        <w:t>D</w:t>
      </w:r>
      <w:r w:rsidRPr="00113825">
        <w:tab/>
      </w:r>
      <w:r w:rsidRPr="00113825">
        <w:tab/>
        <w:t>Factor of basic wood density</w:t>
      </w:r>
    </w:p>
    <w:p w14:paraId="10DE2EB5" w14:textId="3E92288A" w:rsidR="009F6FF1" w:rsidRPr="00113825" w:rsidRDefault="009F6FF1" w:rsidP="00DE6E0A">
      <w:pPr>
        <w:spacing w:after="80" w:line="240" w:lineRule="auto"/>
      </w:pPr>
      <w:r w:rsidRPr="00113825">
        <w:rPr>
          <w:rFonts w:cstheme="majorHAnsi"/>
          <w:szCs w:val="20"/>
        </w:rPr>
        <w:t>d.b.h.</w:t>
      </w:r>
      <w:r w:rsidRPr="00113825">
        <w:rPr>
          <w:rFonts w:cstheme="majorHAnsi"/>
          <w:szCs w:val="20"/>
        </w:rPr>
        <w:tab/>
      </w:r>
      <w:r w:rsidRPr="00113825">
        <w:rPr>
          <w:rFonts w:cstheme="majorHAnsi"/>
          <w:szCs w:val="20"/>
        </w:rPr>
        <w:tab/>
        <w:t>Diameter at breast height</w:t>
      </w:r>
    </w:p>
    <w:p w14:paraId="36B29392" w14:textId="7D4B24E2" w:rsidR="009F6FF1" w:rsidRPr="00113825" w:rsidRDefault="009F6FF1" w:rsidP="00DE6E0A">
      <w:pPr>
        <w:spacing w:after="80" w:line="240" w:lineRule="auto"/>
        <w:rPr>
          <w:rFonts w:cstheme="majorHAnsi"/>
          <w:szCs w:val="20"/>
        </w:rPr>
      </w:pPr>
      <w:r w:rsidRPr="00113825">
        <w:rPr>
          <w:rFonts w:cstheme="majorHAnsi"/>
          <w:szCs w:val="20"/>
        </w:rPr>
        <w:t>EU</w:t>
      </w:r>
      <w:r w:rsidRPr="00113825">
        <w:rPr>
          <w:rFonts w:cstheme="majorHAnsi"/>
          <w:szCs w:val="20"/>
        </w:rPr>
        <w:tab/>
      </w:r>
      <w:r w:rsidRPr="00113825">
        <w:rPr>
          <w:rFonts w:cstheme="majorHAnsi"/>
          <w:szCs w:val="20"/>
        </w:rPr>
        <w:tab/>
        <w:t>European Union</w:t>
      </w:r>
    </w:p>
    <w:p w14:paraId="7BD41C41" w14:textId="7DD4D137" w:rsidR="009F6FF1" w:rsidRPr="00113825" w:rsidRDefault="009F6FF1" w:rsidP="00DE6E0A">
      <w:pPr>
        <w:spacing w:after="80" w:line="240" w:lineRule="auto"/>
      </w:pPr>
      <w:r w:rsidRPr="00113825">
        <w:t>FA</w:t>
      </w:r>
      <w:r w:rsidRPr="00113825">
        <w:tab/>
      </w:r>
      <w:r w:rsidRPr="00113825">
        <w:tab/>
        <w:t>Forest Area</w:t>
      </w:r>
    </w:p>
    <w:p w14:paraId="134CF01D" w14:textId="7509F635" w:rsidR="009F6FF1" w:rsidRPr="00113825" w:rsidRDefault="009F6FF1" w:rsidP="00DE6E0A">
      <w:pPr>
        <w:spacing w:after="80" w:line="240" w:lineRule="auto"/>
      </w:pPr>
      <w:r w:rsidRPr="00113825">
        <w:rPr>
          <w:rFonts w:cstheme="majorHAnsi"/>
          <w:szCs w:val="20"/>
        </w:rPr>
        <w:t>FAO</w:t>
      </w:r>
      <w:r w:rsidRPr="00113825">
        <w:rPr>
          <w:rFonts w:cstheme="majorHAnsi"/>
          <w:szCs w:val="20"/>
        </w:rPr>
        <w:tab/>
      </w:r>
      <w:r w:rsidRPr="00113825">
        <w:rPr>
          <w:rFonts w:cstheme="majorHAnsi"/>
          <w:szCs w:val="20"/>
        </w:rPr>
        <w:tab/>
        <w:t>Food and Agriculture Organization</w:t>
      </w:r>
    </w:p>
    <w:p w14:paraId="09A43DD0" w14:textId="46963874" w:rsidR="009F6FF1" w:rsidRPr="00113825" w:rsidRDefault="009F6FF1" w:rsidP="00DE6E0A">
      <w:pPr>
        <w:spacing w:after="80" w:line="240" w:lineRule="auto"/>
      </w:pPr>
      <w:r w:rsidRPr="00113825">
        <w:rPr>
          <w:rFonts w:cstheme="majorHAnsi"/>
          <w:szCs w:val="20"/>
        </w:rPr>
        <w:t>FRAs</w:t>
      </w:r>
      <w:r w:rsidRPr="00113825">
        <w:rPr>
          <w:rFonts w:cstheme="majorHAnsi"/>
          <w:szCs w:val="20"/>
        </w:rPr>
        <w:tab/>
      </w:r>
      <w:r w:rsidRPr="00113825">
        <w:rPr>
          <w:rFonts w:cstheme="majorHAnsi"/>
          <w:szCs w:val="20"/>
        </w:rPr>
        <w:tab/>
        <w:t>Forest Resource Assessments</w:t>
      </w:r>
    </w:p>
    <w:p w14:paraId="7CE40DA8" w14:textId="7D64BF86" w:rsidR="009F6FF1" w:rsidRPr="00113825" w:rsidRDefault="009F6FF1" w:rsidP="00DE6E0A">
      <w:pPr>
        <w:spacing w:after="80" w:line="240" w:lineRule="auto"/>
      </w:pPr>
      <w:r w:rsidRPr="00113825">
        <w:t>GAI</w:t>
      </w:r>
      <w:r w:rsidRPr="00113825">
        <w:tab/>
      </w:r>
      <w:r w:rsidRPr="00113825">
        <w:tab/>
        <w:t>Gross Annual Increment</w:t>
      </w:r>
    </w:p>
    <w:p w14:paraId="53ECCF9B" w14:textId="0FBF6277" w:rsidR="009F6FF1" w:rsidRPr="00113825" w:rsidRDefault="009F6FF1" w:rsidP="00DE6E0A">
      <w:pPr>
        <w:spacing w:after="80" w:line="240" w:lineRule="auto"/>
      </w:pPr>
      <w:r w:rsidRPr="00113825">
        <w:t>GIS</w:t>
      </w:r>
      <w:r w:rsidRPr="00113825">
        <w:tab/>
      </w:r>
      <w:r w:rsidRPr="00113825">
        <w:tab/>
        <w:t>Geographic Information System</w:t>
      </w:r>
    </w:p>
    <w:p w14:paraId="3EE5449A" w14:textId="6B7F09EA" w:rsidR="009F6FF1" w:rsidRPr="00113825" w:rsidRDefault="009F6FF1" w:rsidP="00DE6E0A">
      <w:pPr>
        <w:spacing w:after="80" w:line="240" w:lineRule="auto"/>
      </w:pPr>
      <w:r w:rsidRPr="00113825">
        <w:t>GLS</w:t>
      </w:r>
      <w:r w:rsidRPr="00113825">
        <w:tab/>
      </w:r>
      <w:r w:rsidRPr="00113825">
        <w:tab/>
        <w:t>Global Land Survey</w:t>
      </w:r>
      <w:r w:rsidRPr="00113825">
        <w:tab/>
      </w:r>
    </w:p>
    <w:p w14:paraId="5994DC95" w14:textId="77777777" w:rsidR="00D62129" w:rsidRPr="00113825" w:rsidRDefault="009F6FF1" w:rsidP="00DE6E0A">
      <w:pPr>
        <w:spacing w:after="80" w:line="240" w:lineRule="auto"/>
      </w:pPr>
      <w:r w:rsidRPr="00113825">
        <w:t>GRECO</w:t>
      </w:r>
      <w:r w:rsidR="00D62129" w:rsidRPr="00113825">
        <w:tab/>
      </w:r>
      <w:r w:rsidR="00D62129" w:rsidRPr="00113825">
        <w:tab/>
      </w:r>
      <w:proofErr w:type="spellStart"/>
      <w:r w:rsidR="00D62129" w:rsidRPr="00113825">
        <w:rPr>
          <w:i/>
          <w:szCs w:val="20"/>
        </w:rPr>
        <w:t>Grandes</w:t>
      </w:r>
      <w:proofErr w:type="spellEnd"/>
      <w:r w:rsidR="00D62129" w:rsidRPr="00113825">
        <w:rPr>
          <w:i/>
          <w:szCs w:val="20"/>
        </w:rPr>
        <w:t xml:space="preserve"> </w:t>
      </w:r>
      <w:proofErr w:type="spellStart"/>
      <w:r w:rsidR="00D62129" w:rsidRPr="00113825">
        <w:rPr>
          <w:i/>
          <w:szCs w:val="20"/>
        </w:rPr>
        <w:t>Régions</w:t>
      </w:r>
      <w:proofErr w:type="spellEnd"/>
      <w:r w:rsidR="00D62129" w:rsidRPr="00113825">
        <w:rPr>
          <w:i/>
          <w:szCs w:val="20"/>
        </w:rPr>
        <w:t xml:space="preserve"> </w:t>
      </w:r>
      <w:proofErr w:type="spellStart"/>
      <w:r w:rsidR="00D62129" w:rsidRPr="00113825">
        <w:rPr>
          <w:i/>
          <w:szCs w:val="20"/>
        </w:rPr>
        <w:t>Écologiques</w:t>
      </w:r>
      <w:proofErr w:type="spellEnd"/>
    </w:p>
    <w:p w14:paraId="2B60676E" w14:textId="4891EF7E" w:rsidR="009F6FF1" w:rsidRPr="00113825" w:rsidRDefault="009F6FF1" w:rsidP="00DE6E0A">
      <w:pPr>
        <w:spacing w:after="80" w:line="240" w:lineRule="auto"/>
      </w:pPr>
      <w:r w:rsidRPr="00113825">
        <w:lastRenderedPageBreak/>
        <w:t>GUM</w:t>
      </w:r>
      <w:r w:rsidRPr="00113825">
        <w:tab/>
      </w:r>
      <w:r w:rsidRPr="00113825">
        <w:tab/>
        <w:t>Guide to Uncertainty and Measurement</w:t>
      </w:r>
    </w:p>
    <w:p w14:paraId="2C6CA886" w14:textId="11ECF488" w:rsidR="009F6FF1" w:rsidRPr="00113825" w:rsidRDefault="009F6FF1" w:rsidP="00DE6E0A">
      <w:pPr>
        <w:spacing w:after="80" w:line="240" w:lineRule="auto"/>
      </w:pPr>
      <w:r w:rsidRPr="00113825">
        <w:t>IPCC</w:t>
      </w:r>
      <w:r w:rsidRPr="00113825">
        <w:tab/>
      </w:r>
      <w:r w:rsidRPr="00113825">
        <w:tab/>
        <w:t>Intergovernmental Panel on Climate Change</w:t>
      </w:r>
    </w:p>
    <w:p w14:paraId="5F89F40B" w14:textId="18108BE2" w:rsidR="009F6FF1" w:rsidRPr="00113825" w:rsidRDefault="009F6FF1" w:rsidP="00DE6E0A">
      <w:pPr>
        <w:spacing w:after="80" w:line="240" w:lineRule="auto"/>
      </w:pPr>
      <w:r w:rsidRPr="00113825">
        <w:t>MODIS</w:t>
      </w:r>
      <w:r w:rsidRPr="00113825">
        <w:tab/>
      </w:r>
      <w:r w:rsidRPr="00113825">
        <w:tab/>
        <w:t xml:space="preserve">Moderate Resolution Imaging </w:t>
      </w:r>
      <w:proofErr w:type="spellStart"/>
      <w:r w:rsidRPr="00113825">
        <w:t>Spectroradiometer</w:t>
      </w:r>
      <w:proofErr w:type="spellEnd"/>
    </w:p>
    <w:p w14:paraId="4DD32183" w14:textId="143E591F" w:rsidR="00E550CE" w:rsidRPr="00113825" w:rsidRDefault="00E550CE" w:rsidP="00DE6E0A">
      <w:pPr>
        <w:spacing w:after="80" w:line="240" w:lineRule="auto"/>
      </w:pPr>
      <w:r w:rsidRPr="00113825">
        <w:t>Mg</w:t>
      </w:r>
      <w:r w:rsidRPr="00113825">
        <w:rPr>
          <w:vertAlign w:val="subscript"/>
        </w:rPr>
        <w:t>dry matter</w:t>
      </w:r>
      <w:r w:rsidRPr="00113825">
        <w:t xml:space="preserve"> year</w:t>
      </w:r>
      <w:r w:rsidRPr="00113825">
        <w:rPr>
          <w:vertAlign w:val="superscript"/>
        </w:rPr>
        <w:t>-1</w:t>
      </w:r>
      <w:r w:rsidRPr="00113825">
        <w:rPr>
          <w:vertAlign w:val="superscript"/>
        </w:rPr>
        <w:tab/>
      </w:r>
      <w:proofErr w:type="spellStart"/>
      <w:r w:rsidRPr="00113825">
        <w:t>Megagram</w:t>
      </w:r>
      <w:proofErr w:type="spellEnd"/>
      <w:r w:rsidRPr="00113825">
        <w:t xml:space="preserve"> (1 tonne) of dry matter per year</w:t>
      </w:r>
    </w:p>
    <w:p w14:paraId="4A644241" w14:textId="59F31735" w:rsidR="009F6FF1" w:rsidRPr="00113825" w:rsidRDefault="009F6FF1" w:rsidP="00DE6E0A">
      <w:pPr>
        <w:spacing w:after="80" w:line="240" w:lineRule="auto"/>
      </w:pPr>
      <w:r w:rsidRPr="00113825">
        <w:t>NAI</w:t>
      </w:r>
      <w:r w:rsidRPr="00113825">
        <w:tab/>
      </w:r>
      <w:r w:rsidRPr="00113825">
        <w:tab/>
        <w:t>Net Annual Increment</w:t>
      </w:r>
    </w:p>
    <w:p w14:paraId="034EA5E9" w14:textId="1C3E8220" w:rsidR="009F6FF1" w:rsidRPr="00113825" w:rsidRDefault="009F6FF1" w:rsidP="00DE6E0A">
      <w:pPr>
        <w:spacing w:after="80" w:line="240" w:lineRule="auto"/>
      </w:pPr>
      <w:r w:rsidRPr="00113825">
        <w:rPr>
          <w:rFonts w:cstheme="majorHAnsi"/>
          <w:szCs w:val="20"/>
        </w:rPr>
        <w:t>NFIs</w:t>
      </w:r>
      <w:r w:rsidRPr="00113825">
        <w:rPr>
          <w:rFonts w:cstheme="majorHAnsi"/>
          <w:szCs w:val="20"/>
        </w:rPr>
        <w:tab/>
      </w:r>
      <w:r w:rsidRPr="00113825">
        <w:rPr>
          <w:rFonts w:cstheme="majorHAnsi"/>
          <w:szCs w:val="20"/>
        </w:rPr>
        <w:tab/>
        <w:t>National Forest Inventories</w:t>
      </w:r>
    </w:p>
    <w:p w14:paraId="7B3F9D81" w14:textId="301FCD63" w:rsidR="009F6FF1" w:rsidRPr="00113825" w:rsidRDefault="009F6FF1" w:rsidP="00DE6E0A">
      <w:pPr>
        <w:spacing w:after="80" w:line="240" w:lineRule="auto"/>
      </w:pPr>
      <w:r w:rsidRPr="00113825">
        <w:t>NL</w:t>
      </w:r>
      <w:r w:rsidRPr="00113825">
        <w:tab/>
      </w:r>
      <w:r w:rsidRPr="00113825">
        <w:tab/>
        <w:t>Natural Losses</w:t>
      </w:r>
    </w:p>
    <w:p w14:paraId="528A511B" w14:textId="24FC0D14" w:rsidR="009F6FF1" w:rsidRPr="00113825" w:rsidRDefault="009F6FF1" w:rsidP="00DE6E0A">
      <w:pPr>
        <w:spacing w:after="80" w:line="240" w:lineRule="auto"/>
      </w:pPr>
      <w:r w:rsidRPr="00113825">
        <w:t>NPP</w:t>
      </w:r>
      <w:r w:rsidRPr="00113825">
        <w:tab/>
      </w:r>
      <w:r w:rsidRPr="00113825">
        <w:tab/>
        <w:t>Net Primary Productivity</w:t>
      </w:r>
    </w:p>
    <w:p w14:paraId="1F56514D" w14:textId="0F690C74" w:rsidR="009F6FF1" w:rsidRPr="00113825" w:rsidRDefault="009F6FF1" w:rsidP="00DE6E0A">
      <w:pPr>
        <w:spacing w:after="80" w:line="240" w:lineRule="auto"/>
        <w:rPr>
          <w:rFonts w:cstheme="majorHAnsi"/>
          <w:szCs w:val="20"/>
        </w:rPr>
      </w:pPr>
      <w:r w:rsidRPr="00113825">
        <w:rPr>
          <w:rFonts w:cstheme="majorHAnsi"/>
          <w:szCs w:val="20"/>
        </w:rPr>
        <w:t>PFRs</w:t>
      </w:r>
      <w:r w:rsidRPr="00113825">
        <w:rPr>
          <w:rFonts w:cstheme="majorHAnsi"/>
          <w:szCs w:val="20"/>
        </w:rPr>
        <w:tab/>
      </w:r>
      <w:r w:rsidRPr="00113825">
        <w:rPr>
          <w:rFonts w:cstheme="majorHAnsi"/>
          <w:szCs w:val="20"/>
        </w:rPr>
        <w:tab/>
        <w:t>Primary Forestry Residues</w:t>
      </w:r>
    </w:p>
    <w:p w14:paraId="4D79BE4E" w14:textId="22551616" w:rsidR="009F6FF1" w:rsidRPr="00113825" w:rsidRDefault="009F6FF1" w:rsidP="00DE6E0A">
      <w:pPr>
        <w:spacing w:after="80" w:line="240" w:lineRule="auto"/>
        <w:rPr>
          <w:rFonts w:cstheme="majorHAnsi"/>
          <w:szCs w:val="20"/>
        </w:rPr>
      </w:pPr>
      <w:r w:rsidRPr="00113825">
        <w:rPr>
          <w:rFonts w:cstheme="majorHAnsi"/>
          <w:szCs w:val="20"/>
        </w:rPr>
        <w:t>PJ year</w:t>
      </w:r>
      <w:r w:rsidRPr="00113825">
        <w:rPr>
          <w:rFonts w:cstheme="majorHAnsi"/>
          <w:szCs w:val="20"/>
          <w:vertAlign w:val="superscript"/>
        </w:rPr>
        <w:t>-1</w:t>
      </w:r>
      <w:r w:rsidRPr="00113825">
        <w:rPr>
          <w:rFonts w:cstheme="majorHAnsi"/>
          <w:szCs w:val="20"/>
        </w:rPr>
        <w:tab/>
      </w:r>
      <w:r w:rsidRPr="00113825">
        <w:rPr>
          <w:rFonts w:cstheme="majorHAnsi"/>
          <w:szCs w:val="20"/>
        </w:rPr>
        <w:tab/>
      </w:r>
      <w:proofErr w:type="spellStart"/>
      <w:r w:rsidRPr="00113825">
        <w:rPr>
          <w:rFonts w:cstheme="majorHAnsi"/>
          <w:szCs w:val="20"/>
        </w:rPr>
        <w:t>Pet</w:t>
      </w:r>
      <w:r w:rsidR="00D62129" w:rsidRPr="00113825">
        <w:rPr>
          <w:rFonts w:cstheme="majorHAnsi"/>
          <w:szCs w:val="20"/>
        </w:rPr>
        <w:t>ajoule</w:t>
      </w:r>
      <w:proofErr w:type="spellEnd"/>
      <w:r w:rsidR="00D62129" w:rsidRPr="00113825">
        <w:rPr>
          <w:rFonts w:cstheme="majorHAnsi"/>
          <w:szCs w:val="20"/>
        </w:rPr>
        <w:t xml:space="preserve"> per year</w:t>
      </w:r>
    </w:p>
    <w:p w14:paraId="4529ABA3" w14:textId="1371EA71" w:rsidR="00E550CE" w:rsidRPr="00113825" w:rsidRDefault="009F6FF1" w:rsidP="00D62129">
      <w:pPr>
        <w:rPr>
          <w:i/>
          <w:szCs w:val="20"/>
        </w:rPr>
      </w:pPr>
      <w:r w:rsidRPr="00113825">
        <w:t>SER</w:t>
      </w:r>
      <w:r w:rsidR="00D62129" w:rsidRPr="00113825">
        <w:tab/>
      </w:r>
      <w:r w:rsidR="00D62129" w:rsidRPr="00113825">
        <w:tab/>
      </w:r>
      <w:proofErr w:type="spellStart"/>
      <w:r w:rsidR="00D62129" w:rsidRPr="00113825">
        <w:rPr>
          <w:i/>
          <w:szCs w:val="20"/>
        </w:rPr>
        <w:t>Sylvoécorégions</w:t>
      </w:r>
      <w:proofErr w:type="spellEnd"/>
    </w:p>
    <w:p w14:paraId="74CEE5B8" w14:textId="092541A0" w:rsidR="00125026" w:rsidRPr="00113825" w:rsidRDefault="00125026" w:rsidP="00125026">
      <w:pPr>
        <w:pStyle w:val="Heading1"/>
      </w:pPr>
      <w:r w:rsidRPr="00113825">
        <w:t>1. Introduction</w:t>
      </w:r>
    </w:p>
    <w:p w14:paraId="404FB3DD" w14:textId="595D4734" w:rsidR="00125026" w:rsidRPr="00113825" w:rsidRDefault="00125026" w:rsidP="00125026">
      <w:pPr>
        <w:jc w:val="both"/>
        <w:rPr>
          <w:rFonts w:cstheme="majorHAnsi"/>
          <w:szCs w:val="20"/>
        </w:rPr>
      </w:pPr>
      <w:r w:rsidRPr="00113825">
        <w:rPr>
          <w:rFonts w:cstheme="majorHAnsi"/>
          <w:szCs w:val="20"/>
        </w:rPr>
        <w:t>Facing the emergency to limit global mean temperature to 1.5°C above pre-industrial levels</w:t>
      </w:r>
      <w:r w:rsidR="001600B3" w:rsidRPr="00113825">
        <w:rPr>
          <w:rFonts w:cstheme="majorHAnsi"/>
          <w:szCs w:val="20"/>
        </w:rPr>
        <w:t xml:space="preserve"> </w:t>
      </w:r>
      <w:r w:rsidR="001600B3" w:rsidRPr="00113825">
        <w:rPr>
          <w:rFonts w:cstheme="majorHAnsi"/>
          <w:szCs w:val="20"/>
        </w:rPr>
        <w:fldChar w:fldCharType="begin" w:fldLock="1"/>
      </w:r>
      <w:r w:rsidR="0089363E" w:rsidRPr="00113825">
        <w:rPr>
          <w:rFonts w:cstheme="majorHAnsi"/>
          <w:szCs w:val="20"/>
        </w:rPr>
        <w:instrText>ADDIN CSL_CITATION {"citationItems":[{"id":"ITEM-1","itemData":{"author":[{"dropping-particle":"","family":"IPCC","given":"","non-dropping-particle":"","parse-names":false,"suffix":""}],"editor":[{"dropping-particle":"","family":"Masson-Delmotte, V., P. Zhai, H.-O. Pörtner, D. Roberts, J. Skea, P.R. Shukla, A. Pirani, W. Moufouma-Okia, C. Péan, R. Pidcock, S. Connors, J.B.R. Matthews, Y. Chen, X. Zhou, M.I. Gomis, E. Lonnoy, T. Maycock, M. Tignor","given":"and T. Waterfield (eds.)","non-dropping-particle":"","parse-names":false,"suffix":""}],"id":"ITEM-1","issued":{"date-parts":[["2018"]]},"publisher":"World Meteorological Organization, Geneva, Switzerland, 32 pp.","publisher-place":"Oxford, UK","title":"Summary for Policymakers. In: Global Warming of 1.5°C. An IPCC Special Report on the impacts of global warming of 1.5°C above pre-industrial levels and related global greenhouse gas emission pathways, in the context of strengthening the global response to","type":"chapter"},"uris":["http://www.mendeley.com/documents/?uuid=ecbad7dc-1c05-4270-9779-0cbe5e348053"]}],"mendeley":{"formattedCitation":"[1]","plainTextFormattedCitation":"[1]","previouslyFormattedCitation":"(IPCC, 2018)"},"properties":{"noteIndex":0},"schema":"https://github.com/citation-style-language/schema/raw/master/csl-citation.json"}</w:instrText>
      </w:r>
      <w:r w:rsidR="001600B3" w:rsidRPr="00113825">
        <w:rPr>
          <w:rFonts w:cstheme="majorHAnsi"/>
          <w:szCs w:val="20"/>
        </w:rPr>
        <w:fldChar w:fldCharType="separate"/>
      </w:r>
      <w:r w:rsidR="0089363E" w:rsidRPr="00113825">
        <w:rPr>
          <w:rFonts w:cstheme="majorHAnsi"/>
          <w:noProof/>
          <w:szCs w:val="20"/>
        </w:rPr>
        <w:t>[1]</w:t>
      </w:r>
      <w:r w:rsidR="001600B3" w:rsidRPr="00113825">
        <w:rPr>
          <w:rFonts w:cstheme="majorHAnsi"/>
          <w:szCs w:val="20"/>
        </w:rPr>
        <w:fldChar w:fldCharType="end"/>
      </w:r>
      <w:r w:rsidRPr="00113825">
        <w:rPr>
          <w:rFonts w:cstheme="majorHAnsi"/>
          <w:szCs w:val="20"/>
        </w:rPr>
        <w:t>, additional releases of fossil carbon must be prevented, and sinks must be induced to achie</w:t>
      </w:r>
      <w:r w:rsidR="004916A8" w:rsidRPr="00113825">
        <w:rPr>
          <w:rFonts w:cstheme="majorHAnsi"/>
          <w:szCs w:val="20"/>
        </w:rPr>
        <w:t xml:space="preserve">ve so-called carbon neutrality </w:t>
      </w:r>
      <w:r w:rsidR="004916A8" w:rsidRPr="00113825">
        <w:rPr>
          <w:rFonts w:cstheme="majorHAnsi"/>
          <w:szCs w:val="20"/>
        </w:rPr>
        <w:fldChar w:fldCharType="begin" w:fldLock="1"/>
      </w:r>
      <w:r w:rsidR="0089363E" w:rsidRPr="00113825">
        <w:rPr>
          <w:rFonts w:cstheme="majorHAnsi"/>
          <w:szCs w:val="20"/>
        </w:rPr>
        <w:instrText>ADDIN CSL_CITATION {"citationItems":[{"id":"ITEM-1","itemData":{"DOI":"10.5194/essd-7-47-2015","author":[{"dropping-particle":"","family":"Quéré","given":"Corinne","non-dropping-particle":"Le","parse-names":false,"suffix":""},{"dropping-particle":"","family":"Moriarty","given":"R","non-dropping-particle":"","parse-names":false,"suffix":""},{"dropping-particle":"","family":"Andrew","given":"R M","non-dropping-particle":"","parse-names":false,"suffix":""},{"dropping-particle":"","family":"Peters","given":"G P","non-dropping-particle":"","parse-names":false,"suffix":""},{"dropping-particle":"","family":"Ciais","given":"Philippe","non-dropping-particle":"","parse-names":false,"suffix":""},{"dropping-particle":"","family":"Friedlingstein","given":"Pierre","non-dropping-particle":"","parse-names":false,"suffix":""},{"dropping-particle":"","family":"Jones","given":"S D","non-dropping-particle":"","parse-names":false,"suffix":""},{"dropping-particle":"","family":"Sitch","given":"S","non-dropping-particle":"","parse-names":false,"suffix":""},{"dropping-particle":"","family":"Tans","given":"P","non-dropping-particle":"","parse-names":false,"suffix":""},{"dropping-particle":"","family":"Arneth","given":"A","non-dropping-particle":"","parse-names":false,"suffix":""},{"dropping-particle":"","family":"Boden","given":"T A","non-dropping-particle":"","parse-names":false,"suffix":""},{"dropping-particle":"","family":"Bopp","given":"Laurent","non-dropping-particle":"","parse-names":false,"suffix":""},{"dropping-particle":"","family":"Bozec","given":"Yves","non-dropping-particle":"","parse-names":false,"suffix":""},{"dropping-particle":"","family":"Canadell","given":"J G","non-dropping-particle":"","parse-names":false,"suffix":""},{"dropping-particle":"","family":"Chini","given":"L P","non-dropping-particle":"","parse-names":false,"suffix":""},{"dropping-particle":"","family":"Chevallier","given":"F","non-dropping-particle":"","parse-names":false,"suffix":""},{"dropping-particle":"","family":"Cosca","given":"C E","non-dropping-particle":"","parse-names":false,"suffix":""},{"dropping-particle":"","family":"Harris","given":"I","non-dropping-particle":"","parse-names":false,"suffix":""},{"dropping-particle":"","family":"Hoppema","given":"Mario","non-dropping-particle":"","parse-names":false,"suffix":""},{"dropping-particle":"","family":"Houghton","given":"R A","non-dropping-particle":"","parse-names":false,"suffix":""},{"dropping-particle":"","family":"House","given":"J I","non-dropping-particle":"","parse-names":false,"suffix":""},{"dropping-particle":"","family":"Jain","given":"A K","non-dropping-particle":"","parse-names":false,"suffix":""},{"dropping-particle":"","family":"Johannessen","given":"T","non-dropping-particle":"","parse-names":false,"suffix":""},{"dropping-particle":"","family":"Kato","given":"E","non-dropping-particle":"","parse-names":false,"suffix":""},{"dropping-particle":"","family":"Keeling","given":"R F","non-dropping-particle":"","parse-names":false,"suffix":""},{"dropping-particle":"","family":"Kitidis","given":"V","non-dropping-particle":"","parse-names":false,"suffix":""},{"dropping-particle":"","family":"Klein Goldewijk","given":"K","non-dropping-particle":"","parse-names":false,"suffix":""},{"dropping-particle":"","family":"Koven","given":"C","non-dropping-particle":"","parse-names":false,"suffix":""},{"dropping-particle":"","family":"Landa","given":"C S","non-dropping-particle":"","parse-names":false,"suffix":""},{"dropping-particle":"","family":"Landschützer","given":"Peter","non-dropping-particle":"","parse-names":false,"suffix":""},{"dropping-particle":"","family":"Lenton","given":"Andrew","non-dropping-particle":"","parse-names":false,"suffix":""},{"dropping-particle":"","family":"Lima","given":"I D","non-dropping-particle":"","parse-names":false,"suffix":""},{"dropping-particle":"","family":"Marland","given":"G","non-dropping-particle":"","parse-names":false,"suffix":""},{"dropping-particle":"","family":"Mathis","given":"J T","non-dropping-particle":"","parse-names":false,"suffix":""},{"dropping-particle":"","family":"Metzl","given":"Nicolas","non-dropping-particle":"","parse-names":false,"suffix":""},{"dropping-particle":"","family":"Nojiri","given":"Y","non-dropping-particle":"","parse-names":false,"suffix":""},{"dropping-particle":"","family":"Olsen","given":"Are","non-dropping-particle":"","parse-names":false,"suffix":""},{"dropping-particle":"","family":"Ono","given":"T","non-dropping-particle":"","parse-names":false,"suffix":""},{"dropping-particle":"","family":"Peng","given":"S","non-dropping-particle":"","parse-names":false,"suffix":""},{"dropping-particle":"","family":"Peters","given":"W","non-dropping-particle":"","parse-names":false,"suffix":""},{"dropping-particle":"","family":"Pfeil","given":"Benjamin","non-dropping-particle":"","parse-names":false,"suffix":""},{"dropping-particle":"","family":"Poulter","given":"B","non-dropping-particle":"","parse-names":false,"suffix":""},{"dropping-particle":"","family":"Raupach","given":"M R","non-dropping-particle":"","parse-names":false,"suffix":""},{"dropping-particle":"","family":"Regnier","given":"P","non-dropping-particle":"","parse-names":false,"suffix":""},{"dropping-particle":"","family":"Rödenbeck","given":"Christian","non-dropping-particle":"","parse-names":false,"suffix":""},{"dropping-particle":"","family":"Saito","given":"S","non-dropping-particle":"","parse-names":false,"suffix":""},{"dropping-particle":"","family":"Salisbury","given":"J E","non-dropping-particle":"","parse-names":false,"suffix":""},{"dropping-particle":"","family":"Schuster","given":"Ute","non-dropping-particle":"","parse-names":false,"suffix":""},{"dropping-particle":"","family":"Schwinger","given":"J","non-dropping-particle":"","parse-names":false,"suffix":""},{"dropping-particle":"","family":"Séférian","given":"Roland","non-dropping-particle":"","parse-names":false,"suffix":""},{"dropping-particle":"","family":"Segschneider","given":"J","non-dropping-particle":"","parse-names":false,"suffix":""},{"dropping-particle":"","family":"Steinhoff","given":"T","non-dropping-particle":"","parse-names":false,"suffix":""},{"dropping-particle":"","family":"Stocker","given":"B D","non-dropping-particle":"","parse-names":false,"suffix":""},{"dropping-particle":"","family":"Sutton","given":"A J","non-dropping-particle":"","parse-names":false,"suffix":""},{"dropping-particle":"","family":"Takahashi","given":"Taro","non-dropping-particle":"","parse-names":false,"suffix":""},{"dropping-particle":"","family":"Tilbrook","given":"Bronte","non-dropping-particle":"","parse-names":false,"suffix":""},{"dropping-particle":"","family":"Werf","given":"G R","non-dropping-particle":"Van Der","parse-names":false,"suffix":""},{"dropping-particle":"","family":"Viovy","given":"Nicolas","non-dropping-particle":"","parse-names":false,"suffix":""},{"dropping-particle":"","family":"Wang","given":"Y.-P.","non-dropping-particle":"","parse-names":false,"suffix":""},{"dropping-particle":"","family":"Wanninkhof","given":"Rik","non-dropping-particle":"","parse-names":false,"suffix":""},{"dropping-particle":"","family":"Wiltshire","given":"A","non-dropping-particle":"","parse-names":false,"suffix":""},{"dropping-particle":"","family":"Zeng","given":"N","non-dropping-particle":"","parse-names":false,"suffix":""}],"container-title":"Earth System Science Data","id":"ITEM-1","issue":"1","issued":{"date-parts":[["2015"]]},"page":"47-85","publisher":"Copernicus Publications","title":"Global carbon budget 2014","type":"article-journal","volume":"7"},"uris":["http://www.mendeley.com/documents/?uuid=7d70da0d-0306-4629-9876-148d82e52178"]},{"id":"ITEM-2","itemData":{"author":[{"dropping-particle":"","family":"UN","given":"","non-dropping-particle":"","parse-names":false,"suffix":""}],"id":"ITEM-2","issued":{"date-parts":[["2015"]]},"title":"Paris Agreement","type":"report"},"uris":["http://www.mendeley.com/documents/?uuid=529e69d5-d29a-4a12-acc8-0c524bb71f74"]}],"mendeley":{"formattedCitation":"[2], [3]","plainTextFormattedCitation":"[2], [3]","previouslyFormattedCitation":"(Le Quéré &lt;i&gt;et al.&lt;/i&gt;, 2015; UN, 2015)"},"properties":{"noteIndex":0},"schema":"https://github.com/citation-style-language/schema/raw/master/csl-citation.json"}</w:instrText>
      </w:r>
      <w:r w:rsidR="004916A8" w:rsidRPr="00113825">
        <w:rPr>
          <w:rFonts w:cstheme="majorHAnsi"/>
          <w:szCs w:val="20"/>
        </w:rPr>
        <w:fldChar w:fldCharType="separate"/>
      </w:r>
      <w:r w:rsidR="0089363E" w:rsidRPr="00113825">
        <w:rPr>
          <w:rFonts w:cstheme="majorHAnsi"/>
          <w:noProof/>
          <w:szCs w:val="20"/>
        </w:rPr>
        <w:t>[2], [3]</w:t>
      </w:r>
      <w:r w:rsidR="004916A8" w:rsidRPr="00113825">
        <w:rPr>
          <w:rFonts w:cstheme="majorHAnsi"/>
          <w:szCs w:val="20"/>
        </w:rPr>
        <w:fldChar w:fldCharType="end"/>
      </w:r>
      <w:r w:rsidRPr="00113825">
        <w:rPr>
          <w:rFonts w:cstheme="majorHAnsi"/>
          <w:szCs w:val="20"/>
        </w:rPr>
        <w:t xml:space="preserve">. By using biogenic carbon to supply materials, chemicals, food and energy services, </w:t>
      </w:r>
      <w:proofErr w:type="gramStart"/>
      <w:r w:rsidRPr="00113825">
        <w:rPr>
          <w:rFonts w:cstheme="majorHAnsi"/>
          <w:szCs w:val="20"/>
        </w:rPr>
        <w:t>bioeconomy</w:t>
      </w:r>
      <w:proofErr w:type="gramEnd"/>
      <w:r w:rsidRPr="00113825">
        <w:rPr>
          <w:rFonts w:cstheme="majorHAnsi"/>
          <w:szCs w:val="20"/>
        </w:rPr>
        <w:t xml:space="preserve"> is one option in reaching this balance between anthropogenic emissions and sinks. In particular, the use of biomass residues has generated growing interest as a feedstock not associated with land-use changes </w:t>
      </w:r>
      <w:r w:rsidR="001600B3" w:rsidRPr="00113825">
        <w:rPr>
          <w:rFonts w:cstheme="majorHAnsi"/>
          <w:szCs w:val="20"/>
        </w:rPr>
        <w:fldChar w:fldCharType="begin" w:fldLock="1"/>
      </w:r>
      <w:r w:rsidR="0089363E" w:rsidRPr="00113825">
        <w:rPr>
          <w:rFonts w:cstheme="majorHAnsi"/>
          <w:szCs w:val="20"/>
        </w:rPr>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EU-27","type":"article-journal","volume":"100"},"uris":["http://www.mendeley.com/documents/?uuid=a79f23ea-152d-444a-b1c0-2b8489565653"]},{"id":"ITEM-2","itemData":{"DOI":"10.1016/j.resconrec.2019.05.003","ISSN":"18790658","abstract":"Processing of food is linked to unavoidable and inedible food waste that, despite efforts to minimize waste, will persevere. It nevertheless represents a stable feedstock for the future bioeconomy value chains and products. This study presents a systematic review of 149 examples from the scientific literature using inedible, unavoidable food residues and wastes for the production of value-added bio-based compounds that could substitute synthetic chemicals production. The main high-value products investigated are organic acids, bioplastics, colorants, enzymes and other platform chemicals. We found 44 examples of acid production with high variability in output (from 43 to 640 g kg−1waste), 9 examples of bioplastics (from 0.28 to 49 g L−1), 26 examples related to colorants (from 0.04 to more than 400 mg per 100 g), 22 cases of enzyme production (from 6000 Ug−1), 4 examples of protein (23.6 to 38.5 %wt. DM) and 44 cases of other high-value molecules such as pectin and single cell oils. Our findings highlight fermentation as a key technology for the valorization of the studied feedstock, with 76 examples out of the 149 reviewed. The review process also uncovered important limitations related to the lack of standardized food waste definitions, a barrier that is discussed and for which solutions are proposed. At the light of our findings, we further proposed guiding criteria towards the sustainable development of future biorefineries based on food waste. This work touches upon several Sustainable Development Goals, in particular goals 8.2, 9.5, and 12.3.","author":[{"dropping-particle":"","family":"Teigiserova","given":"Dominika Alexa","non-dropping-particle":"","parse-names":false,"suffix":""},{"dropping-particle":"","family":"Hamelin","given":"Lorie","non-dropping-particle":"","parse-names":false,"suffix":""},{"dropping-particle":"","family":"Thomsen","given":"Marianne","non-dropping-particle":"","parse-names":false,"suffix":""}],"container-title":"Resources, Conservation and Recycling","id":"ITEM-2","issue":"November 2018","issued":{"date-parts":[["2019"]]},"page":"413-426","publisher":"Elsevier","title":"Review of high-value food waste and food residues biorefineries with focus on unavoidable wastes from processing","type":"article-journal","volume":"149"},"uris":["http://www.mendeley.com/documents/?uuid=a8a3e4ba-8e0e-4310-8d63-9af98cbcbdc5"]},{"id":"ITEM-3","itemData":{"DOI":"10.1111/gcbb.12290","ISSN":"17571707","abstract":"© 2015 The Authors. Global Change Biology Bioenergy Published by John Wiley  &amp;  Sons Ltd. Biorefining agro-industrial biomass residues for bioenergy production represents an opportunity for both sustainable energy supply and greenhouse gas (GHG) emissions mitigation. Yet, is bioenergy the most sustainable use for these residues? To assess the importance of the alternative use of these residues, a consequential life cycle assessment (LCA) of 32 energy-focused biorefinery scenarios was performed based on eight selected agro-industrial residues and four conversion pathways (two involving bioethanol and two biogas). To specifically address indirect land-use changes (iLUC) induced by the competing feed/food sector, a deterministic iLUC model, addressing global impacts, was developed. A dedicated biochemical model was developed to establish detailed mass, energy, and substance balances for each biomass conversion pathway, as input to the LCA. Th e results demonstrated that, even for residual biomass, environmental savings from fossil fuel displacement can be completely outbalanced by iLUC, depending on the feed value of the biomass residue. This was the case of industrial residues (e.g. whey and beet molasses) in most of the scenarios assessed. Overall, the GHGs from iLUC impacts were quantified to 4.1 t CO 2 -eq.ha −1 demanded  yr −1  corresponding to 1.2–1.4 t CO 2 -eq. t −1  dry biomass diverted from feed to energy market. Only, bioenergy from straw and wild grass was shown to perform better than the alternative use, as no competition with the feed sector was involved. Biogas for heat and power production was the best performing pathway, in a short-term context. Focusing on transport fuels, bioethanol was generally preferable to biomethane considering conventional biogas upgrading technologies. Based on the results, agro-industrial residues cannot be considered burden-free simply because they are a residual biomass and careful accounting of alternative utilization is a prerequisite to assess the sustainability of a given use. In this endeavor, the iLUC factors and biochemical model proposed herein can be used as templates and directly applied to any bioenergy consequential study involving demand for arable land.","author":[{"dropping-particle":"","family":"Tonini","given":"Davide","non-dropping-particle":"","parse-names":false,"suffix":""},{"dropping-particle":"","family":"Hamelin","given":"Lorie","non-dropping-particle":"","parse-names":false,"suffix":""},{"dropping-particle":"","family":"Astrup","given":"Thomas F.","non-dropping-particle":"","parse-names":false,"suffix":""}],"container-title":"GCB Bioenergy","id":"ITEM-3","issue":"4","issued":{"date-parts":[["2016"]]},"page":"690-706","title":"Environmental implications of the use of agro-industrial residues for biorefineries: application of a deterministic model for indirect land-use changes","type":"article-journal","volume":"8"},"uris":["http://www.mendeley.com/documents/?uuid=414c062e-77cb-482d-8d36-c5efeb442be4"]}],"mendeley":{"formattedCitation":"[4]–[6]","plainTextFormattedCitation":"[4]–[6]","previouslyFormattedCitation":"(Tonini, Hamelin and Astrup, 2016; Hamelin &lt;i&gt;et al.&lt;/i&gt;, 2019; Teigiserova, Hamelin and Thomsen, 2019)"},"properties":{"noteIndex":0},"schema":"https://github.com/citation-style-language/schema/raw/master/csl-citation.json"}</w:instrText>
      </w:r>
      <w:r w:rsidR="001600B3" w:rsidRPr="00113825">
        <w:rPr>
          <w:rFonts w:cstheme="majorHAnsi"/>
          <w:szCs w:val="20"/>
        </w:rPr>
        <w:fldChar w:fldCharType="separate"/>
      </w:r>
      <w:r w:rsidR="0089363E" w:rsidRPr="00113825">
        <w:rPr>
          <w:rFonts w:cstheme="majorHAnsi"/>
          <w:noProof/>
          <w:szCs w:val="20"/>
        </w:rPr>
        <w:t>[4]–[6]</w:t>
      </w:r>
      <w:r w:rsidR="001600B3" w:rsidRPr="00113825">
        <w:rPr>
          <w:rFonts w:cstheme="majorHAnsi"/>
          <w:szCs w:val="20"/>
        </w:rPr>
        <w:fldChar w:fldCharType="end"/>
      </w:r>
      <w:r w:rsidRPr="00113825">
        <w:rPr>
          <w:rFonts w:cstheme="majorHAnsi"/>
          <w:szCs w:val="20"/>
        </w:rPr>
        <w:t xml:space="preserve">, and </w:t>
      </w:r>
      <w:r w:rsidR="00AB6EAE" w:rsidRPr="00113825">
        <w:rPr>
          <w:rFonts w:cstheme="majorHAnsi"/>
          <w:szCs w:val="20"/>
        </w:rPr>
        <w:t xml:space="preserve">is </w:t>
      </w:r>
      <w:r w:rsidRPr="00113825">
        <w:rPr>
          <w:rFonts w:cstheme="majorHAnsi"/>
          <w:szCs w:val="20"/>
        </w:rPr>
        <w:t xml:space="preserve">likely to have a cheaper cost than conventional biomass, being the by-products of existing operations </w:t>
      </w:r>
      <w:r w:rsidRPr="00113825">
        <w:rPr>
          <w:rFonts w:cstheme="majorHAnsi"/>
          <w:szCs w:val="20"/>
        </w:rPr>
        <w:fldChar w:fldCharType="begin" w:fldLock="1"/>
      </w:r>
      <w:r w:rsidR="0089363E" w:rsidRPr="00113825">
        <w:rPr>
          <w:rFonts w:cstheme="majorHAnsi"/>
          <w:szCs w:val="20"/>
        </w:rPr>
        <w:instrText>ADDIN CSL_CITATION {"citationItems":[{"id":"ITEM-1","itemData":{"DOI":"10.1111/gcbb.12285","ISSN":"17571707","abstract":"© 2016 John Wiley &amp; Sons Ltd. By-products of agricultural and forestry processes, known as residues, may act as a primary source of renewable energy. Studies assessing the availability of this resource offer little insight on the drivers and constraints of the available potential as well as the associated costs and how these may vary across scenarios. This study projects long-term global supply curves of the available potential using consistent scenarios of agriculture and forestry production, livestock production and fuel use from the spatially explicit integrated assessment model IMAGE. In the projections, residue production is related to agricultural and forestry production and intensification, and the limiting effect of ecological and alternative uses of residues are accounted for. Depending on the scenario, theoretical potential is projected to increase from approximately 120 EJ yr-1 today to 140-170 EJ yr-1 by 2100, coming mostly from agricultural production. To maintain ecological functions approximately 40% is required to remain in the field, and a further 20-30% is diverted towards alternative uses. Of the remaining potential (approximately 50 EJ yr-1 in 2100), more than 90% is available at costs &lt;10$2005 GJ-1. Crop yield improvements increase residue productivity, albeit at a lower rate. The consequent decrease in agricultural land results in a lower requirement of residues for erosion control. The theoretical potential is most sensitive to baseline projections of agriculture and forestry demand however, this does not necessarily affect the available potential which is relatively constant across scenarios. The most important limiting factors are the alternative uses. Asia and North America account for two-thirds of the available potential due to the production of crops with high residue yields and socioeconomic conditions which limit alternative uses.","author":[{"dropping-particle":"","family":"Daioglou","given":"Vassilis","non-dropping-particle":"","parse-names":false,"suffix":""},{"dropping-particle":"","family":"Stehfest","given":"Elk","non-dropping-particle":"","parse-names":false,"suffix":""},{"dropping-particle":"","family":"Wicke","given":"Birka","non-dropping-particle":"","parse-names":false,"suffix":""},{"dropping-particle":"","family":"Faaij","given":"Andre","non-dropping-particle":"","parse-names":false,"suffix":""},{"dropping-particle":"","family":"Vuuren","given":"Detlef P.","non-dropping-particle":"van","parse-names":false,"suffix":""}],"container-title":"GCB Bioenergy","id":"ITEM-1","issue":"2","issued":{"date-parts":[["2016"]]},"page":"456-470","title":"Projections of the availability and cost of residues from agriculture and forestry","type":"article-journal","volume":"8"},"uris":["http://www.mendeley.com/documents/?uuid=da1784f3-94fe-49cf-9a6a-bb797ce42bcb"]}],"mendeley":{"formattedCitation":"[7]","plainTextFormattedCitation":"[7]","previouslyFormattedCitation":"(Daioglou &lt;i&gt;et al.&lt;/i&gt;, 2016)"},"properties":{"noteIndex":0},"schema":"https://github.com/citation-style-language/schema/raw/master/csl-citation.json"}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[7]</w:t>
      </w:r>
      <w:r w:rsidRPr="00113825">
        <w:rPr>
          <w:rFonts w:cstheme="majorHAnsi"/>
          <w:szCs w:val="20"/>
        </w:rPr>
        <w:fldChar w:fldCharType="end"/>
      </w:r>
      <w:r w:rsidRPr="00113825">
        <w:rPr>
          <w:rFonts w:cstheme="majorHAnsi"/>
          <w:szCs w:val="20"/>
        </w:rPr>
        <w:t>.</w:t>
      </w:r>
      <w:r w:rsidR="001600B3" w:rsidRPr="00113825">
        <w:rPr>
          <w:rFonts w:cstheme="majorHAnsi"/>
          <w:szCs w:val="20"/>
        </w:rPr>
        <w:t xml:space="preserve"> Recently, Hamelin et al. </w:t>
      </w:r>
      <w:r w:rsidR="001600B3" w:rsidRPr="00113825">
        <w:rPr>
          <w:rFonts w:cstheme="majorHAnsi"/>
          <w:szCs w:val="20"/>
        </w:rPr>
        <w:fldChar w:fldCharType="begin" w:fldLock="1"/>
      </w:r>
      <w:r w:rsidR="0089363E" w:rsidRPr="00113825">
        <w:rPr>
          <w:rFonts w:cstheme="majorHAnsi"/>
          <w:szCs w:val="20"/>
        </w:rPr>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EU-27","type":"article-journal","volume":"100"},"uris":["http://www.mendeley.com/documents/?uuid=a79f23ea-152d-444a-b1c0-2b8489565653"]}],"mendeley":{"formattedCitation":"[4]","plainTextFormattedCitation":"[4]","previouslyFormattedCitation":"(Hamelin &lt;i&gt;et al.&lt;/i&gt;, 2019)"},"properties":{"noteIndex":0},"schema":"https://github.com/citation-style-language/schema/raw/master/csl-citation.json"}</w:instrText>
      </w:r>
      <w:r w:rsidR="001600B3" w:rsidRPr="00113825">
        <w:rPr>
          <w:rFonts w:cstheme="majorHAnsi"/>
          <w:szCs w:val="20"/>
        </w:rPr>
        <w:fldChar w:fldCharType="separate"/>
      </w:r>
      <w:r w:rsidR="0089363E" w:rsidRPr="00113825">
        <w:rPr>
          <w:rFonts w:cstheme="majorHAnsi"/>
          <w:noProof/>
          <w:szCs w:val="20"/>
        </w:rPr>
        <w:t>[4]</w:t>
      </w:r>
      <w:r w:rsidR="001600B3" w:rsidRPr="00113825">
        <w:rPr>
          <w:rFonts w:cstheme="majorHAnsi"/>
          <w:szCs w:val="20"/>
        </w:rPr>
        <w:fldChar w:fldCharType="end"/>
      </w:r>
      <w:r w:rsidRPr="00113825">
        <w:rPr>
          <w:rFonts w:cstheme="majorHAnsi"/>
          <w:szCs w:val="20"/>
        </w:rPr>
        <w:t xml:space="preserve"> highlighted a total (or theoretical) residual biomass potential of 8500 PJ y</w:t>
      </w:r>
      <w:r w:rsidR="009F6FF1" w:rsidRPr="00113825">
        <w:rPr>
          <w:rFonts w:cstheme="majorHAnsi"/>
          <w:szCs w:val="20"/>
        </w:rPr>
        <w:t>ear</w:t>
      </w:r>
      <w:r w:rsidRPr="00113825">
        <w:rPr>
          <w:rFonts w:cstheme="majorHAnsi"/>
          <w:szCs w:val="20"/>
          <w:vertAlign w:val="superscript"/>
        </w:rPr>
        <w:t xml:space="preserve">-1 </w:t>
      </w:r>
      <w:r w:rsidRPr="00113825">
        <w:rPr>
          <w:rFonts w:cstheme="majorHAnsi"/>
          <w:szCs w:val="20"/>
        </w:rPr>
        <w:t>for EU-27 + Switzerland, with forestry residues representing ca. 37% of this potential.</w:t>
      </w:r>
      <w:r w:rsidRPr="00113825" w:rsidDel="00EF2B7D">
        <w:rPr>
          <w:rFonts w:cstheme="majorHAnsi"/>
          <w:szCs w:val="20"/>
        </w:rPr>
        <w:t xml:space="preserve"> </w:t>
      </w:r>
    </w:p>
    <w:p w14:paraId="4CB3EE0A" w14:textId="3E2A8E38" w:rsidR="00125026" w:rsidRPr="00113825" w:rsidRDefault="00125026" w:rsidP="00125026">
      <w:pPr>
        <w:jc w:val="both"/>
        <w:rPr>
          <w:rFonts w:cstheme="majorHAnsi"/>
          <w:szCs w:val="20"/>
        </w:rPr>
      </w:pPr>
      <w:r w:rsidRPr="00113825">
        <w:rPr>
          <w:rFonts w:cstheme="majorHAnsi"/>
          <w:szCs w:val="20"/>
        </w:rPr>
        <w:t xml:space="preserve">Forestry residues can be divided into two categories </w:t>
      </w:r>
      <w:r w:rsidRPr="00113825">
        <w:rPr>
          <w:rFonts w:cstheme="majorHAnsi"/>
          <w:szCs w:val="20"/>
        </w:rPr>
        <w:fldChar w:fldCharType="begin" w:fldLock="1"/>
      </w:r>
      <w:r w:rsidR="0089363E" w:rsidRPr="00113825">
        <w:rPr>
          <w:rFonts w:cstheme="majorHAnsi"/>
          <w:szCs w:val="20"/>
        </w:rPr>
        <w:instrText>ADDIN CSL_CITATION {"citationItems":[{"id":"ITEM-1","itemData":{"DOI":"10.2790/39014","ISBN":"9789279538797","abstract":"The JRC-EU-TIMES is a partial equilibrium energy system model maintained by the Institute for Energy and Transport (IET) of the Joint Research Centre (JRC) to analyse the role of energy technologies development and their potential contribution to decarbonisation pathways of the energy system. The technical potentials for renewable energies are a key input in models of this kind. In this context, it is important to ensure transparency in the assumptions: making available the underlying data to the public is thus an important step that can also further contribute to a scientific and transparent debate. This report is the first in a series, and addresses the quantification of current and future biomass potentials for energy. As already identified in the 2011 European Commission’s Communication Energy roadmap 2050, biomass is expected to play a key role in strengthening the Energy Union pillars by diversifying the energy supply, increasing the energy internal market, decarbonising the economy and boosting competitiveness. Estimating the technical potentials available in EU countries using state of the art methodologies and updated data is important to fully understand the implications of an increased used of biomass for energy. Acknowledging this relevance, much work has been carried to characterise and quantify biomass resources. Building on the initial effort from the European Environment Agency, followed by key projects like BEE and Biomass Futures, this report presents the results of extending and improving current methodologies and estimation to respond to energy system modelling needs, while extending the projections to 2050.","author":[{"dropping-particle":"","family":"Ruiz","given":"Pablo","non-dropping-particle":"","parse-names":false,"suffix":""},{"dropping-particle":"","family":"Sgobbi","given":"Alessandra","non-dropping-particle":"","parse-names":false,"suffix":""},{"dropping-particle":"","family":"Nijs","given":"Wouter","non-dropping-particle":"","parse-names":false,"suffix":""},{"dropping-particle":"","family":"Thiel","given":"Christian","non-dropping-particle":"","parse-names":false,"suffix":""},{"dropping-particle":"","family":"Dalla Longa","given":"Francesco","non-dropping-particle":"","parse-names":false,"suffix":""},{"dropping-particle":"","family":"Kober","given":"Tom","non-dropping-particle":"","parse-names":false,"suffix":""},{"dropping-particle":"","family":"Elbersen","given":"Berien","non-dropping-particle":"","parse-names":false,"suffix":""},{"dropping-particle":"","family":"Hengeveld","given":"Geerten","non-dropping-particle":"","parse-names":false,"suffix":""},{"dropping-particle":"","family":"Alterra","given":"","non-dropping-particle":"","parse-names":false,"suffix":""}],"id":"ITEM-1","issued":{"date-parts":[["2015"]]},"number-of-pages":"176","publisher":"European Commission Joint Research Centre","title":"The JRC-EU-TIMES model. Bioenergy potentials for EU and neighbouring countries","type":"book"},"uris":["http://www.mendeley.com/documents/?uuid=4f764bd6-738f-47f5-b554-b1efdc00eeda"]}],"mendeley":{"formattedCitation":"[8]","plainTextFormattedCitation":"[8]","previouslyFormattedCitation":"(Ruiz &lt;i&gt;et al.&lt;/i&gt;, 2015)"},"properties":{"noteIndex":0},"schema":"https://github.com/citation-style-language/schema/raw/master/csl-citation.json"}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[8]</w:t>
      </w:r>
      <w:r w:rsidRPr="00113825">
        <w:rPr>
          <w:rFonts w:cstheme="majorHAnsi"/>
          <w:szCs w:val="20"/>
        </w:rPr>
        <w:fldChar w:fldCharType="end"/>
      </w:r>
      <w:r w:rsidRPr="00113825">
        <w:rPr>
          <w:rFonts w:cstheme="majorHAnsi"/>
          <w:szCs w:val="20"/>
        </w:rPr>
        <w:t xml:space="preserve">; </w:t>
      </w:r>
      <w:r w:rsidRPr="00113825">
        <w:rPr>
          <w:rFonts w:cstheme="majorHAnsi"/>
          <w:i/>
          <w:szCs w:val="20"/>
        </w:rPr>
        <w:t>(</w:t>
      </w:r>
      <w:proofErr w:type="spellStart"/>
      <w:r w:rsidRPr="00113825">
        <w:rPr>
          <w:rFonts w:cstheme="majorHAnsi"/>
          <w:i/>
          <w:szCs w:val="20"/>
        </w:rPr>
        <w:t>i</w:t>
      </w:r>
      <w:proofErr w:type="spellEnd"/>
      <w:r w:rsidRPr="00113825">
        <w:rPr>
          <w:rFonts w:cstheme="majorHAnsi"/>
          <w:i/>
          <w:szCs w:val="20"/>
        </w:rPr>
        <w:t xml:space="preserve">) </w:t>
      </w:r>
      <w:r w:rsidRPr="00113825">
        <w:rPr>
          <w:rFonts w:cstheme="majorHAnsi"/>
          <w:szCs w:val="20"/>
        </w:rPr>
        <w:t xml:space="preserve">Primary forestry residues (PFRs), and </w:t>
      </w:r>
      <w:r w:rsidRPr="00113825">
        <w:rPr>
          <w:rFonts w:cstheme="majorHAnsi"/>
          <w:i/>
          <w:szCs w:val="20"/>
        </w:rPr>
        <w:t xml:space="preserve">(ii) </w:t>
      </w:r>
      <w:r w:rsidRPr="00113825">
        <w:rPr>
          <w:rFonts w:cstheme="majorHAnsi"/>
          <w:szCs w:val="20"/>
        </w:rPr>
        <w:t>Secondary forestry residues. PFRs are defined as residues that are left over from logging operations – thinning or final felling (branches, stumps, treetops, bark, sawdust, etc.). Whereas, secondary forestry residues are by-products and co-products of industrial wood-processing operations (bark, sawmill slabs, sawdust, wood chips, etc.). This study only focuses on above-ground PFRs (</w:t>
      </w:r>
      <w:r w:rsidR="0022706C" w:rsidRPr="00113825">
        <w:rPr>
          <w:rFonts w:cstheme="majorHAnsi"/>
          <w:szCs w:val="20"/>
        </w:rPr>
        <w:fldChar w:fldCharType="begin"/>
      </w:r>
      <w:r w:rsidR="0022706C" w:rsidRPr="00113825">
        <w:rPr>
          <w:rFonts w:cstheme="majorHAnsi"/>
          <w:szCs w:val="20"/>
        </w:rPr>
        <w:instrText xml:space="preserve"> REF _Ref26796285 \h </w:instrText>
      </w:r>
      <w:r w:rsidR="0022706C" w:rsidRPr="00113825">
        <w:rPr>
          <w:rFonts w:cstheme="majorHAnsi"/>
          <w:szCs w:val="20"/>
        </w:rPr>
      </w:r>
      <w:r w:rsidR="0022706C" w:rsidRPr="00113825">
        <w:rPr>
          <w:rFonts w:cstheme="majorHAnsi"/>
          <w:szCs w:val="20"/>
        </w:rPr>
        <w:fldChar w:fldCharType="separate"/>
      </w:r>
      <w:r w:rsidR="00113825" w:rsidRPr="00113825">
        <w:rPr>
          <w:i/>
          <w:iCs/>
          <w:szCs w:val="18"/>
        </w:rPr>
        <w:t xml:space="preserve">Figure </w:t>
      </w:r>
      <w:r w:rsidR="00113825">
        <w:rPr>
          <w:i/>
          <w:iCs/>
          <w:noProof/>
          <w:szCs w:val="18"/>
        </w:rPr>
        <w:t>1</w:t>
      </w:r>
      <w:r w:rsidR="0022706C" w:rsidRPr="00113825">
        <w:rPr>
          <w:rFonts w:cstheme="majorHAnsi"/>
          <w:szCs w:val="20"/>
        </w:rPr>
        <w:fldChar w:fldCharType="end"/>
      </w:r>
      <w:r w:rsidRPr="00113825">
        <w:rPr>
          <w:rFonts w:cstheme="majorHAnsi"/>
          <w:szCs w:val="20"/>
        </w:rPr>
        <w:t>). Stumps and roots a</w:t>
      </w:r>
      <w:r w:rsidR="0022706C" w:rsidRPr="00113825">
        <w:rPr>
          <w:rFonts w:cstheme="majorHAnsi"/>
          <w:szCs w:val="20"/>
        </w:rPr>
        <w:t>re excluded given the heavy conc</w:t>
      </w:r>
      <w:r w:rsidRPr="00113825">
        <w:rPr>
          <w:rFonts w:cstheme="majorHAnsi"/>
          <w:szCs w:val="20"/>
        </w:rPr>
        <w:t xml:space="preserve">erns related to the environmental </w:t>
      </w:r>
      <w:r w:rsidRPr="00113825">
        <w:rPr>
          <w:rFonts w:cstheme="majorHAnsi"/>
          <w:szCs w:val="20"/>
        </w:rPr>
        <w:fldChar w:fldCharType="begin" w:fldLock="1"/>
      </w:r>
      <w:r w:rsidR="0089363E" w:rsidRPr="00113825">
        <w:rPr>
          <w:rFonts w:cstheme="majorHAnsi"/>
          <w:szCs w:val="20"/>
        </w:rPr>
        <w:instrText>ADDIN CSL_CITATION {"citationItems":[{"id":"ITEM-1","itemData":{"DOI":"10.1093/forestry/cpp028","ISSN":"0015752X","abstract":"Stump harvesting signifies an intensification of forest management compared with conventional stem-only or above-ground biomass-only harvesting. There are many practical and perceived benefits of stump harvesting. These include (1) the production of woodfuel; (2) fossil fuel substitution; (3) additional revenue for forest owners; (4) improved site preparation and (5) potential reduction of Heterobasidion. However, evidence suggests that, in the absence of appropriate precautionary measures, stump harvesting will lead to many undesirable environmental impacts. These include (1) removal of soil organic matter inputs; (2) adverse impacts on forest soil carbon stores and greenhouse gas emissions; (3) increased soil erosion; (4) increased soil compaction; (5) depletion of soil nutrient stocks and changes in nutrient cycling; (6) unknown impacts on future productivity; (7) loss of valuable habitat for fungi, mosses, bryophytes and insects and (8) increase in non-forest vegetation and additional herbicide requirements. To minimize environmental impacts, best practice guidelines should be developed and communicated. Research to date has focussed on the impact of stump removal on the incidence of root diseases and has limited applicability to healthy uninfected stands. Additional research is required to understand fully the environmental impacts, particularly how stump harvesting influences the forest soil carbon balance and forest nutrient stocks. © 2009 Institute of Chartered Foresters. All rights reserved.","author":[{"dropping-particle":"","family":"Walmsley","given":"J. D.","non-dropping-particle":"","parse-names":false,"suffix":""},{"dropping-particle":"","family":"Godbold","given":"D. L.","non-dropping-particle":"","parse-names":false,"suffix":""}],"container-title":"Forestry","id":"ITEM-1","issue":"1","issued":{"date-parts":[["2010"]]},"page":"17-38","title":"Stump harvesting for bioenergy - A review of the environmental impacts","type":"article-journal","volume":"83"},"uris":["http://www.mendeley.com/documents/?uuid=1be48379-3ae0-43e0-b984-ee8ad3c435c5"]},{"id":"ITEM-2","itemData":{"DOI":"10.1016/j.foreco.2018.05.032","ISSN":"03781127","abstract":"Finland has a long tradition of utilizing forest-based biomass for energy and industry purposes and the use has steadily increased in the past decade due to changes in international and regional energy policies. Intensive harvesting practices, in which a larger proportion of the woody biomass is removed from the forest stand, are becoming more common. The objectives of this study were (i) to evaluate the spatial and temporal extent of soil surface disturbance caused by stump-root system harvesting and (ii) to quantify how much biomass and nitrogen is removed from the stand in stump and coarse root harvesting. The extent of surface disturbance was assessed in three clear-cut Norway spruce (Picea abies, (L.) Karst.) stands in southern and central Finland, differing in time since harvest. To determine the biomass distribution of the stump-root system, stumps and coarse roots were excavated at one of the experimental stands. Across all age classes (time since harvest) less soil surface had remained undisturbed at the stump harvesting sites (52%) than at the sites where only mechanical site preparation (28%) had been carried out. Thus, the findings of this study indicate that soil disturbance caused by stump harvesting can exist on forest soil surface for more than a decade following harvest. The total biomass of the stump-root system in the stand was estimated to 39.3 Mg ha−1 and 79% of this biomass was removed during stump harvesting and consequently, 8.3 Mg ha−1 of stump-root biomass remained in soil. The stump-root system accounted for 17% of the whole-tree biomass, and coarse roots and fine coarse roots represented a significant portion of it (73%). Thus, the stump-root system represents a large biomass component in boreal forest stands. However, forest management utilizing stumps may result in carbon losses from the stand.","author":[{"dropping-particle":"","family":"Kaarakka","given":"Lilli","non-dropping-particle":"","parse-names":false,"suffix":""},{"dropping-particle":"","family":"Vaittinen","given":"Janne","non-dropping-particle":"","parse-names":false,"suffix":""},{"dropping-particle":"","family":"Marjanen","given":"Mikael","non-dropping-particle":"","parse-names":false,"suffix":""},{"dropping-particle":"","family":"Hellsten","given":"Sofie","non-dropping-particle":"","parse-names":false,"suffix":""},{"dropping-particle":"","family":"Kukkola","given":"Mikko","non-dropping-particle":"","parse-names":false,"suffix":""},{"dropping-particle":"","family":"Saarsalmi","given":"Anna","non-dropping-particle":"","parse-names":false,"suffix":""},{"dropping-particle":"","family":"Palviainen","given":"Marjo","non-dropping-particle":"","parse-names":false,"suffix":""},{"dropping-particle":"","family":"Helmisaari","given":"Heljä Sisko","non-dropping-particle":"","parse-names":false,"suffix":""}],"container-title":"Forest Ecology and Management","id":"ITEM-2","issue":"March","issued":{"date-parts":[["2018"]]},"page":"27-34","title":"Stump harvesting in Picea abies stands: Soil surface disturbance and biomass distribution of the harvested stumps and roots","type":"article-journal","volume":"425"},"uris":["http://www.mendeley.com/documents/?uuid=40415800-a33c-4ee3-8111-74d9e839986b"]}],"mendeley":{"formattedCitation":"[9], [10]","plainTextFormattedCitation":"[9], [10]","previouslyFormattedCitation":"(Walmsley and Godbold, 2010; Kaarakka &lt;i&gt;et al.&lt;/i&gt;, 2018)"},"properties":{"noteIndex":0},"schema":"https://github.com/citation-style-language/schema/raw/master/csl-citation.json"}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[9], [10]</w:t>
      </w:r>
      <w:r w:rsidRPr="00113825">
        <w:rPr>
          <w:rFonts w:cstheme="majorHAnsi"/>
          <w:szCs w:val="20"/>
        </w:rPr>
        <w:fldChar w:fldCharType="end"/>
      </w:r>
      <w:r w:rsidRPr="00113825">
        <w:rPr>
          <w:rFonts w:cstheme="majorHAnsi"/>
          <w:szCs w:val="20"/>
        </w:rPr>
        <w:t xml:space="preserve"> and economic sustainability of harvesting these </w:t>
      </w:r>
      <w:r w:rsidRPr="00113825">
        <w:rPr>
          <w:rFonts w:cstheme="majorHAnsi"/>
          <w:szCs w:val="20"/>
        </w:rPr>
        <w:fldChar w:fldCharType="begin" w:fldLock="1"/>
      </w:r>
      <w:r w:rsidR="0089363E" w:rsidRPr="00113825">
        <w:rPr>
          <w:rFonts w:cstheme="majorHAnsi"/>
          <w:szCs w:val="20"/>
        </w:rPr>
        <w:instrText>ADDIN CSL_CITATION {"citationItems":[{"id":"ITEM-1","itemData":{"DOI":"10.1002/wene.307","abstract":"Stump harvesting is defined as an intensification of forest management in comparison with stem-only harvesting and removal of tops and branches. It increases soil mixing and the proportion of bare soil. In contrast to earlier hypotheses, stump harvesting was found to reduce emissions of carbon dioxide (CO2), nitrous oxide, and methane in the short term. In the long term, heterotrophic soil CO2 evolution is reduced. Both model and empirical studies indicate that stump removal can reduce the soil organic carbon (SOC) pool in the short term, but long-term experiments (32–39 years) could not verify any SOC decline. Life cycle assessment studies showed that stumps as fuel resulted in markedly lower emissions of CO2 into the atmosphere, viewed over a whole forest rotation compared to heating by natural gas and coal. Stump removal does not seem to affect timber production in the next forest rotation and often reduces the infection rate of root rot. It increases the natural regeneration of birch and pine, it can increase nitrate leaching at N-rich sites, and it can increase the number of water-filled cavities where methylmercury is formed. Stump extraction decreases the amount of dwarf shrubs in young clear-cuts, but after 1–2 decades, these species are generally recovered. Many species dependent on dead wood are adversely affected by intense stump harvest. Model studies suggest that the risk of species extinction is small when only 10% of the total clear-cut area in the forest landscape is stump harvested, but the risk of extinction rises at increasing extraction intensities. This article is categorized under: Bioenergy &gt; Climate and Environment Energy and Climate &gt; Climate and Environment Energy and Development &gt; Climate and Environment","author":[{"dropping-particle":"","family":"Persson","given":"Tryggve","non-dropping-particle":"","parse-names":false,"suffix":""},{"dropping-particle":"","family":"Egnell","given":"Gustaf","non-dropping-particle":"","parse-names":false,"suffix":""}],"container-title":"WIREs Energy and Environment","id":"ITEM-1","issue":"6","issued":{"date-parts":[["2018"]]},"page":"e307","title":"Stump harvesting for bioenergy: A review of climatic and environmental impacts in northern Europe and America","type":"article-journal","volume":"7"},"uris":["http://www.mendeley.com/documents/?uuid=b52d82d5-514e-4417-94cb-305d29ec6982"]}],"mendeley":{"formattedCitation":"[11]","plainTextFormattedCitation":"[11]","previouslyFormattedCitation":"(Persson and Egnell, 2018)"},"properties":{"noteIndex":0},"schema":"https://github.com/citation-style-language/schema/raw/master/csl-citation.json"}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[11]</w:t>
      </w:r>
      <w:r w:rsidRPr="00113825">
        <w:rPr>
          <w:rFonts w:cstheme="majorHAnsi"/>
          <w:szCs w:val="20"/>
        </w:rPr>
        <w:fldChar w:fldCharType="end"/>
      </w:r>
      <w:r w:rsidRPr="00113825">
        <w:rPr>
          <w:rFonts w:cstheme="majorHAnsi"/>
          <w:szCs w:val="20"/>
        </w:rPr>
        <w:t xml:space="preserve">.  </w:t>
      </w:r>
    </w:p>
    <w:p w14:paraId="36D98EAB" w14:textId="77777777" w:rsidR="008C7B26" w:rsidRPr="00113825" w:rsidRDefault="008C7B26" w:rsidP="00C53CF3">
      <w:pPr>
        <w:keepNext/>
        <w:spacing w:after="120" w:line="240" w:lineRule="auto"/>
        <w:jc w:val="center"/>
        <w:rPr>
          <w:rFonts w:asciiTheme="minorHAnsi" w:hAnsiTheme="minorHAnsi"/>
          <w:sz w:val="22"/>
        </w:rPr>
      </w:pPr>
      <w:r w:rsidRPr="00113825">
        <w:rPr>
          <w:noProof/>
        </w:rPr>
        <w:drawing>
          <wp:inline distT="0" distB="0" distL="0" distR="0" wp14:anchorId="46C81659" wp14:editId="174DF659">
            <wp:extent cx="4700016" cy="2496312"/>
            <wp:effectExtent l="57150" t="57150" r="120015" b="1136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_PF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0016" cy="24963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856552" w14:textId="08FD4397" w:rsidR="00125026" w:rsidRPr="00113825" w:rsidRDefault="008C7B26" w:rsidP="00125026">
      <w:pPr>
        <w:spacing w:after="200" w:line="240" w:lineRule="auto"/>
        <w:jc w:val="center"/>
        <w:rPr>
          <w:i/>
          <w:iCs/>
          <w:sz w:val="22"/>
          <w:szCs w:val="18"/>
        </w:rPr>
      </w:pPr>
      <w:bookmarkStart w:id="1" w:name="_Ref26796285"/>
      <w:r w:rsidRPr="00113825">
        <w:rPr>
          <w:i/>
          <w:iCs/>
          <w:szCs w:val="18"/>
        </w:rPr>
        <w:t xml:space="preserve">Figure </w:t>
      </w:r>
      <w:r w:rsidRPr="00113825">
        <w:rPr>
          <w:i/>
          <w:iCs/>
          <w:szCs w:val="18"/>
        </w:rPr>
        <w:fldChar w:fldCharType="begin"/>
      </w:r>
      <w:r w:rsidRPr="00113825">
        <w:rPr>
          <w:i/>
          <w:iCs/>
          <w:szCs w:val="18"/>
        </w:rPr>
        <w:instrText xml:space="preserve"> SEQ Figure \* ARABIC </w:instrText>
      </w:r>
      <w:r w:rsidRPr="00113825">
        <w:rPr>
          <w:i/>
          <w:iCs/>
          <w:szCs w:val="18"/>
        </w:rPr>
        <w:fldChar w:fldCharType="separate"/>
      </w:r>
      <w:r w:rsidR="00113825">
        <w:rPr>
          <w:i/>
          <w:iCs/>
          <w:noProof/>
          <w:szCs w:val="18"/>
        </w:rPr>
        <w:t>1</w:t>
      </w:r>
      <w:r w:rsidRPr="00113825">
        <w:rPr>
          <w:i/>
          <w:iCs/>
          <w:szCs w:val="18"/>
        </w:rPr>
        <w:fldChar w:fldCharType="end"/>
      </w:r>
      <w:bookmarkEnd w:id="1"/>
      <w:r w:rsidR="007B1E76" w:rsidRPr="00113825">
        <w:rPr>
          <w:i/>
          <w:iCs/>
          <w:szCs w:val="18"/>
        </w:rPr>
        <w:t>:</w:t>
      </w:r>
      <w:r w:rsidRPr="00113825">
        <w:rPr>
          <w:i/>
          <w:iCs/>
          <w:szCs w:val="18"/>
        </w:rPr>
        <w:t xml:space="preserve"> </w:t>
      </w:r>
      <w:r w:rsidR="00125026" w:rsidRPr="00113825">
        <w:rPr>
          <w:i/>
          <w:iCs/>
          <w:szCs w:val="18"/>
        </w:rPr>
        <w:t>Primary forestry residues (PFR) and streams considered in this study</w:t>
      </w:r>
    </w:p>
    <w:p w14:paraId="3FBFC3DC" w14:textId="3DFB20BE" w:rsidR="00125026" w:rsidRPr="00113825" w:rsidRDefault="000C4808" w:rsidP="00985370">
      <w:pPr>
        <w:jc w:val="both"/>
        <w:rPr>
          <w:rFonts w:cstheme="majorHAnsi"/>
          <w:szCs w:val="20"/>
        </w:rPr>
      </w:pPr>
      <w:r w:rsidRPr="00113825">
        <w:rPr>
          <w:rFonts w:cstheme="majorHAnsi"/>
          <w:szCs w:val="20"/>
        </w:rPr>
        <w:t xml:space="preserve">When it comes to spatial quantification of PFRs, the methods, in general, have improved in the last 10 years, but due to lack of standardization, there is still a major concern in the user community on the methods and practices being used </w:t>
      </w:r>
      <w:r w:rsidR="00125026" w:rsidRPr="00113825">
        <w:rPr>
          <w:rFonts w:cstheme="majorHAnsi"/>
          <w:szCs w:val="20"/>
        </w:rPr>
        <w:fldChar w:fldCharType="begin" w:fldLock="1"/>
      </w:r>
      <w:r w:rsidR="0089363E" w:rsidRPr="00113825">
        <w:rPr>
          <w:rFonts w:cstheme="majorHAnsi"/>
          <w:szCs w:val="20"/>
        </w:rPr>
        <w:instrText>ADDIN CSL_CITATION {"citationItems":[{"id":"ITEM-1","itemData":{"DOI":"10.4267/2042/56558","ISSN":"0035-2829","abstract":"La mobilisation de la ressource forestière aujourd'hui et demain Alain Thivolle-Cazat – Élisabeth Le Net La question de la fertilité des sols n'était pas une préoccupation majeure des forestiers jusqu'il y a peu, mais cela pourrait changer à l'avenir, en lien avec des modifications importantes de la mobili-sation de la ressource forestière. Plusieurs éléments de contexte y concourent. La volonté politique d'augmenter fortement la récolte de bois (de 21 millions de m 3 entre 2008 et 2020) concerne les usages énergétiques mais aussi matériaux, dans le double but d'atteindre l'objectif de 23 % de la part des énergies renouvelables dans le mix énergétique national, et de réduire le déficit de la balance commerciale de la filière bois. Cette question doit s'apprécier dans le contexte plus large de la transition énergétique vers les énergies renouvelables ; la biomasse forestière en constitue un élément de contexte important. De façon plus large encore, de nouveaux modèles de développement, plus sobres en énergie (fossile en particulier), et utilisant le bois comme lieu de stockage du carbone, que ce soit en forêt ou dans les produits bois (construction, ameublement…) sont également envisagés. La mobilisation de la ressource forestière risque ainsi d'être soumise à des tensions croissantes. L' intensification de la récolte forestière peut se faire de différentes façons, notamment par le prélè-vement dans certaines conditions de bois de faible diamètre (tiges et branches, riches en éléments minéraux) ou des souches, occasionnant diverses perturbations du sol (minéralisation accrue des litières forestières, déstockage du carbone). Les travaux forestiers connaissent en parallèle d'importantes évolutions. Ainsi, du fait de la raréfac-tion de la main-d'oeuvre et de la nécessité d'améliorer l'efficacité technique et économique des approvisionnements de la filière bois, la mécanisation des travaux en forêt s'accélère. Les engins sont plus lourds, les contraintes économiques tendent à imposer l'exploitation forestière toute l'année, même lorsque les conditions météorologiques ne sont pas favorables (hors gel et sur sols gorgés d'eau, voir Bigot et al., 2014).","author":[{"dropping-particle":"","family":"THIVOLLE-CAZAT","given":"Alain","non-dropping-particle":"","parse-names":false,"suffix":""},{"dropping-particle":"","family":"NET","given":"Élisabeth","non-dropping-particle":"LE","parse-names":false,"suffix":""}],"container-title":"Revue Forestière Française","id":"ITEM-1","issue":"4","issued":{"date-parts":[["2015"]]},"page":"Fr.], ISSN 0035","title":"La mobilisation de la ressource forestière aujourd’hui et demain","type":"article-journal"},"uris":["http://www.mendeley.com/documents/?uuid=03e132a6-4bb2-4e05-b8b3-0ddde34c0c27"]},{"id":"ITEM-2","itemData":{"DOI":"10.1139/cjfr-2018-0080","ISSN":"0045-5067","author":[{"dropping-particle":"","family":"Barrette","given":"Julie","non-dropping-particle":"","parse-names":false,"suffix":""},{"dropping-particle":"","family":"Paré","given":"David","non-dropping-particle":"","parse-names":false,"suffix":""},{"dropping-particle":"","family":"Manka","given":"Francis","non-dropping-particle":"","parse-names":false,"suffix":""},{"dropping-particle":"","family":"Guindon","given":"Luc","non-dropping-particle":"","parse-names":false,"suffix":""},{"dropping-particle":"","family":"Bernier","given":"Pierre","non-dropping-particle":"","parse-names":false,"suffix":""},{"dropping-particle":"","family":"Titus","given":"Brian","non-dropping-particle":"","parse-names":false,"suffix":""}],"container-title":"Canadian Journal of Forest Research","id":"ITEM-2","issue":"12","issued":{"date-parts":[["2018","12"]]},"page":"1470-1481","title":"Forecasting the spatial distribution of logging residues across the Canadian managed forest","type":"article-journal","volume":"48"},"uris":["http://www.mendeley.com/documents/?uuid=4794e021-1c40-4b32-9942-3777c7161f55"]}],"mendeley":{"formattedCitation":"[12], [13]","plainTextFormattedCitation":"[12], [13]","previouslyFormattedCitation":"(THIVOLLE-CAZAT and LE NET, 2015; Barrette &lt;i&gt;et al.&lt;/i&gt;, 2018)"},"properties":{"noteIndex":0},"schema":"https://github.com/citation-style-language/schema/raw/master/csl-citation.json"}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[12], [13]</w:t>
      </w:r>
      <w:r w:rsidR="00125026" w:rsidRPr="00113825">
        <w:rPr>
          <w:rFonts w:cstheme="majorHAnsi"/>
          <w:szCs w:val="20"/>
        </w:rPr>
        <w:fldChar w:fldCharType="end"/>
      </w:r>
      <w:r w:rsidR="00125026" w:rsidRPr="00113825">
        <w:rPr>
          <w:rFonts w:cstheme="majorHAnsi"/>
          <w:szCs w:val="20"/>
        </w:rPr>
        <w:t xml:space="preserve">. Apart from this, the availability </w:t>
      </w:r>
      <w:r w:rsidRPr="00113825">
        <w:rPr>
          <w:rFonts w:cstheme="majorHAnsi"/>
          <w:szCs w:val="20"/>
        </w:rPr>
        <w:t>of</w:t>
      </w:r>
      <w:r w:rsidR="00125026" w:rsidRPr="00113825">
        <w:rPr>
          <w:rFonts w:cstheme="majorHAnsi"/>
          <w:szCs w:val="20"/>
        </w:rPr>
        <w:t xml:space="preserve"> forest data </w:t>
      </w:r>
      <w:r w:rsidR="00985370" w:rsidRPr="00113825">
        <w:rPr>
          <w:rFonts w:cstheme="majorHAnsi"/>
          <w:szCs w:val="20"/>
        </w:rPr>
        <w:t xml:space="preserve">on </w:t>
      </w:r>
      <w:r w:rsidR="00125026" w:rsidRPr="00113825">
        <w:rPr>
          <w:rFonts w:cstheme="majorHAnsi"/>
          <w:szCs w:val="20"/>
        </w:rPr>
        <w:t xml:space="preserve">forest classes, species, </w:t>
      </w:r>
      <w:r w:rsidRPr="00113825">
        <w:rPr>
          <w:rFonts w:cstheme="majorHAnsi"/>
          <w:szCs w:val="20"/>
        </w:rPr>
        <w:t>annual increment, expansion factors, etc.</w:t>
      </w:r>
      <w:r w:rsidR="00125026" w:rsidRPr="00113825">
        <w:rPr>
          <w:rFonts w:cstheme="majorHAnsi"/>
          <w:szCs w:val="20"/>
        </w:rPr>
        <w:t xml:space="preserve"> is a major limiting factor for such assessments, as most of the methods do not account for</w:t>
      </w:r>
      <w:r w:rsidR="00985370" w:rsidRPr="00113825">
        <w:rPr>
          <w:rFonts w:cstheme="majorHAnsi"/>
          <w:szCs w:val="20"/>
        </w:rPr>
        <w:t xml:space="preserve"> </w:t>
      </w:r>
      <w:r w:rsidR="00985370" w:rsidRPr="00113825">
        <w:rPr>
          <w:rFonts w:cstheme="majorHAnsi"/>
          <w:szCs w:val="20"/>
        </w:rPr>
        <w:lastRenderedPageBreak/>
        <w:t>these factors</w:t>
      </w:r>
      <w:r w:rsidR="00125026" w:rsidRPr="00113825">
        <w:rPr>
          <w:rFonts w:cstheme="majorHAnsi"/>
          <w:szCs w:val="20"/>
        </w:rPr>
        <w:t xml:space="preserve">. This is especially true for regions with diverse physiography </w:t>
      </w:r>
      <w:r w:rsidR="00125026" w:rsidRPr="00113825">
        <w:rPr>
          <w:rFonts w:cstheme="majorHAnsi"/>
          <w:szCs w:val="20"/>
        </w:rPr>
        <w:fldChar w:fldCharType="begin" w:fldLock="1"/>
      </w:r>
      <w:r w:rsidR="0089363E" w:rsidRPr="00113825">
        <w:rPr>
          <w:rFonts w:cstheme="majorHAnsi"/>
          <w:szCs w:val="20"/>
        </w:rPr>
        <w:instrText>ADDIN CSL_CITATION {"citationItems":[{"id":"ITEM-1","itemData":{"ISBN":"9789533071138","author":[{"dropping-particle":"","family":"Návar","given":"José","non-dropping-particle":"","parse-names":false,"suffix":""}],"chapter-number":"2","container-title":"Biomass","editor":[{"dropping-particle":"","family":"Momba","given":"Maggie","non-dropping-particle":"","parse-names":false,"suffix":""},{"dropping-particle":"","family":"Bux","given":"Faizal","non-dropping-particle":"","parse-names":false,"suffix":""}],"id":"ITEM-1","issued":{"date-parts":[["2010"]]},"page":"27-64","publisher":"Sciyo: Rijeka, Croatia","title":"Measurement and assessment methods of forest aboveground biomass: a literature review and the challenges ahead","type":"chapter"},"uris":["http://www.mendeley.com/documents/?uuid=d14b73f1-c94c-4e36-8b1b-b503e019f613"]}],"mendeley":{"formattedCitation":"[14]","plainTextFormattedCitation":"[14]","previouslyFormattedCitation":"(Návar, 2010)"},"properties":{"noteIndex":0},"schema":"https://github.com/citation-style-language/schema/raw/master/csl-citation.json"}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[14]</w:t>
      </w:r>
      <w:r w:rsidR="00125026" w:rsidRPr="00113825">
        <w:rPr>
          <w:rFonts w:cstheme="majorHAnsi"/>
          <w:szCs w:val="20"/>
        </w:rPr>
        <w:fldChar w:fldCharType="end"/>
      </w:r>
      <w:r w:rsidR="00125026" w:rsidRPr="00113825">
        <w:rPr>
          <w:rFonts w:cstheme="majorHAnsi"/>
          <w:szCs w:val="20"/>
        </w:rPr>
        <w:t>. One well-known forest data inventory is FAO’s “</w:t>
      </w:r>
      <w:r w:rsidR="00125026" w:rsidRPr="00113825">
        <w:rPr>
          <w:rFonts w:cstheme="majorHAnsi"/>
          <w:i/>
          <w:szCs w:val="20"/>
        </w:rPr>
        <w:t>Forest Resource Assessments”</w:t>
      </w:r>
      <w:r w:rsidR="00125026" w:rsidRPr="00113825">
        <w:rPr>
          <w:rFonts w:cstheme="majorHAnsi"/>
          <w:szCs w:val="20"/>
        </w:rPr>
        <w:t xml:space="preserve"> (FRAs) </w:t>
      </w:r>
      <w:r w:rsidR="00125026" w:rsidRPr="00113825">
        <w:rPr>
          <w:rFonts w:cstheme="majorHAnsi"/>
          <w:szCs w:val="20"/>
        </w:rPr>
        <w:fldChar w:fldCharType="begin" w:fldLock="1"/>
      </w:r>
      <w:r w:rsidR="0089363E" w:rsidRPr="00113825">
        <w:rPr>
          <w:rFonts w:cstheme="majorHAnsi"/>
          <w:szCs w:val="20"/>
        </w:rPr>
        <w:instrText>ADDIN CSL_CITATION {"citationItems":[{"id":"ITEM-1","itemData":{"DOI":"10.1002/2014GB005021","ISBN":"978-92-5-108826-5","abstract":"sustainably managed forests provide essential goods and services and thus play a vital part in sustainable development. reliable and up-to-date information on the state of forest resources is crucial to support decision-making for investment and policymaking in forestry and sustainable development. Fao, at the request of its member countries, regularly monitors the world´s forests and their management and uses through the Global Forest resources assessment (Fra). more information on the Fra 2015 process, other publications and online database is available on the Fra web site (www.fao.org/forestry/fra ). the Fra process is coordinated by the Forestry Department at Fao headquarters in rome in coordination with partners in the collaborative Forest resources Questionnaire (cFrQ). these six partners are: the central african Forest commission (comIFac/ oFac), Fao, Forest euroPe, the International tropical timber organization (Itto), the montréal Process, and the united nations economic commission for europe (unece).","author":[{"dropping-particle":"","family":"Food and Agriculture Organization—FAO","given":"","non-dropping-particle":"","parse-names":false,"suffix":""}],"container-title":"Desk Reference","id":"ITEM-1","issued":{"date-parts":[["2015"]]},"number-of-pages":"244","title":"Global Forest Resources Assessment 2015","type":"book"},"uris":["http://www.mendeley.com/documents/?uuid=c660c686-f1f1-431a-b08d-ce7864de1456"]}],"mendeley":{"formattedCitation":"[15]","plainTextFormattedCitation":"[15]","previouslyFormattedCitation":"(Food and Agriculture Organization—FAO, 2015)"},"properties":{"noteIndex":0},"schema":"https://github.com/citation-style-language/schema/raw/master/csl-citation.json"}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[15]</w:t>
      </w:r>
      <w:r w:rsidR="00125026" w:rsidRPr="00113825">
        <w:rPr>
          <w:rFonts w:cstheme="majorHAnsi"/>
          <w:szCs w:val="20"/>
        </w:rPr>
        <w:fldChar w:fldCharType="end"/>
      </w:r>
      <w:r w:rsidR="00125026" w:rsidRPr="00113825">
        <w:rPr>
          <w:rFonts w:cstheme="majorHAnsi"/>
          <w:szCs w:val="20"/>
        </w:rPr>
        <w:t xml:space="preserve">, which provides spatial data on forest statistics. Although valuable, the spatial data provided by FRAs are at best at the country scale, making them unsuitable for high-resolution mapping for use in developing local deployment strategies. In addition to FRAs, the National Forest Inventories (NFIs) also provide comprehensive data on forestry </w:t>
      </w:r>
      <w:r w:rsidR="00125026" w:rsidRPr="00113825">
        <w:rPr>
          <w:rFonts w:cstheme="majorHAnsi"/>
          <w:szCs w:val="20"/>
        </w:rPr>
        <w:fldChar w:fldCharType="begin" w:fldLock="1"/>
      </w:r>
      <w:r w:rsidR="0089363E" w:rsidRPr="00113825">
        <w:rPr>
          <w:rFonts w:cstheme="majorHAnsi"/>
          <w:szCs w:val="20"/>
        </w:rPr>
        <w:instrText>ADDIN CSL_CITATION {"citationItems":[{"id":"ITEM-1","itemData":{"URL":"https://inventaire-forestier.ign.fr/spip.php?rubrique159","accessed":{"date-parts":[["2019","9","6"]]},"id":"ITEM-1","issued":{"date-parts":[["0"]]},"title":"Raw data - FOREST INVENTORY","type":"webpage"},"uris":["http://www.mendeley.com/documents/?uuid=6eb01dfc-5bff-35a7-b1c7-c57a17e7994e"]}],"mendeley":{"formattedCitation":"[16]","plainTextFormattedCitation":"[16]","previouslyFormattedCitation":"(&lt;i&gt;Raw data - FOREST INVENTORY&lt;/i&gt;, no date)"},"properties":{"noteIndex":0},"schema":"https://github.com/citation-style-language/schema/raw/master/csl-citation.json"}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[16]</w:t>
      </w:r>
      <w:r w:rsidR="00125026" w:rsidRPr="00113825">
        <w:rPr>
          <w:rFonts w:cstheme="majorHAnsi"/>
          <w:szCs w:val="20"/>
        </w:rPr>
        <w:fldChar w:fldCharType="end"/>
      </w:r>
      <w:r w:rsidR="00125026" w:rsidRPr="00113825">
        <w:rPr>
          <w:rFonts w:cstheme="majorHAnsi"/>
          <w:szCs w:val="20"/>
        </w:rPr>
        <w:t xml:space="preserve">. These data can be useful at sub-regional, regional or country scales, but, at larger scales (Continental or Global) the use of NFIs would be erroneous due to the lack of harmonization in definitions and methods </w:t>
      </w:r>
      <w:r w:rsidR="00125026" w:rsidRPr="00113825">
        <w:rPr>
          <w:rFonts w:cstheme="majorHAnsi"/>
          <w:szCs w:val="20"/>
        </w:rPr>
        <w:fldChar w:fldCharType="begin" w:fldLock="1"/>
      </w:r>
      <w:r w:rsidR="0089363E" w:rsidRPr="00113825">
        <w:rPr>
          <w:rFonts w:cstheme="majorHAnsi"/>
          <w:szCs w:val="20"/>
        </w:rPr>
        <w:instrText>ADDIN CSL_CITATION {"citationItems":[{"id":"ITEM-1","itemData":{"DOI":"10.1007/s13595-016-0545-6","ISSN":"1297966X","abstract":"Context Forest reporting presents a series of challenges for countries, owing to diverse processes at international level such as the Global Forest Resources Assessment (FRA), Convention on Biological Diversity, United Nations Framework Convention on Climate Change and its Kyoto Protocol. Further challenges are faced at European level with Forest Europe and policy needs. Aims The aim of this paper is to provide a comprehen- sive review of the national and international forest reporting processes and of the role of the National Forest Inventories (NFIs) and the long-associated challenges resulting from a lack of comparability in defini- tions used. In addition, there is a discussion on the role of the European National Forest Inventory Network (ENFIN) as a facilitator for enhancing harmonization and comparability of national data and the ancillary infor- mation required to monitor European forestry-related policies. Methods NFIs take part to international reporting processes as providers of information. They are correspondent to the FRA process, and then they know very well the context of harmonization. Participating in the ENFIN research projects, NFIs, and particularly authors, conducted a screening exercise on harmonization status at European andWorld level. &amp; Results This review article is a synthesis of the main findings of the abovementioned screening exercise. It highlights the main gaps in terms of comparability of result in international reporting. Thanks toENFIN harmonization research project, it gives same ways of working as a possible benchmark for the rest of the world. Conclusion Based on the international reporting exercises, their interactions, and impacts on new forestry policy require- ments, the need for a strengthened harmonization process can clearly bedemonstrated. Due toEuropeanpolicyneeds,re- search work within ENFIN has been initiated to develop tools for building comparable results at international level. This work is an important benchmark particularly for countries outside Europe from which to base future harmonization work.","author":[{"dropping-particle":"","family":"Vidal","given":"Claude","non-dropping-particle":"","parse-names":false,"suffix":""},{"dropping-particle":"","family":"Alberdi","given":"Iciar","non-dropping-particle":"","parse-names":false,"suffix":""},{"dropping-particle":"","family":"Redmond","given":"John","non-dropping-particle":"","parse-names":false,"suffix":""},{"dropping-particle":"","family":"Vestman","given":"Martin","non-dropping-particle":"","parse-names":false,"suffix":""},{"dropping-particle":"","family":"Lanz","given":"Adrian","non-dropping-particle":"","parse-names":false,"suffix":""},{"dropping-particle":"","family":"Schadauer","given":"Klemens","non-dropping-particle":"","parse-names":false,"suffix":""}],"container-title":"Annals of Forest Science","id":"ITEM-1","issue":"4","issued":{"date-parts":[["2016"]]},"page":"793-806","publisher":"Annals of Forest Science","title":"The role of European National Forest Inventories for international forestry reporting","type":"article-journal","volume":"73"},"uris":["http://www.mendeley.com/documents/?uuid=e7a98992-6a2b-4d51-9c98-142a1e4ba642"]}],"mendeley":{"formattedCitation":"[17]","plainTextFormattedCitation":"[17]","previouslyFormattedCitation":"(Vidal &lt;i&gt;et al.&lt;/i&gt;, 2016)"},"properties":{"noteIndex":0},"schema":"https://github.com/citation-style-language/schema/raw/master/csl-citation.json"}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[17]</w:t>
      </w:r>
      <w:r w:rsidR="00125026" w:rsidRPr="00113825">
        <w:rPr>
          <w:rFonts w:cstheme="majorHAnsi"/>
          <w:szCs w:val="20"/>
        </w:rPr>
        <w:fldChar w:fldCharType="end"/>
      </w:r>
      <w:r w:rsidR="00125026" w:rsidRPr="00113825">
        <w:rPr>
          <w:rFonts w:cstheme="majorHAnsi"/>
          <w:szCs w:val="20"/>
        </w:rPr>
        <w:t xml:space="preserve">. For example, the Swiss NFI only measures trees with the diameter at breast height (d.b.h.) ≥ 12 cm for quantifying growing stock </w:t>
      </w:r>
      <w:r w:rsidR="00125026" w:rsidRPr="00113825">
        <w:rPr>
          <w:rFonts w:cstheme="majorHAnsi"/>
          <w:szCs w:val="20"/>
        </w:rPr>
        <w:fldChar w:fldCharType="begin" w:fldLock="1"/>
      </w:r>
      <w:r w:rsidR="0089363E" w:rsidRPr="00113825">
        <w:rPr>
          <w:rFonts w:cstheme="majorHAnsi"/>
          <w:szCs w:val="20"/>
        </w:rPr>
        <w:instrText>ADDIN CSL_CITATION {"citationItems":[{"id":"ITEM-1","itemData":{"DOI":"10.1007/s13595-016-0554-5","ISSN":"1297966X","abstract":"© 2016, INRA and Springer-Verlag France. Key message: The increment estimation methods of European NFIs were explored by means of 12 essential NFI features. The results indicate various differences among NFIs within the commonly acknowledged methodological frame. The perspectives for harmonisation at the European level are promising. Context: The estimation of increment is implemented differently in European National Forest Inventories (NFIs) due to different historical origins of NFIs and sampling designs and field assessments accommodated to country-specific conditions. The aspired harmonisation of increment estimation requires a comparison and an analysis of NFI methods. Aims: The objective was to investigate the differences in volume increment estimation methods used in European NFIs. The conducted work shall set a basis for harmonisation at the European level which is needed to improve information on forest resources for various strategic processes. Methods: A comprehensive enquiry was conducted during Cost Action FP1001 to explore the methods of increment estimation of 29 European NFIs. The enquiry built upon the preceding Cost Action E43 and was complemented by an analysis of literature to demonstrate the methodological backgrounds. Results: The comparison of methods revealed differences concerning the NFI features such as sampling grids, periodicity of assessments, permanent and temporary plots, use of remote sensing, sample tree selection, components of forest growth, forest area changes, sampling thresholds, field measurements, drain assessment, involved models and tree parts included in estimates. Conclusion: Increment estimation methods differ considerably among European NFIs. Their harmonisation introduces new issues into the harmonisation process. Recent accomplishments and the increased use of sample-based inventories in Europe make perspectives for harmonised reporting of increment estimation promising.","author":[{"dropping-particle":"","family":"Gschwantner","given":"Thomas","non-dropping-particle":"","parse-names":false,"suffix":""},{"dropping-particle":"","family":"Lanz","given":"Adrian","non-dropping-particle":"","parse-names":false,"suffix":""},{"dropping-particle":"","family":"Vidal","given":"Claude","non-dropping-particle":"","parse-names":false,"suffix":""},{"dropping-particle":"","family":"Bosela","given":"Michal","non-dropping-particle":"","parse-names":false,"suffix":""},{"dropping-particle":"","family":"Cosmo","given":"Lucio","non-dropping-particle":"Di","parse-names":false,"suffix":""},{"dropping-particle":"","family":"Fridman","given":"Jonas","non-dropping-particle":"","parse-names":false,"suffix":""},{"dropping-particle":"","family":"Gasparini","given":"Patrizia","non-dropping-particle":"","parse-names":false,"suffix":""},{"dropping-particle":"","family":"Kuliešis","given":"Andrius","non-dropping-particle":"","parse-names":false,"suffix":""},{"dropping-particle":"","family":"Tomter","given":"Stein","non-dropping-particle":"","parse-names":false,"suffix":""},{"dropping-particle":"","family":"Schadauer","given":"Klemens","non-dropping-particle":"","parse-names":false,"suffix":""}],"container-title":"Annals of Forest Science","id":"ITEM-1","issue":"4","issued":{"date-parts":[["2016"]]},"page":"807-821","title":"Comparison of methods used in European National Forest Inventories for the estimation of volume increment: towards harmonisation","type":"article-journal","volume":"73"},"uris":["http://www.mendeley.com/documents/?uuid=ab89a3ae-6de0-459d-ac66-fee1049a0c67"]}],"mendeley":{"formattedCitation":"[18]","plainTextFormattedCitation":"[18]","previouslyFormattedCitation":"(Gschwantner &lt;i&gt;et al.&lt;/i&gt;, 2016)"},"properties":{"noteIndex":0},"schema":"https://github.com/citation-style-language/schema/raw/master/csl-citation.json"}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[18]</w:t>
      </w:r>
      <w:r w:rsidR="00125026" w:rsidRPr="00113825">
        <w:rPr>
          <w:rFonts w:cstheme="majorHAnsi"/>
          <w:szCs w:val="20"/>
        </w:rPr>
        <w:fldChar w:fldCharType="end"/>
      </w:r>
      <w:r w:rsidR="00125026" w:rsidRPr="00113825">
        <w:rPr>
          <w:rFonts w:cstheme="majorHAnsi"/>
          <w:szCs w:val="20"/>
        </w:rPr>
        <w:t xml:space="preserve">, whereas this threshold is 0 cm in the reference definition of </w:t>
      </w:r>
      <w:r w:rsidR="00CD2293" w:rsidRPr="00113825">
        <w:rPr>
          <w:rFonts w:cstheme="majorHAnsi"/>
          <w:szCs w:val="20"/>
        </w:rPr>
        <w:t xml:space="preserve">Cost Action E43 </w:t>
      </w:r>
      <w:r w:rsidR="00125026" w:rsidRPr="00113825">
        <w:rPr>
          <w:rFonts w:cstheme="majorHAnsi"/>
          <w:szCs w:val="20"/>
        </w:rPr>
        <w:fldChar w:fldCharType="begin" w:fldLock="1"/>
      </w:r>
      <w:r w:rsidR="0089363E" w:rsidRPr="00113825">
        <w:rPr>
          <w:rFonts w:cstheme="majorHAnsi"/>
          <w:szCs w:val="20"/>
        </w:rPr>
        <w:instrText>ADDIN CSL_CITATION {"citationItems":[{"id":"ITEM-1","itemData":{"author":[{"dropping-particle":"","family":"COST","given":"","non-dropping-particle":"","parse-names":false,"suffix":""}],"id":"ITEM-1","issued":{"date-parts":[["2008"]]},"page":"43","title":"COST Action E43 Harmonisation of national Inventories in Europe : Techniques for Common Reporting","type":"article-journal"},"uris":["http://www.mendeley.com/documents/?uuid=69420ff3-6a0e-428b-87d1-df3c561a1e14"]}],"mendeley":{"formattedCitation":"[19]","plainTextFormattedCitation":"[19]","previouslyFormattedCitation":"(COST, 2008)"},"properties":{"noteIndex":0},"schema":"https://github.com/citation-style-language/schema/raw/master/csl-citation.json"}</w:instrText>
      </w:r>
      <w:r w:rsidR="00125026" w:rsidRPr="00113825">
        <w:rPr>
          <w:rFonts w:cstheme="majorHAnsi"/>
          <w:szCs w:val="20"/>
        </w:rPr>
        <w:fldChar w:fldCharType="separate"/>
      </w:r>
      <w:r w:rsidR="0089363E" w:rsidRPr="00113825">
        <w:rPr>
          <w:rFonts w:cstheme="majorHAnsi"/>
          <w:noProof/>
          <w:szCs w:val="20"/>
        </w:rPr>
        <w:t>[19]</w:t>
      </w:r>
      <w:r w:rsidR="00125026" w:rsidRPr="00113825">
        <w:rPr>
          <w:rFonts w:cstheme="majorHAnsi"/>
          <w:szCs w:val="20"/>
        </w:rPr>
        <w:fldChar w:fldCharType="end"/>
      </w:r>
      <w:r w:rsidR="00125026" w:rsidRPr="00113825">
        <w:rPr>
          <w:rFonts w:cstheme="majorHAnsi"/>
          <w:szCs w:val="20"/>
        </w:rPr>
        <w:t xml:space="preserve">. </w:t>
      </w:r>
    </w:p>
    <w:p w14:paraId="3AC993DB" w14:textId="714A7016" w:rsidR="00125026" w:rsidRPr="00113825" w:rsidRDefault="00125026" w:rsidP="00125026">
      <w:pPr>
        <w:jc w:val="both"/>
        <w:rPr>
          <w:rFonts w:cstheme="majorHAnsi"/>
          <w:szCs w:val="20"/>
        </w:rPr>
      </w:pPr>
      <w:r w:rsidRPr="00113825">
        <w:rPr>
          <w:rFonts w:cstheme="majorHAnsi"/>
          <w:szCs w:val="20"/>
        </w:rPr>
        <w:t xml:space="preserve">Furthermore, one vital consideration for spatial quantification is the scale and spatial resolution being used. For </w:t>
      </w:r>
      <w:r w:rsidR="009F6FF1" w:rsidRPr="00113825">
        <w:rPr>
          <w:rFonts w:cstheme="majorHAnsi"/>
          <w:szCs w:val="20"/>
        </w:rPr>
        <w:t>geographic information system (</w:t>
      </w:r>
      <w:r w:rsidRPr="00113825">
        <w:rPr>
          <w:rFonts w:cstheme="majorHAnsi"/>
          <w:szCs w:val="20"/>
        </w:rPr>
        <w:t>GIS</w:t>
      </w:r>
      <w:r w:rsidR="009F6FF1" w:rsidRPr="00113825">
        <w:rPr>
          <w:rFonts w:cstheme="majorHAnsi"/>
          <w:szCs w:val="20"/>
        </w:rPr>
        <w:t>)</w:t>
      </w:r>
      <w:r w:rsidRPr="00113825">
        <w:rPr>
          <w:rFonts w:cstheme="majorHAnsi"/>
          <w:szCs w:val="20"/>
        </w:rPr>
        <w:t xml:space="preserve"> applications, it is common practice to merge datasets through the use of different functions, such as map overlay. </w:t>
      </w:r>
      <w:r w:rsidR="000C4808" w:rsidRPr="00113825">
        <w:rPr>
          <w:rFonts w:cstheme="majorHAnsi"/>
          <w:szCs w:val="20"/>
        </w:rPr>
        <w:t xml:space="preserve">But if datasets </w:t>
      </w:r>
      <w:r w:rsidR="009F6FF1" w:rsidRPr="00113825">
        <w:rPr>
          <w:rFonts w:cstheme="majorHAnsi"/>
          <w:szCs w:val="20"/>
        </w:rPr>
        <w:t xml:space="preserve">do not </w:t>
      </w:r>
      <w:r w:rsidR="000C4808" w:rsidRPr="00113825">
        <w:rPr>
          <w:rFonts w:cstheme="majorHAnsi"/>
          <w:szCs w:val="20"/>
        </w:rPr>
        <w:t xml:space="preserve">have </w:t>
      </w:r>
      <w:r w:rsidR="009F6FF1" w:rsidRPr="00113825">
        <w:rPr>
          <w:rFonts w:cstheme="majorHAnsi"/>
          <w:szCs w:val="20"/>
        </w:rPr>
        <w:t>harmonized spatial resolutions then the result of the operation would be erroneous</w:t>
      </w:r>
      <w:r w:rsidRPr="00113825">
        <w:rPr>
          <w:rFonts w:cstheme="majorHAnsi"/>
          <w:szCs w:val="20"/>
        </w:rPr>
        <w:t>. In simple words, spatial scale refers to the size of a land area or geographic distance studied. However, there are various categories of scale, such as geographic, operational, measurement and cartographic and it is important that clear distinction is made amongst them. The definition of these terminologies is provided in</w:t>
      </w:r>
      <w:r w:rsidR="00DE6E0A" w:rsidRPr="00113825">
        <w:rPr>
          <w:rFonts w:cstheme="majorHAnsi"/>
          <w:i/>
          <w:szCs w:val="20"/>
        </w:rPr>
        <w:t xml:space="preserve"> </w:t>
      </w:r>
      <w:r w:rsidR="00F8342D" w:rsidRPr="00113825">
        <w:rPr>
          <w:rFonts w:cstheme="majorHAnsi"/>
          <w:i/>
          <w:szCs w:val="20"/>
        </w:rPr>
        <w:t xml:space="preserve">Table </w:t>
      </w:r>
      <w:r w:rsidR="005F1205" w:rsidRPr="00113825">
        <w:rPr>
          <w:rFonts w:cstheme="majorHAnsi"/>
          <w:i/>
          <w:szCs w:val="20"/>
        </w:rPr>
        <w:t>2</w:t>
      </w:r>
      <w:r w:rsidRPr="00113825">
        <w:rPr>
          <w:rFonts w:cstheme="majorHAnsi"/>
          <w:szCs w:val="20"/>
        </w:rPr>
        <w:t xml:space="preserve">. Most studies on spatial quantification do not consider spatial scale as an important parameter, instead, they directly use certain spatial data related to the available methods without questioning the uncertainties associated with them. For example, the use of local forest inventory statistics on a global or continental assessment would lead to a large amount of uncertainty in the analysis due to inconsistencies in geometry, attributes, and semantics owing to scale differences </w:t>
      </w:r>
      <w:r w:rsidRPr="00113825">
        <w:rPr>
          <w:rFonts w:cstheme="majorHAnsi"/>
          <w:szCs w:val="20"/>
        </w:rPr>
        <w:fldChar w:fldCharType="begin" w:fldLock="1"/>
      </w:r>
      <w:r w:rsidR="0089363E" w:rsidRPr="00113825">
        <w:rPr>
          <w:rFonts w:cstheme="majorHAnsi"/>
          <w:szCs w:val="20"/>
        </w:rPr>
        <w:instrText>ADDIN CSL_CITATION {"citationItems":[{"id":"ITEM-1","itemData":{"DOI":"10.1201/b16751","ISBN":"9780429151507","ISSN":"0007-1250","author":[{"dropping-particle":"","family":"Zhang","given":"Jingxiong","non-dropping-particle":"","parse-names":false,"suffix":""},{"dropping-particle":"","family":"Atkinson","given":"Peter","non-dropping-particle":"","parse-names":false,"suffix":""},{"dropping-particle":"","family":"Goodchild","given":"Michael F.","non-dropping-particle":"","parse-names":false,"suffix":""}],"edition":"1st Editio","id":"ITEM-1","issued":{"date-parts":[["2014","4","15"]]},"publisher":"CRC Press","publisher-place":"Boca Raton","title":"Scale in Spatial Information and Analysis","type":"book"},"uris":["http://www.mendeley.com/documents/?uuid=c6aa86f3-548f-4c84-a237-3e25a7087628"]}],"mendeley":{"formattedCitation":"[20]","plainTextFormattedCitation":"[20]","previouslyFormattedCitation":"(Zhang, Atkinson and Goodchild, 2014)"},"properties":{"noteIndex":0},"schema":"https://github.com/citation-style-language/schema/raw/master/csl-citation.json"}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[20]</w:t>
      </w:r>
      <w:r w:rsidRPr="00113825">
        <w:rPr>
          <w:rFonts w:cstheme="majorHAnsi"/>
          <w:szCs w:val="20"/>
        </w:rPr>
        <w:fldChar w:fldCharType="end"/>
      </w:r>
      <w:r w:rsidRPr="00113825">
        <w:rPr>
          <w:rFonts w:cstheme="majorHAnsi"/>
          <w:szCs w:val="20"/>
        </w:rPr>
        <w:t xml:space="preserve">. In fact, when it comes to high resolution mapping of residual biomass resources at country scales, there is no real discussion on what resolution can be considered as useful for bioeconomic purposes. </w:t>
      </w:r>
    </w:p>
    <w:p w14:paraId="623A1698" w14:textId="5D9C41D1" w:rsidR="00125026" w:rsidRPr="00113825" w:rsidRDefault="00125026" w:rsidP="00125026">
      <w:pPr>
        <w:jc w:val="both"/>
        <w:rPr>
          <w:rFonts w:cstheme="majorHAnsi"/>
          <w:szCs w:val="20"/>
        </w:rPr>
      </w:pPr>
      <w:r w:rsidRPr="00113825">
        <w:rPr>
          <w:rFonts w:cstheme="majorHAnsi"/>
          <w:szCs w:val="20"/>
        </w:rPr>
        <w:t xml:space="preserve">Globally, very few studies have attempted to spatially quantify the potential of residual biomass from forestry and none of them report the uncertainty associated with the results. Some of these studies are summarized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rPr>
        <w:t>1</w:t>
      </w:r>
      <w:r w:rsidRPr="00113825">
        <w:rPr>
          <w:rFonts w:cstheme="majorHAnsi"/>
          <w:i/>
          <w:szCs w:val="20"/>
        </w:rPr>
        <w:fldChar w:fldCharType="end"/>
      </w:r>
      <w:r w:rsidRPr="00113825">
        <w:rPr>
          <w:rFonts w:cstheme="majorHAnsi"/>
          <w:i/>
          <w:szCs w:val="20"/>
        </w:rPr>
        <w:t xml:space="preserve">, </w:t>
      </w:r>
      <w:r w:rsidRPr="00113825">
        <w:rPr>
          <w:rFonts w:cstheme="majorHAnsi"/>
          <w:szCs w:val="20"/>
        </w:rPr>
        <w:t>along with a description of the type of data used and discussions</w:t>
      </w:r>
      <w:r w:rsidRPr="00113825">
        <w:rPr>
          <w:rFonts w:cstheme="majorHAnsi"/>
          <w:i/>
          <w:szCs w:val="20"/>
        </w:rPr>
        <w:t xml:space="preserve">. </w:t>
      </w:r>
    </w:p>
    <w:p w14:paraId="4203BDF7" w14:textId="2E852A77" w:rsidR="008C7B26" w:rsidRPr="00113825" w:rsidRDefault="00125026" w:rsidP="008C7B26">
      <w:pPr>
        <w:jc w:val="both"/>
        <w:rPr>
          <w:rFonts w:cstheme="majorHAnsi"/>
          <w:szCs w:val="20"/>
        </w:rPr>
        <w:sectPr w:rsidR="008C7B26" w:rsidRPr="00113825" w:rsidSect="001665E4">
          <w:footerReference w:type="default" r:id="rId9"/>
          <w:pgSz w:w="11906" w:h="16838" w:code="9"/>
          <w:pgMar w:top="1417" w:right="1417" w:bottom="1417" w:left="1417" w:header="720" w:footer="720" w:gutter="0"/>
          <w:cols w:space="720"/>
          <w:docGrid w:linePitch="360"/>
        </w:sectPr>
      </w:pPr>
      <w:r w:rsidRPr="00113825">
        <w:rPr>
          <w:rFonts w:cstheme="majorHAnsi"/>
          <w:szCs w:val="20"/>
        </w:rPr>
        <w:tab/>
      </w:r>
      <w:r w:rsidRPr="00113825">
        <w:rPr>
          <w:rFonts w:cstheme="majorHAnsi"/>
          <w:szCs w:val="20"/>
        </w:rPr>
        <w:tab/>
      </w:r>
      <w:r w:rsidRPr="00113825">
        <w:rPr>
          <w:rFonts w:cstheme="majorHAnsi"/>
          <w:szCs w:val="20"/>
        </w:rPr>
        <w:tab/>
      </w:r>
      <w:r w:rsidRPr="00113825">
        <w:rPr>
          <w:rFonts w:cstheme="majorHAnsi"/>
          <w:szCs w:val="20"/>
        </w:rPr>
        <w:tab/>
      </w:r>
      <w:r w:rsidRPr="00113825">
        <w:rPr>
          <w:rFonts w:cstheme="majorHAnsi"/>
          <w:szCs w:val="20"/>
        </w:rPr>
        <w:tab/>
        <w:t>[</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rFonts w:cstheme="majorHAnsi"/>
          <w:szCs w:val="20"/>
        </w:rPr>
        <w:t xml:space="preserve"> here]</w:t>
      </w:r>
    </w:p>
    <w:p w14:paraId="249B927C" w14:textId="08D53176" w:rsidR="008C7B26" w:rsidRPr="00113825" w:rsidRDefault="008C7B26" w:rsidP="008C7B26">
      <w:pPr>
        <w:keepNext/>
        <w:spacing w:after="200" w:line="240" w:lineRule="auto"/>
        <w:rPr>
          <w:i/>
          <w:iCs/>
          <w:szCs w:val="18"/>
        </w:rPr>
      </w:pPr>
      <w:bookmarkStart w:id="2" w:name="_Ref26794270"/>
      <w:r w:rsidRPr="00113825">
        <w:rPr>
          <w:i/>
          <w:iCs/>
          <w:szCs w:val="18"/>
        </w:rPr>
        <w:lastRenderedPageBreak/>
        <w:t xml:space="preserve">Table </w:t>
      </w:r>
      <w:r w:rsidRPr="00113825">
        <w:rPr>
          <w:i/>
          <w:iCs/>
          <w:szCs w:val="18"/>
        </w:rPr>
        <w:fldChar w:fldCharType="begin"/>
      </w:r>
      <w:r w:rsidRPr="00113825">
        <w:rPr>
          <w:i/>
          <w:iCs/>
          <w:szCs w:val="18"/>
        </w:rPr>
        <w:instrText xml:space="preserve"> SEQ Table \* ARABIC </w:instrText>
      </w:r>
      <w:r w:rsidRPr="00113825">
        <w:rPr>
          <w:i/>
          <w:iCs/>
          <w:szCs w:val="18"/>
        </w:rPr>
        <w:fldChar w:fldCharType="separate"/>
      </w:r>
      <w:r w:rsidR="00113825">
        <w:rPr>
          <w:i/>
          <w:iCs/>
          <w:noProof/>
          <w:szCs w:val="18"/>
        </w:rPr>
        <w:t>1</w:t>
      </w:r>
      <w:r w:rsidRPr="00113825">
        <w:rPr>
          <w:i/>
          <w:iCs/>
          <w:szCs w:val="18"/>
        </w:rPr>
        <w:fldChar w:fldCharType="end"/>
      </w:r>
      <w:bookmarkEnd w:id="2"/>
      <w:r w:rsidRPr="00113825">
        <w:rPr>
          <w:i/>
          <w:iCs/>
          <w:noProof/>
          <w:szCs w:val="18"/>
        </w:rPr>
        <w:t>: Chronological list of studies on spatial quantification of Primary Forestry Residues</w:t>
      </w:r>
    </w:p>
    <w:tbl>
      <w:tblPr>
        <w:tblW w:w="1574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15"/>
        <w:gridCol w:w="2970"/>
        <w:gridCol w:w="1710"/>
        <w:gridCol w:w="1080"/>
        <w:gridCol w:w="3510"/>
        <w:gridCol w:w="5760"/>
      </w:tblGrid>
      <w:tr w:rsidR="00DE6E0A" w:rsidRPr="00113825" w14:paraId="22F88C1B" w14:textId="77777777" w:rsidTr="00C53CF3">
        <w:tc>
          <w:tcPr>
            <w:tcW w:w="715" w:type="dxa"/>
            <w:shd w:val="clear" w:color="auto" w:fill="FFD966" w:themeFill="accent4" w:themeFillTint="99"/>
          </w:tcPr>
          <w:p w14:paraId="7F4F6C25" w14:textId="77777777" w:rsidR="008C7B26" w:rsidRPr="00113825" w:rsidRDefault="008C7B26" w:rsidP="008C7B26">
            <w:pPr>
              <w:spacing w:after="0" w:line="240" w:lineRule="auto"/>
              <w:jc w:val="center"/>
              <w:rPr>
                <w:rFonts w:cstheme="majorHAnsi"/>
                <w:b/>
                <w:szCs w:val="20"/>
              </w:rPr>
            </w:pPr>
            <w:proofErr w:type="spellStart"/>
            <w:r w:rsidRPr="00113825">
              <w:rPr>
                <w:rFonts w:cstheme="majorHAnsi"/>
                <w:b/>
                <w:szCs w:val="20"/>
              </w:rPr>
              <w:t>EoA</w:t>
            </w:r>
            <w:proofErr w:type="spellEnd"/>
            <w:r w:rsidRPr="00113825">
              <w:rPr>
                <w:rFonts w:cstheme="majorHAnsi"/>
                <w:b/>
                <w:szCs w:val="20"/>
              </w:rPr>
              <w:t>*</w:t>
            </w:r>
          </w:p>
        </w:tc>
        <w:tc>
          <w:tcPr>
            <w:tcW w:w="2970" w:type="dxa"/>
            <w:shd w:val="clear" w:color="auto" w:fill="FFD966" w:themeFill="accent4" w:themeFillTint="99"/>
          </w:tcPr>
          <w:p w14:paraId="24F4C420" w14:textId="77777777" w:rsidR="008C7B26" w:rsidRPr="00113825" w:rsidRDefault="008C7B26" w:rsidP="008C7B26">
            <w:pPr>
              <w:spacing w:after="0" w:line="240" w:lineRule="auto"/>
              <w:jc w:val="center"/>
              <w:rPr>
                <w:rFonts w:cstheme="majorHAnsi"/>
                <w:b/>
                <w:szCs w:val="20"/>
              </w:rPr>
            </w:pPr>
            <w:r w:rsidRPr="00113825">
              <w:rPr>
                <w:rFonts w:cstheme="majorHAnsi"/>
                <w:b/>
                <w:szCs w:val="20"/>
              </w:rPr>
              <w:t>Brief detail about the method</w:t>
            </w:r>
          </w:p>
        </w:tc>
        <w:tc>
          <w:tcPr>
            <w:tcW w:w="1710" w:type="dxa"/>
            <w:shd w:val="clear" w:color="auto" w:fill="FFD966" w:themeFill="accent4" w:themeFillTint="99"/>
          </w:tcPr>
          <w:p w14:paraId="5D14BCB1" w14:textId="77777777" w:rsidR="008C7B26" w:rsidRPr="00113825" w:rsidRDefault="008C7B26" w:rsidP="008C7B26">
            <w:pPr>
              <w:spacing w:after="0" w:line="240" w:lineRule="auto"/>
              <w:jc w:val="center"/>
              <w:rPr>
                <w:rFonts w:cstheme="majorHAnsi"/>
                <w:b/>
                <w:szCs w:val="20"/>
              </w:rPr>
            </w:pPr>
            <w:r w:rsidRPr="00113825">
              <w:rPr>
                <w:rFonts w:cstheme="majorHAnsi"/>
                <w:b/>
                <w:szCs w:val="20"/>
              </w:rPr>
              <w:t xml:space="preserve">Scale, </w:t>
            </w:r>
            <w:proofErr w:type="spellStart"/>
            <w:r w:rsidRPr="00113825">
              <w:rPr>
                <w:rFonts w:cstheme="majorHAnsi"/>
                <w:b/>
                <w:szCs w:val="20"/>
              </w:rPr>
              <w:t>EoA</w:t>
            </w:r>
            <w:proofErr w:type="spellEnd"/>
          </w:p>
        </w:tc>
        <w:tc>
          <w:tcPr>
            <w:tcW w:w="1080" w:type="dxa"/>
            <w:shd w:val="clear" w:color="auto" w:fill="FFD966" w:themeFill="accent4" w:themeFillTint="99"/>
          </w:tcPr>
          <w:p w14:paraId="7F97AD8F" w14:textId="262F0CA1" w:rsidR="008C7B26" w:rsidRPr="00113825" w:rsidRDefault="006167B1" w:rsidP="008C7B26">
            <w:pPr>
              <w:spacing w:after="0" w:line="240" w:lineRule="auto"/>
              <w:jc w:val="center"/>
              <w:rPr>
                <w:rFonts w:cstheme="majorHAnsi"/>
                <w:b/>
                <w:szCs w:val="20"/>
              </w:rPr>
            </w:pPr>
            <w:r w:rsidRPr="00113825">
              <w:rPr>
                <w:rFonts w:cstheme="majorHAnsi"/>
                <w:b/>
                <w:szCs w:val="20"/>
              </w:rPr>
              <w:t>Year</w:t>
            </w:r>
            <w:r w:rsidR="008C7B26" w:rsidRPr="00113825">
              <w:rPr>
                <w:rFonts w:cstheme="majorHAnsi"/>
                <w:b/>
                <w:szCs w:val="20"/>
              </w:rPr>
              <w:t xml:space="preserve">, </w:t>
            </w:r>
            <w:proofErr w:type="spellStart"/>
            <w:r w:rsidR="008C7B26" w:rsidRPr="00113825">
              <w:rPr>
                <w:rFonts w:cstheme="majorHAnsi"/>
                <w:b/>
                <w:szCs w:val="20"/>
              </w:rPr>
              <w:t>EoA</w:t>
            </w:r>
            <w:proofErr w:type="spellEnd"/>
            <w:r w:rsidR="008C7B26" w:rsidRPr="00113825">
              <w:rPr>
                <w:rFonts w:cstheme="majorHAnsi"/>
                <w:b/>
                <w:szCs w:val="20"/>
              </w:rPr>
              <w:t xml:space="preserve"> </w:t>
            </w:r>
          </w:p>
        </w:tc>
        <w:tc>
          <w:tcPr>
            <w:tcW w:w="3510" w:type="dxa"/>
            <w:shd w:val="clear" w:color="auto" w:fill="FFD966" w:themeFill="accent4" w:themeFillTint="99"/>
          </w:tcPr>
          <w:p w14:paraId="78EA504A" w14:textId="77777777" w:rsidR="008C7B26" w:rsidRPr="00113825" w:rsidRDefault="008C7B26" w:rsidP="008C7B26">
            <w:pPr>
              <w:spacing w:after="0" w:line="240" w:lineRule="auto"/>
              <w:jc w:val="center"/>
              <w:rPr>
                <w:rFonts w:cstheme="majorHAnsi"/>
                <w:b/>
                <w:szCs w:val="20"/>
              </w:rPr>
            </w:pPr>
            <w:r w:rsidRPr="00113825">
              <w:rPr>
                <w:rFonts w:cstheme="majorHAnsi"/>
                <w:b/>
                <w:szCs w:val="20"/>
              </w:rPr>
              <w:t>Data Used</w:t>
            </w:r>
          </w:p>
        </w:tc>
        <w:tc>
          <w:tcPr>
            <w:tcW w:w="5760" w:type="dxa"/>
            <w:shd w:val="clear" w:color="auto" w:fill="FFD966" w:themeFill="accent4" w:themeFillTint="99"/>
          </w:tcPr>
          <w:p w14:paraId="50172523" w14:textId="77777777" w:rsidR="008C7B26" w:rsidRPr="00113825" w:rsidRDefault="008C7B26" w:rsidP="008C7B26">
            <w:pPr>
              <w:spacing w:after="0" w:line="240" w:lineRule="auto"/>
              <w:jc w:val="center"/>
              <w:rPr>
                <w:rFonts w:cstheme="majorHAnsi"/>
                <w:b/>
                <w:szCs w:val="20"/>
              </w:rPr>
            </w:pPr>
            <w:r w:rsidRPr="00113825">
              <w:rPr>
                <w:rFonts w:cstheme="majorHAnsi"/>
                <w:b/>
                <w:szCs w:val="20"/>
              </w:rPr>
              <w:t>Discussion</w:t>
            </w:r>
          </w:p>
        </w:tc>
      </w:tr>
      <w:tr w:rsidR="00DE6E0A" w:rsidRPr="00113825" w14:paraId="13C26808" w14:textId="77777777" w:rsidTr="00C53CF3">
        <w:tc>
          <w:tcPr>
            <w:tcW w:w="715" w:type="dxa"/>
            <w:shd w:val="clear" w:color="auto" w:fill="auto"/>
          </w:tcPr>
          <w:p w14:paraId="342399DD" w14:textId="631DD903" w:rsidR="008C7B26" w:rsidRPr="00113825" w:rsidRDefault="008C7B26" w:rsidP="0089363E">
            <w:pPr>
              <w:spacing w:after="0" w:line="240" w:lineRule="auto"/>
              <w:jc w:val="both"/>
              <w:rPr>
                <w:rFonts w:cstheme="majorHAnsi"/>
                <w:b/>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{"citationItems":[{"id":"ITEM-1","itemData":{"DOI":"10.1016/j.biombioe.2009.05.026","ISSN":"09619534","abstract":"The present work is mainly devoted to provide a rigorous analysis on the quantification, the mapping and the management of the bioenergy potential of forest residues from the most representative forestry species of the west-central region of Spain (Cáceres). An appropriate methodological approach for the estimate of potential biomass and potential bioenergy as well as the use of GIS for data process are both crucial for the design of thermal plants and for the accurate estimate of biomass collection and transportation costs, according to the scale economy of the plant. The total forest residues in the province of Cáceres are estimated as 463 000 t y-1. The availability of such major biomass potential for energy production is strongly conditioned to the inherent difficulties during the extraction process. This way, an energy potential of 139 000 toe y-1 would be achieved if the above-mentioned biomass collection rate is assumed. The method to optimise the search for suitable locations for thermal plants as well as for biomass extraction/collection areas, based on the combined use of GIS and spatial analysis techniques, is also described. © 2009 Elsevier Ltd. All rights reserved.","author":[{"dropping-particle":"","family":"López-Rodríguez","given":"F.","non-dropping-particle":"","parse-names":false,"suffix":""},{"dropping-particle":"","family":"Atanet","given":"C. Pérez","non-dropping-particle":"","parse-names":false,"suffix":""},{"dropping-particle":"","family":"Blázquez","given":"F. Cuadros","non-dropping-particle":"","parse-names":false,"suffix":""},{"dropping-particle":"","family":"Celma","given":"A. Ruiz","non-dropping-particle":"","parse-names":false,"suffix":""}],"container-title":"Biomass and Bioenergy","id":"ITEM-1","issue":"10","issued":{"date-parts":[["2009"]]},"page":"1358-1366","title":"Spatial assessment of the bioenergy potential of forest residues in the western province of Spain, Caceres","type":"article-journal","volume":"33"},"uris":["http://www.mendeley.com/documents/?uuid=59afde19-2792-4eab-8e36-e925eb04b3b9"]}],"mendeley":{"formattedCitation":"[21]","plainTextFormattedCitation":"[21]","previouslyFormattedCitation":"(López-Rodríguez &lt;i&gt;et al.&lt;/i&gt;, 2009)"},"properties":{"noteIndex":0},"schema":"https://github.com/citation-style-language/schema/raw/master/csl-citation.json"}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[21]</w:t>
            </w:r>
            <w:r w:rsidRPr="00113825">
              <w:rPr>
                <w:rFonts w:cstheme="majorHAnsi"/>
                <w:sz w:val="16"/>
                <w:szCs w:val="16"/>
              </w:rPr>
              <w:fldChar w:fldCharType="end"/>
            </w:r>
          </w:p>
        </w:tc>
        <w:tc>
          <w:tcPr>
            <w:tcW w:w="2970" w:type="dxa"/>
            <w:shd w:val="clear" w:color="auto" w:fill="auto"/>
          </w:tcPr>
          <w:p w14:paraId="54D273A6"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 xml:space="preserve">Based on a mathematical model using regression parameters and site-specific input data, including restriction parameters (e.g. slope, etc.).  </w:t>
            </w:r>
          </w:p>
        </w:tc>
        <w:tc>
          <w:tcPr>
            <w:tcW w:w="1710" w:type="dxa"/>
            <w:shd w:val="clear" w:color="auto" w:fill="auto"/>
          </w:tcPr>
          <w:p w14:paraId="28AB8245"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Province (Spain)</w:t>
            </w:r>
          </w:p>
        </w:tc>
        <w:tc>
          <w:tcPr>
            <w:tcW w:w="1080" w:type="dxa"/>
            <w:shd w:val="clear" w:color="auto" w:fill="auto"/>
          </w:tcPr>
          <w:p w14:paraId="56B1582C"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2009</w:t>
            </w:r>
          </w:p>
        </w:tc>
        <w:tc>
          <w:tcPr>
            <w:tcW w:w="3510" w:type="dxa"/>
            <w:shd w:val="clear" w:color="auto" w:fill="auto"/>
          </w:tcPr>
          <w:p w14:paraId="6C907848" w14:textId="0EF6CEF6"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 xml:space="preserve">1. </w:t>
            </w:r>
            <w:r w:rsidR="00FE761B" w:rsidRPr="00113825">
              <w:rPr>
                <w:rFonts w:cstheme="majorHAnsi"/>
                <w:sz w:val="16"/>
                <w:szCs w:val="16"/>
              </w:rPr>
              <w:t>The n</w:t>
            </w:r>
            <w:r w:rsidRPr="00113825">
              <w:rPr>
                <w:rFonts w:cstheme="majorHAnsi"/>
                <w:sz w:val="16"/>
                <w:szCs w:val="16"/>
              </w:rPr>
              <w:t>ormal diameter of particular tree species.</w:t>
            </w:r>
          </w:p>
          <w:p w14:paraId="7D635C5C"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 Annual increment in diameter of particular tree species, for the area of interest.</w:t>
            </w:r>
          </w:p>
          <w:p w14:paraId="67DB3F83"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3. Lower heating value.</w:t>
            </w:r>
          </w:p>
          <w:p w14:paraId="61207BCD"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4. Site-specific parameters (Road map, slope map).</w:t>
            </w:r>
          </w:p>
        </w:tc>
        <w:tc>
          <w:tcPr>
            <w:tcW w:w="5760" w:type="dxa"/>
            <w:shd w:val="clear" w:color="auto" w:fill="auto"/>
          </w:tcPr>
          <w:p w14:paraId="363A40F0"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The restriction parameters are highly subjective and lack standards.</w:t>
            </w:r>
          </w:p>
          <w:p w14:paraId="73DA0C61" w14:textId="117B01BC" w:rsidR="008C7B26" w:rsidRPr="00113825" w:rsidRDefault="00FE761B"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It o</w:t>
            </w:r>
            <w:r w:rsidR="008C7B26" w:rsidRPr="00113825">
              <w:rPr>
                <w:rFonts w:cstheme="majorHAnsi"/>
                <w:sz w:val="16"/>
                <w:szCs w:val="16"/>
              </w:rPr>
              <w:t>nly considers “usable areas”.</w:t>
            </w:r>
          </w:p>
          <w:p w14:paraId="0F19D33C"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Incorporates site-specific parameters (for technical and economic reasons).</w:t>
            </w:r>
          </w:p>
          <w:p w14:paraId="6CC97125"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Uses restriction modeling to estimate the technical potential.</w:t>
            </w:r>
          </w:p>
          <w:p w14:paraId="07069C2B"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Appropriate for a theme-based study (e.g., identification of suitable sites to supply a given thermal power plant).</w:t>
            </w:r>
          </w:p>
          <w:p w14:paraId="23A1DDB0"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Requires annual measurements of diameter increments.</w:t>
            </w:r>
          </w:p>
        </w:tc>
      </w:tr>
      <w:tr w:rsidR="00DE6E0A" w:rsidRPr="00113825" w14:paraId="5CA78752" w14:textId="77777777" w:rsidTr="00C53CF3">
        <w:tc>
          <w:tcPr>
            <w:tcW w:w="715" w:type="dxa"/>
            <w:shd w:val="clear" w:color="auto" w:fill="auto"/>
          </w:tcPr>
          <w:p w14:paraId="241DAC23" w14:textId="38B61D9C"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{"citationItems":[{"id":"ITEM-1","itemData":{"DOI":"10.1016/j.biombioe.2009.05.008","ISSN":"09619534","abstract":"This article describes a study on the quantification and use of forest biomass residues in Maputo province, in Mozambique. The study was performed based on information from the thematic cartography of soils of Maputo province, provided by the National Direction of Forest and Land of Mozambique, and data for the forest growth rates available in the literature. It was estimated that the total production of forest biomass residues in Maputo province is 1,233,412 ton/year, with a corresponding energy potential of 17,267,771 GJ/year. As a way of making the forest biomass residues profitable, the present work proposes the use of part of the residues as fuel in new power plants to be build in Maputo province. In this part of the study aiming at implanting power plants in Maputo province, it was taken into account the risk of forest fires, number of existing consumers of forest residues, residues availability, protected forests, transport infrastructures and existence of national electric network. It was found that the districts of Magude and Moamba are those that have the best conditions to receive the new biomass power plants. Factors such as the cost of the technology and the degree of pre-treatment of the forest residues have been taken into consideration in choosing the combustion technology for the proposed power plants. In this context, the grate burning technology appears to be the most advantageous from costs/benefits viewpoint. The proposed power plants can produce about 236,520 MWh, which is equivalent to 32% of the energy consumed in Maputo province in 2004. © 2009 Elsevier Ltd. All rights reserved.","author":[{"dropping-particle":"","family":"Vasco","given":"H.","non-dropping-particle":"","parse-names":false,"suffix":""},{"dropping-particle":"","family":"Costa","given":"M.","non-dropping-particle":"","parse-names":false,"suffix":""}],"container-title":"Biomass and Bioenergy","id":"ITEM-1","issue":"9","issued":{"date-parts":[["2009","9"]]},"page":"1221-1228","title":"Quantification and use of forest biomass residues in Maputo province, Mozambique","type":"article-journal","volume":"33"},"uris":["http://www.mendeley.com/documents/?uuid=fa85bad8-a592-3f2e-80db-fc6f85c25ee3"]}],"mendeley":{"formattedCitation":"[22]","plainTextFormattedCitation":"[22]","previouslyFormattedCitation":"(Vasco and Costa, 2009)"},"properties":{"noteIndex":0},"schema":"https://github.com/citation-style-language/schema/raw/master/csl-citation.json"}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[22]</w:t>
            </w:r>
            <w:r w:rsidRPr="00113825">
              <w:rPr>
                <w:rFonts w:cstheme="majorHAnsi"/>
                <w:sz w:val="16"/>
                <w:szCs w:val="16"/>
              </w:rPr>
              <w:fldChar w:fldCharType="end"/>
            </w:r>
          </w:p>
        </w:tc>
        <w:tc>
          <w:tcPr>
            <w:tcW w:w="2970" w:type="dxa"/>
            <w:shd w:val="clear" w:color="auto" w:fill="auto"/>
          </w:tcPr>
          <w:p w14:paraId="21617B28"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 xml:space="preserve">Based on ancillary data from literature coupled with GIS soil data and biomass growth rates. </w:t>
            </w:r>
          </w:p>
        </w:tc>
        <w:tc>
          <w:tcPr>
            <w:tcW w:w="1710" w:type="dxa"/>
            <w:shd w:val="clear" w:color="auto" w:fill="auto"/>
          </w:tcPr>
          <w:p w14:paraId="33BE691A"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Sub-regional (Mozambique)</w:t>
            </w:r>
          </w:p>
        </w:tc>
        <w:tc>
          <w:tcPr>
            <w:tcW w:w="1080" w:type="dxa"/>
            <w:shd w:val="clear" w:color="auto" w:fill="auto"/>
          </w:tcPr>
          <w:p w14:paraId="2AD2CD6F"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2009</w:t>
            </w:r>
          </w:p>
        </w:tc>
        <w:tc>
          <w:tcPr>
            <w:tcW w:w="3510" w:type="dxa"/>
            <w:shd w:val="clear" w:color="auto" w:fill="auto"/>
          </w:tcPr>
          <w:p w14:paraId="741FDDA2"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1. Forest growth data from the literature.</w:t>
            </w:r>
          </w:p>
          <w:p w14:paraId="0586868B"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 Thematic cartography of soils.</w:t>
            </w:r>
          </w:p>
          <w:p w14:paraId="14E42B2F"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3. Forest productivity estimation using models from the literature.</w:t>
            </w:r>
          </w:p>
          <w:p w14:paraId="105975C1"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4. Land-cover map from Landsat data.</w:t>
            </w:r>
          </w:p>
        </w:tc>
        <w:tc>
          <w:tcPr>
            <w:tcW w:w="5760" w:type="dxa"/>
            <w:shd w:val="clear" w:color="auto" w:fill="auto"/>
          </w:tcPr>
          <w:p w14:paraId="5307321F"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Heavily reliant on data from the literature.</w:t>
            </w:r>
          </w:p>
          <w:p w14:paraId="561AB444"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It does not use any site-specific forestry data.</w:t>
            </w:r>
          </w:p>
          <w:p w14:paraId="598268D9"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Uses arbitrary modeling data from different African regions for simulating results.</w:t>
            </w:r>
          </w:p>
          <w:p w14:paraId="7AFD25FE"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 xml:space="preserve">Unclear methodology concerning the estimation of the PFRs, impossible to replicate. </w:t>
            </w:r>
          </w:p>
        </w:tc>
      </w:tr>
      <w:tr w:rsidR="00DE6E0A" w:rsidRPr="00113825" w14:paraId="7DCFF6A3" w14:textId="77777777" w:rsidTr="00C53CF3">
        <w:tc>
          <w:tcPr>
            <w:tcW w:w="715" w:type="dxa"/>
            <w:shd w:val="clear" w:color="auto" w:fill="auto"/>
          </w:tcPr>
          <w:p w14:paraId="21FF2CFB" w14:textId="38689495"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{"citationItems":[{"id":"ITEM-1","itemData":{"DOI":"10.1016/j.apenergy.2010.02.007","ISSN":"03062619","abstract":"Following the European Union strategy concerning renewable energy (RE), Portugal established in their national policy programmes that the production of electrical energy from RE should reach 45% of the total supply by 2010. Since Portugal has large forest biomass resources, a significant part of this energy will be obtained from this source. In addition to the two existing electric power plants, with 22 MW of power capacity, 13 new power plants having a total of 86.4 MW capacity are in construction. Together these could generate a combination of electrical and thermal energy, known as combined heat and power (CHP) production. As these power plants will significantly increase the exploitation of forests resources, this article evaluates the potential quantities of available forest biomass residue for that purpose. In addition to examining the feasibility of producing both types of energy, we also examine the potential for producing only electric energy. Results show that if only electricity is generated some regions will need to have alternative fuel sources to fulfil the demand. However, if cogeneration is implemented the wood fuel resource will be sufficient to fulfill the required capacity demand. © 2010 Elsevier Ltd.","author":[{"dropping-particle":"","family":"Viana","given":"H.","non-dropping-particle":"","parse-names":false,"suffix":""},{"dropping-particle":"","family":"Cohen","given":"Warren B.","non-dropping-particle":"","parse-names":false,"suffix":""},{"dropping-particle":"","family":"Lopes","given":"D.","non-dropping-particle":"","parse-names":false,"suffix":""},{"dropping-particle":"","family":"Aranha","given":"J.","non-dropping-particle":"","parse-names":false,"suffix":""}],"container-title":"Applied Energy","id":"ITEM-1","issue":"8","issued":{"date-parts":[["2010"]]},"page":"2551-2560","publisher":"Elsevier Ltd","title":"Assessment of forest biomass for use as energy. GIS-based analysis of geographical availability and locations of wood-fired power plants in Portugal","type":"article-journal","volume":"87"},"uris":["http://www.mendeley.com/documents/?uuid=022ce525-2f1f-4067-ac4d-a265694f28a3"]}],"mendeley":{"formattedCitation":"[23]","plainTextFormattedCitation":"[23]","previouslyFormattedCitation":"(Viana &lt;i&gt;et al.&lt;/i&gt;, 2010)"},"properties":{"noteIndex":0},"schema":"https://github.com/citation-style-language/schema/raw/master/csl-citation.json"}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[23]</w:t>
            </w:r>
            <w:r w:rsidRPr="00113825">
              <w:rPr>
                <w:rFonts w:cstheme="majorHAnsi"/>
                <w:sz w:val="16"/>
                <w:szCs w:val="16"/>
              </w:rPr>
              <w:fldChar w:fldCharType="end"/>
            </w:r>
          </w:p>
        </w:tc>
        <w:tc>
          <w:tcPr>
            <w:tcW w:w="2970" w:type="dxa"/>
            <w:shd w:val="clear" w:color="auto" w:fill="auto"/>
          </w:tcPr>
          <w:p w14:paraId="556D6B01" w14:textId="3B57A886" w:rsidR="008C7B26" w:rsidRPr="00113825" w:rsidRDefault="008C7B26" w:rsidP="008C7B26">
            <w:pPr>
              <w:spacing w:after="0" w:line="240" w:lineRule="auto"/>
              <w:jc w:val="both"/>
              <w:rPr>
                <w:rFonts w:cstheme="majorHAnsi"/>
                <w:sz w:val="16"/>
                <w:szCs w:val="16"/>
              </w:rPr>
            </w:pPr>
            <w:r w:rsidRPr="00113825">
              <w:rPr>
                <w:rFonts w:cstheme="majorHAnsi"/>
                <w:sz w:val="16"/>
                <w:szCs w:val="16"/>
              </w:rPr>
              <w:t xml:space="preserve">Based on </w:t>
            </w:r>
            <w:proofErr w:type="spellStart"/>
            <w:r w:rsidRPr="00113825">
              <w:rPr>
                <w:rFonts w:cstheme="majorHAnsi"/>
                <w:sz w:val="16"/>
                <w:szCs w:val="16"/>
              </w:rPr>
              <w:t>allometric</w:t>
            </w:r>
            <w:proofErr w:type="spellEnd"/>
            <w:r w:rsidRPr="00113825">
              <w:rPr>
                <w:rFonts w:cstheme="majorHAnsi"/>
                <w:sz w:val="16"/>
                <w:szCs w:val="16"/>
              </w:rPr>
              <w:t xml:space="preserve"> equations and site-specific forestry data for the evaluation of PFR</w:t>
            </w:r>
            <w:r w:rsidR="009F6FF1" w:rsidRPr="00113825">
              <w:rPr>
                <w:rFonts w:cstheme="majorHAnsi"/>
                <w:sz w:val="16"/>
                <w:szCs w:val="16"/>
              </w:rPr>
              <w:t>s</w:t>
            </w:r>
            <w:r w:rsidRPr="00113825">
              <w:rPr>
                <w:rFonts w:cstheme="majorHAnsi"/>
                <w:sz w:val="16"/>
                <w:szCs w:val="16"/>
              </w:rPr>
              <w:t xml:space="preserve"> for different tree species. </w:t>
            </w:r>
          </w:p>
        </w:tc>
        <w:tc>
          <w:tcPr>
            <w:tcW w:w="1710" w:type="dxa"/>
            <w:shd w:val="clear" w:color="auto" w:fill="auto"/>
          </w:tcPr>
          <w:p w14:paraId="61AEECB0"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Country (Portugal)</w:t>
            </w:r>
          </w:p>
        </w:tc>
        <w:tc>
          <w:tcPr>
            <w:tcW w:w="1080" w:type="dxa"/>
            <w:shd w:val="clear" w:color="auto" w:fill="auto"/>
          </w:tcPr>
          <w:p w14:paraId="0EBB084A"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2010</w:t>
            </w:r>
          </w:p>
        </w:tc>
        <w:tc>
          <w:tcPr>
            <w:tcW w:w="3510" w:type="dxa"/>
            <w:shd w:val="clear" w:color="auto" w:fill="auto"/>
          </w:tcPr>
          <w:p w14:paraId="3839A506"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1. Statistical data for diameter at breast height (d.b.h.) from field inventory.</w:t>
            </w:r>
          </w:p>
          <w:p w14:paraId="167C9C1E"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 The total height of the trees from field inventory.</w:t>
            </w:r>
          </w:p>
          <w:p w14:paraId="457DE292"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3. Statistical data on forestry from literature.</w:t>
            </w:r>
          </w:p>
        </w:tc>
        <w:tc>
          <w:tcPr>
            <w:tcW w:w="5760" w:type="dxa"/>
            <w:shd w:val="clear" w:color="auto" w:fill="auto"/>
          </w:tcPr>
          <w:p w14:paraId="0969D34F"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 xml:space="preserve">Almost totally estimated using statistical and </w:t>
            </w:r>
            <w:proofErr w:type="spellStart"/>
            <w:r w:rsidRPr="00113825">
              <w:rPr>
                <w:rFonts w:cstheme="majorHAnsi"/>
                <w:sz w:val="16"/>
                <w:szCs w:val="16"/>
              </w:rPr>
              <w:t>allometric</w:t>
            </w:r>
            <w:proofErr w:type="spellEnd"/>
            <w:r w:rsidRPr="00113825">
              <w:rPr>
                <w:rFonts w:cstheme="majorHAnsi"/>
                <w:sz w:val="16"/>
                <w:szCs w:val="16"/>
              </w:rPr>
              <w:t xml:space="preserve"> equations. </w:t>
            </w:r>
          </w:p>
          <w:p w14:paraId="3BDC3020"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Fails to include a land cover or forest cover map for precise mapping (unless the spatially explicit dataset is available for tree diameter and height). Fails to incorporate regions specific parameters.</w:t>
            </w:r>
          </w:p>
          <w:p w14:paraId="092F1ED5"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Useful only for assessment involving different species.</w:t>
            </w:r>
          </w:p>
          <w:p w14:paraId="6FBE97BC"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Discretization at different scales not possible.</w:t>
            </w:r>
          </w:p>
        </w:tc>
      </w:tr>
      <w:tr w:rsidR="00DE6E0A" w:rsidRPr="00113825" w14:paraId="243CEF1C" w14:textId="77777777" w:rsidTr="00C53CF3">
        <w:tc>
          <w:tcPr>
            <w:tcW w:w="715" w:type="dxa"/>
            <w:shd w:val="clear" w:color="auto" w:fill="auto"/>
          </w:tcPr>
          <w:p w14:paraId="2E35C86C" w14:textId="1C37A88C"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{"citationItems":[{"id":"ITEM-1","itemData":{"DOI":"10.1139/cjfr-2015-0451","ISSN":"0045-5067","abstract":"© 2016, National Research Council of Canada. All rights reserved. Growing demand for bioenergy, biofuels, and bioproducts has increased interests in the utilization of biomass residues from forest treatments as feedstock. In areas with limited history of industrial biomass utilization, uncertainties in the quantity, distribution, and cost o f biomass production and logistics can hinder the development of new bio-based industries. This paper introduces a new methodology to quantify and spatially describe delivered feedstock volumes and costs across landscapes of arbitrary size in ways that characterize operational and annual management decision-making. Using National Agricultural Imagery Program (NAIP) imagery, the forest is segmented into operational-level treatment units. A remote sensing model based on NAIP imagery and Forest Inventory and Analysis plot data are used to attribute treatment units with stand-level estimates of basal area, tree density, aboveground biomass, and quadratic mean diameter. These methods are applied to a study site in southwestern Colorado to assess the quantity and distribution of treatment residue for use in bioenergy production. Results from the case study demonstrate how this generalized approach can be used in the analysis and decision-making process when establishing new bioenergy industries that use forest residue as feedstock.","author":[{"dropping-particle":"","family":"Wells","given":"Lucas A.","non-dropping-particle":"","parse-names":false,"suffix":""},{"dropping-particle":"","family":"Chung","given":"Woodam","non-dropping-particle":"","parse-names":false,"suffix":""},{"dropping-particle":"","family":"Anderson","given":"Nathaniel M.","non-dropping-particle":"","parse-names":false,"suffix":""},{"dropping-particle":"","family":"Hogland","given":"John S.","non-dropping-particle":"","parse-names":false,"suffix":""}],"container-title":"Canadian Journal of Forest Research","id":"ITEM-1","issue":"6","issued":{"date-parts":[["2016"]]},"page":"832-843","title":"Spatial and temporal quantification of forest residue volumes and delivered costs","type":"article-journal","volume":"46"},"uris":["http://www.mendeley.com/documents/?uuid=f270ea36-fcd0-4130-b97f-cb0a883c3110"]}],"mendeley":{"formattedCitation":"[24]","plainTextFormattedCitation":"[24]","previouslyFormattedCitation":"(Wells &lt;i&gt;et al.&lt;/i&gt;, 2016)"},"properties":{"noteIndex":0},"schema":"https://github.com/citation-style-language/schema/raw/master/csl-citation.json"}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[24]</w:t>
            </w:r>
            <w:r w:rsidRPr="00113825">
              <w:rPr>
                <w:rFonts w:cstheme="majorHAnsi"/>
                <w:sz w:val="16"/>
                <w:szCs w:val="16"/>
              </w:rPr>
              <w:fldChar w:fldCharType="end"/>
            </w:r>
          </w:p>
        </w:tc>
        <w:tc>
          <w:tcPr>
            <w:tcW w:w="2970" w:type="dxa"/>
            <w:shd w:val="clear" w:color="auto" w:fill="auto"/>
          </w:tcPr>
          <w:p w14:paraId="60569ECA" w14:textId="53E4F8DD" w:rsidR="008C7B26" w:rsidRPr="00113825" w:rsidRDefault="008C7B26" w:rsidP="0089363E">
            <w:pPr>
              <w:spacing w:after="0" w:line="240" w:lineRule="auto"/>
              <w:jc w:val="both"/>
              <w:rPr>
                <w:rFonts w:cstheme="majorHAnsi"/>
                <w:sz w:val="16"/>
                <w:szCs w:val="16"/>
              </w:rPr>
            </w:pPr>
            <w:r w:rsidRPr="00113825">
              <w:rPr>
                <w:rFonts w:cstheme="majorHAnsi"/>
                <w:sz w:val="16"/>
                <w:szCs w:val="16"/>
              </w:rPr>
              <w:t>Based on remote sensing, forest descriptive statistics and site-specific silvicultural model. Uses automated forest segmentation algorithm developed by Wells</w:t>
            </w:r>
            <w:r w:rsidRPr="00113825">
              <w:rPr>
                <w:rFonts w:cstheme="majorHAnsi"/>
                <w:sz w:val="16"/>
                <w:szCs w:val="16"/>
              </w:rPr>
              <w:fldChar w:fldCharType="begin" w:fldLock="1"/>
            </w:r>
            <w:r w:rsidR="0089363E" w:rsidRPr="00113825">
              <w:rPr>
                <w:rFonts w:cstheme="majorHAnsi"/>
                <w:sz w:val="16"/>
                <w:szCs w:val="16"/>
              </w:rPr>
              <w:instrText>ADDIN CSL_CITATION {"citationItems":[{"id":"ITEM-1","itemData":{"author":[{"dropping-particle":"","family":"Wells","given":"Lucas Aaron","non-dropping-particle":"","parse-names":false,"suffix":""}],"id":"ITEM-1","issued":{"date-parts":[["2013"]]},"publisher":"University of Montana","title":"Spatial Distribution and Quantification of Forest Treatment Residues for Bioenergy Production","type":"thesis"},"uris":["http://www.mendeley.com/documents/?uuid=f6b14d22-eb4a-4b21-8b29-ef9c0b462e51"]}],"mendeley":{"formattedCitation":"[25]","plainTextFormattedCitation":"[25]","previouslyFormattedCitation":"(Wells, 2013)"},"properties":{"noteIndex":0},"schema":"https://github.com/citation-style-language/schema/raw/master/csl-citation.json"}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[25]</w:t>
            </w:r>
            <w:r w:rsidRPr="00113825">
              <w:rPr>
                <w:rFonts w:cstheme="majorHAnsi"/>
                <w:sz w:val="16"/>
                <w:szCs w:val="16"/>
              </w:rPr>
              <w:fldChar w:fldCharType="end"/>
            </w:r>
          </w:p>
        </w:tc>
        <w:tc>
          <w:tcPr>
            <w:tcW w:w="1710" w:type="dxa"/>
            <w:shd w:val="clear" w:color="auto" w:fill="auto"/>
          </w:tcPr>
          <w:p w14:paraId="76169720"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Regional/Sub-regional (USA)</w:t>
            </w:r>
          </w:p>
        </w:tc>
        <w:tc>
          <w:tcPr>
            <w:tcW w:w="1080" w:type="dxa"/>
            <w:shd w:val="clear" w:color="auto" w:fill="auto"/>
          </w:tcPr>
          <w:p w14:paraId="5BB0AE78"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2016</w:t>
            </w:r>
          </w:p>
        </w:tc>
        <w:tc>
          <w:tcPr>
            <w:tcW w:w="3510" w:type="dxa"/>
            <w:shd w:val="clear" w:color="auto" w:fill="auto"/>
          </w:tcPr>
          <w:p w14:paraId="24221793" w14:textId="77777777" w:rsidR="008C7B26" w:rsidRPr="00113825" w:rsidRDefault="008C7B26" w:rsidP="008C7B26">
            <w:pPr>
              <w:spacing w:after="0" w:line="240" w:lineRule="auto"/>
              <w:jc w:val="both"/>
              <w:rPr>
                <w:rFonts w:cstheme="majorHAnsi"/>
                <w:b/>
                <w:sz w:val="16"/>
                <w:szCs w:val="16"/>
              </w:rPr>
            </w:pPr>
            <w:r w:rsidRPr="00113825">
              <w:rPr>
                <w:rFonts w:cstheme="majorHAnsi"/>
                <w:sz w:val="16"/>
                <w:szCs w:val="16"/>
              </w:rPr>
              <w:t>1. Remote sensing measurement (Aerial digital imagery)</w:t>
            </w:r>
          </w:p>
          <w:p w14:paraId="4AEF1E0C"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 Stand characteristics, basal area, tree density, and above-ground biomass.</w:t>
            </w:r>
          </w:p>
        </w:tc>
        <w:tc>
          <w:tcPr>
            <w:tcW w:w="5760" w:type="dxa"/>
            <w:shd w:val="clear" w:color="auto" w:fill="auto"/>
          </w:tcPr>
          <w:p w14:paraId="52607C50"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 xml:space="preserve">Precise mapping even at sub-regional scale. </w:t>
            </w:r>
          </w:p>
          <w:p w14:paraId="5A8DED9D"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Very high spatial resolution.</w:t>
            </w:r>
          </w:p>
          <w:p w14:paraId="11E19719" w14:textId="1A40A1F0"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 xml:space="preserve">Very high temporal resolution of 2 to 5 </w:t>
            </w:r>
            <w:r w:rsidR="006167B1" w:rsidRPr="00113825">
              <w:rPr>
                <w:rFonts w:cstheme="majorHAnsi"/>
                <w:sz w:val="16"/>
                <w:szCs w:val="16"/>
              </w:rPr>
              <w:t>year</w:t>
            </w:r>
            <w:r w:rsidRPr="00113825">
              <w:rPr>
                <w:rFonts w:cstheme="majorHAnsi"/>
                <w:sz w:val="16"/>
                <w:szCs w:val="16"/>
              </w:rPr>
              <w:t xml:space="preserve">s. </w:t>
            </w:r>
          </w:p>
          <w:p w14:paraId="166E659D"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Not replicable for use in different areas.</w:t>
            </w:r>
          </w:p>
        </w:tc>
      </w:tr>
      <w:tr w:rsidR="00DE6E0A" w:rsidRPr="00113825" w14:paraId="5B1BEA62" w14:textId="77777777" w:rsidTr="00C53CF3">
        <w:trPr>
          <w:trHeight w:val="818"/>
        </w:trPr>
        <w:tc>
          <w:tcPr>
            <w:tcW w:w="715" w:type="dxa"/>
            <w:shd w:val="clear" w:color="auto" w:fill="auto"/>
          </w:tcPr>
          <w:p w14:paraId="50ADCC0E" w14:textId="3AEAB2B6"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10.1139/cjfr-2018-0080","ISSN":"0045-5067","author":[{"dropping-particle":"","family":"Barrette","given":"Julie","non-dropping-particle":"","parse-names":false,"suffix":""},{"dropping-particle":"","family":"Paré","given":"David","non-dropping-particle":"","parse-names":false,"suffix":""},{"dropping-particle":"","family":"Manka","given":"Francis","non-dropping-particle":"","parse-names":false,"suffix":""},{"dropping-particle":"","family":"Guindon","given":"Luc","non-dropping-particle":"","parse-names":false,"suffix":""},{"dropping-particle":"","family":"Bernier","given":"Pierre","non-dropping-particle":"","parse-names":false,"suffix":""},{"dropping-particle":"","family":"Titus","given":"Brian","non-dropping-particle":"","parse-names":false,"suffix":""}],"container-title":"Canadian Journal of Forest Research","id":"ITEM-1","issue":"12","issued":{"date-parts":[["2018","12"]]},"page":"1470-1481","title":"Forecasting the spatial distribution of logging residues across the Canadian managed forest","type":"article-journal","volume":"48"},"uris":["http://www.mendeley.com/documents/?uuid=4794e021-1c40-4b32-9942-3777c7161f55"]}],"mendeley":{"formattedCitation":"[13]","plainTextFormattedCitation":"[13]","previouslyFormattedCitation":"(Barrette &lt;i&gt;et al.&lt;/i&gt;, 2018)"},"properties":{"noteIndex":0},"schema":"https://github.com/citation-style-language/schema/raw/master/csl-citation.json"}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[13]</w:t>
            </w:r>
            <w:r w:rsidRPr="00113825">
              <w:rPr>
                <w:rFonts w:cstheme="majorHAnsi"/>
                <w:sz w:val="16"/>
                <w:szCs w:val="16"/>
              </w:rPr>
              <w:fldChar w:fldCharType="end"/>
            </w:r>
          </w:p>
        </w:tc>
        <w:tc>
          <w:tcPr>
            <w:tcW w:w="2970" w:type="dxa"/>
            <w:shd w:val="clear" w:color="auto" w:fill="auto"/>
          </w:tcPr>
          <w:p w14:paraId="367A087B"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A pixel-based approach that uses long-term forest inventory data in conjunction with remote sensing to generate logging residue availability map.</w:t>
            </w:r>
          </w:p>
        </w:tc>
        <w:tc>
          <w:tcPr>
            <w:tcW w:w="1710" w:type="dxa"/>
            <w:shd w:val="clear" w:color="auto" w:fill="auto"/>
          </w:tcPr>
          <w:p w14:paraId="02A436E5"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Country (Canada)</w:t>
            </w:r>
          </w:p>
        </w:tc>
        <w:tc>
          <w:tcPr>
            <w:tcW w:w="1080" w:type="dxa"/>
            <w:shd w:val="clear" w:color="auto" w:fill="auto"/>
          </w:tcPr>
          <w:p w14:paraId="70DAAB5B"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2018</w:t>
            </w:r>
          </w:p>
        </w:tc>
        <w:tc>
          <w:tcPr>
            <w:tcW w:w="3510" w:type="dxa"/>
            <w:shd w:val="clear" w:color="auto" w:fill="auto"/>
          </w:tcPr>
          <w:p w14:paraId="0FECBCCC" w14:textId="076328CD" w:rsidR="008C7B26" w:rsidRPr="00113825" w:rsidRDefault="008C7B26" w:rsidP="008C7B26">
            <w:pPr>
              <w:spacing w:after="0" w:line="240" w:lineRule="auto"/>
              <w:jc w:val="both"/>
              <w:rPr>
                <w:rFonts w:cstheme="majorHAnsi"/>
                <w:sz w:val="16"/>
                <w:szCs w:val="16"/>
              </w:rPr>
            </w:pPr>
            <w:r w:rsidRPr="00113825">
              <w:rPr>
                <w:rFonts w:cstheme="majorHAnsi"/>
                <w:sz w:val="16"/>
                <w:szCs w:val="16"/>
              </w:rPr>
              <w:t>1. Forest attribute maps which include above-ground biomass and percentage tree cover (250 m resolution)</w:t>
            </w:r>
            <w:r w:rsidRPr="00113825">
              <w:rPr>
                <w:rFonts w:cstheme="majorHAnsi"/>
                <w:sz w:val="16"/>
                <w:szCs w:val="16"/>
              </w:rPr>
              <w:fldChar w:fldCharType="begin" w:fldLock="1"/>
            </w:r>
            <w:r w:rsidR="0089363E" w:rsidRPr="00113825">
              <w:rPr>
                <w:rFonts w:cstheme="majorHAnsi"/>
                <w:sz w:val="16"/>
                <w:szCs w:val="16"/>
              </w:rPr>
              <w:instrText>ADDIN CSL_CITATION {"citationItems":[{"id":"ITEM-1","itemData":{"author":[{"dropping-particle":"","family":"Guindon","given":"L","non-dropping-particle":"","parse-names":false,"suffix":""},{"dropping-particle":"","family":"Bernier","given":"P Y","non-dropping-particle":"","parse-names":false,"suffix":""},{"dropping-particle":"","family":"Beaudoin","given":"A","non-dropping-particle":"","parse-names":false,"suffix":""},{"dropping-particle":"","family":"Pouliot","given":"D","non-dropping-particle":"","parse-names":false,"suffix":""},{"dropping-particle":"","family":"Villemaire","given":"P","non-dropping-particle":"","parse-names":false,"suffix":""},{"dropping-particle":"","family":"Hall","given":"R J","non-dropping-particle":"","parse-names":false,"suffix":""},{"dropping-particle":"","family":"Latifovic","given":"R","non-dropping-particle":"","parse-names":false,"suffix":""},{"dropping-particle":"","family":"St-Amant","given":"R","non-dropping-particle":"","parse-names":false,"suffix":""}],"container-title":"Canadian Journal of Forest Research","id":"ITEM-1","issue":"12","issued":{"date-parts":[["2014"]]},"page":"1545-1554","publisher":"NRC Research Press","title":"Annual mapping of large forest disturbances across Canada’s forests using 250 m MODIS imagery from 2000 to 2011","type":"article-journal","volume":"44"},"uris":["http://www.mendeley.com/documents/?uuid=214e6d93-83f8-46df-9374-f9834901a32e"]}],"mendeley":{"formattedCitation":"[26]","plainTextFormattedCitation":"[26]","previouslyFormattedCitation":"(Guindon &lt;i&gt;et al.&lt;/i&gt;,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[26]</w:t>
            </w:r>
            <w:r w:rsidRPr="00113825">
              <w:rPr>
                <w:rFonts w:cstheme="majorHAnsi"/>
                <w:sz w:val="16"/>
                <w:szCs w:val="16"/>
              </w:rPr>
              <w:fldChar w:fldCharType="end"/>
            </w:r>
          </w:p>
          <w:p w14:paraId="08139689" w14:textId="5CCCF724" w:rsidR="008C7B26" w:rsidRPr="00113825" w:rsidRDefault="008C7B26" w:rsidP="0089363E">
            <w:pPr>
              <w:spacing w:after="0" w:line="240" w:lineRule="auto"/>
              <w:jc w:val="both"/>
              <w:rPr>
                <w:rFonts w:cstheme="majorHAnsi"/>
                <w:sz w:val="16"/>
                <w:szCs w:val="16"/>
              </w:rPr>
            </w:pPr>
            <w:r w:rsidRPr="00113825">
              <w:rPr>
                <w:rFonts w:cstheme="majorHAnsi"/>
                <w:sz w:val="16"/>
                <w:szCs w:val="16"/>
              </w:rPr>
              <w:t xml:space="preserve">2. Annual harvest maps (Specialized product called </w:t>
            </w:r>
            <w:proofErr w:type="spellStart"/>
            <w:r w:rsidRPr="00113825">
              <w:rPr>
                <w:rFonts w:cstheme="majorHAnsi"/>
                <w:sz w:val="16"/>
                <w:szCs w:val="16"/>
              </w:rPr>
              <w:t>CanLaD</w:t>
            </w:r>
            <w:proofErr w:type="spellEnd"/>
            <w:r w:rsidRPr="00113825">
              <w:rPr>
                <w:rFonts w:cstheme="majorHAnsi"/>
                <w:sz w:val="16"/>
                <w:szCs w:val="16"/>
              </w:rPr>
              <w:fldChar w:fldCharType="begin" w:fldLock="1"/>
            </w:r>
            <w:r w:rsidR="0089363E" w:rsidRPr="00113825">
              <w:rPr>
                <w:rFonts w:cstheme="majorHAnsi"/>
                <w:sz w:val="16"/>
                <w:szCs w:val="16"/>
              </w:rPr>
              <w:instrText>ADDIN CSL_CITATION {"citationItems":[{"id":"ITEM-1","itemData":{"DOI":"https://doi.org/10.23687/add1346b-f632-4eb9-a83d-a662b38655ad","abstract":"This data publication contains a set of files in which areas affected by fire or by harvest from 1984 to 2015 are identified at the level of individual 30m pixels on the Landsat grid. Details of the product development can be found in Guindon et al (2018). The change detection is based on reflectance-corrected yearly summer (July and August) Landsat mosaics from 1984 to 2015 created from individual scenes developed from USGS reflectance products (Masek et al, 2006; Vermote et al, 2006). Briefly, the change detection method uses a six-year temporal signature centered on the disturbance year to identify fire, harvest and no change. The signatures were derived from visually-interpreted disturbance or no-change polygons that were used to fit a decision tree model. The method detects about 91% of the areas harvested and 85% of the areas burned across Canada’s forests over the study period, but overestimates areas disturbed in the two initial and mostly in the two final years of the 1985 to 2015 time series. This is caused by the absence of appropriate pre-disturbance and post-disturbance data for the model-based detection and attribution. Disturbance coverage in those four years should therefore be used with caution. As in Guindon et al (2014), the method was designed to minimize commission errors and has a disturbance class attribution success rate of about 98%. The attribution success rate of disturbance year for fire is of about 69% for the exact year and of about 99% when attribution to the following year is also considered as a success. This common one-year lag is mostly due to the use of mid-summer Landsat mosaics for the analysis that will cause spring and fall events of the same year to be attributed to successive years. For example, a fire that occurred in the fall of 2004 (after July and August), will be detected and attributed to 2005, while for a fire that occurred in the spring of 2004 will be detected and attributed to 2004. The presence of clouds and shadows or image availability causes 10% of missing data annually and therefore can too delay the capture of events. The data provides uniform spatial and temporal information on fire and harvest across all provinces and territories of Canada and is intended for strategic-level analysis. Since no attention was given to other minor disturbances such as mining, road or flooding, the product should not be used for their identification. Finally, calibration datasets were developed for only three major…","author":[{"dropping-particle":"","family":"Guindon","given":"Luc","non-dropping-particle":"","parse-names":false,"suffix":""},{"dropping-particle":"","family":"Villemaire","given":"P","non-dropping-particle":"","parse-names":false,"suffix":""},{"dropping-particle":"","family":"St-Amant","given":"R","non-dropping-particle":"","parse-names":false,"suffix":""},{"dropping-particle":"","family":"Bernier","given":"P Y","non-dropping-particle":"","parse-names":false,"suffix":""},{"dropping-particle":"","family":"Beaudoin","given":"A","non-dropping-particle":"","parse-names":false,"suffix":""},{"dropping-particle":"","family":"Caron","given":"F","non-dropping-particle":"","parse-names":false,"suffix":""},{"dropping-particle":"","family":"Bonucelli","given":"M","non-dropping-particle":"","parse-names":false,"suffix":""},{"dropping-particle":"","family":"Dorion","given":"H","non-dropping-particle":"","parse-names":false,"suffix":""}],"id":"ITEM-1","issued":{"date-parts":[["2017"]]},"title":"Canada Landsat Disturbance (CanLaD): a Canada-wide Landsat-based 30-m resolution product of fire and harvest detection and attribution since 1984","type":"article"},"uris":["http://www.mendeley.com/documents/?uuid=5f5e0daa-48ba-400e-9c41-76b5c9c11179"]}],"mendeley":{"formattedCitation":"[27]","plainTextFormattedCitation":"[27]","previouslyFormattedCitation":"(Guindon &lt;i&gt;et al.&lt;/i&gt;, 2017)"},"properties":{"noteIndex":0},"schema":"https://github.com/citation-style-language/schema/raw/master/csl-citation.json"}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[27]</w:t>
            </w:r>
            <w:r w:rsidRPr="00113825">
              <w:rPr>
                <w:rFonts w:cstheme="majorHAnsi"/>
                <w:sz w:val="16"/>
                <w:szCs w:val="16"/>
              </w:rPr>
              <w:fldChar w:fldCharType="end"/>
            </w:r>
            <w:r w:rsidRPr="00113825">
              <w:rPr>
                <w:rFonts w:cstheme="majorHAnsi"/>
                <w:sz w:val="16"/>
                <w:szCs w:val="16"/>
              </w:rPr>
              <w:t>)</w:t>
            </w:r>
          </w:p>
        </w:tc>
        <w:tc>
          <w:tcPr>
            <w:tcW w:w="5760" w:type="dxa"/>
            <w:shd w:val="clear" w:color="auto" w:fill="auto"/>
          </w:tcPr>
          <w:p w14:paraId="7282B0A0"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The method is a potential alternative to expensive field surveys.</w:t>
            </w:r>
          </w:p>
          <w:p w14:paraId="1ABEE66F"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 xml:space="preserve">It can be useful in predicting the amount of available logging residues in the future. </w:t>
            </w:r>
          </w:p>
          <w:p w14:paraId="289AF0FD"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A complex approach that is not easily replicable and uses specialized processed products like annual harvest maps and forest attribute maps which might not be available for other regions.</w:t>
            </w:r>
          </w:p>
        </w:tc>
      </w:tr>
      <w:tr w:rsidR="00DE6E0A" w:rsidRPr="00113825" w14:paraId="696C777A" w14:textId="77777777" w:rsidTr="00C53CF3">
        <w:trPr>
          <w:trHeight w:val="1223"/>
        </w:trPr>
        <w:tc>
          <w:tcPr>
            <w:tcW w:w="715" w:type="dxa"/>
          </w:tcPr>
          <w:p w14:paraId="58FB8E96" w14:textId="41CC51FF"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EU-27","type":"article-journal","volume":"100"},"uris":["http://www.mendeley.com/documents/?uuid=a79f23ea-152d-444a-b1c0-2b8489565653"]},{"id":"ITEM-2","itemData":{"DOI":"10.1016/j.rser.2019.06.019","ISSN":"18790690","abstract":"Global energy demand is lowering its growth, but it is still expected to increase by 30% between now and 2040. To decrease greenhouse gas emissions a shift to more sustainable renewable energy sources is fundamental. Among the renewable energy sources, biomasses already have the largest share in Europe and their future demand for biorefinery plants will increase at global level. This study provides a comprehensive and exportable categorization of the residual biomasses (RB) from different supply sectors. Thanks to the individual descriptive and quantitative parameters introduced in the paper, an estimate of the theoretical and techno-economic potential is presented for a well-industrialized, agricultural-oriented and environmentally advanced European Region. Results are presented as recoverable biogas or biomethane, considering also the seasonal availability. In a relatively small region like Emilia Romagna (Italy), 106 different types of residual biomasses belonging to 6 main groups have been characterized. Over half of the total residues come from the agro-industrial and food businesses (58) followed by the agricultural sector (33). The estimate reveals a theoretical potential of 3544 ± 291 Gg/year of total solids for thermochemical valorisation and 3460 ± 639 Gg/year of total solids suitable for biological treatment. In terms of unused potential, the quantities decrease respectively to 2120 ± 298 and 915 ± 167 Gg/year. The estimates indicate stable results over the years from 2014 to 2016. The seasonal availability shows two evident peaks from August to October, while a significant shortage is present from April to June for the residues suitable for thermochemical valorisation. The theoretical potential that can be obtained from the Region's residues corresponds to about 1.8–2.3 million TOE/year, corresponding to 13–17% of the total regional consumption. Unused residues contribute to 0.9–1.2 million TOE/year.","author":[{"dropping-particle":"","family":"Greggio","given":"Nicolas","non-dropping-particle":"","parse-names":false,"suffix":""},{"dropping-particle":"","family":"Balugani","given":"Enrico","non-dropping-particle":"","parse-names":false,"suffix":""},{"dropping-particle":"","family":"Carlini","given":"Carlotta","non-dropping-particle":"","parse-names":false,"suffix":""},{"dropping-particle":"","family":"Contin","given":"Andrea","non-dropping-particle":"","parse-names":false,"suffix":""},{"dropping-particle":"","family":"Labartino","given":"Nicola","non-dropping-particle":"","parse-names":false,"suffix":""},{"dropping-particle":"","family":"Porcelli","given":"Roberto","non-dropping-particle":"","parse-names":false,"suffix":""},{"dropping-particle":"","family":"Quaranta","given":"Marta","non-dropping-particle":"","parse-names":false,"suffix":""},{"dropping-particle":"","family":"Righi","given":"Serena","non-dropping-particle":"","parse-names":false,"suffix":""},{"dropping-particle":"","family":"Vogli","given":"Luciano","non-dropping-particle":"","parse-names":false,"suffix":""},{"dropping-particle":"","family":"Marazza","given":"Diego","non-dropping-particle":"","parse-names":false,"suffix":""}],"container-title":"Renewable and Sustainable Energy Reviews","id":"ITEM-2","issue":"June","issued":{"date-parts":[["2019"]]},"page":"590-606","title":"Theoretical and unused potential for residual biomasses in the emilia Romagna Region (Italy) through a revised and portable framework for their categorization","type":"article-journal","volume":"112"},"uris":["http://www.mendeley.com/documents/?uuid=f2d68b4f-eeb9-47b6-9ff1-3104d23b92f7"]}],"mendeley":{"formattedCitation":"[4], [28]","plainTextFormattedCitation":"[4], [28]","previouslyFormattedCitation":"(Greggio &lt;i&gt;et al.&lt;/i&gt;, 2019; Hamelin &lt;i&gt;et al.&lt;/i&gt;, 2019)"},"properties":{"noteIndex":0},"schema":"https://github.com/citation-style-language/schema/raw/master/csl-citation.json"}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 [28]</w:t>
            </w:r>
            <w:r w:rsidRPr="00113825">
              <w:rPr>
                <w:rFonts w:cstheme="majorHAnsi"/>
                <w:sz w:val="16"/>
                <w:szCs w:val="16"/>
              </w:rPr>
              <w:fldChar w:fldCharType="end"/>
            </w:r>
          </w:p>
        </w:tc>
        <w:tc>
          <w:tcPr>
            <w:tcW w:w="2970" w:type="dxa"/>
          </w:tcPr>
          <w:p w14:paraId="4599FA4A" w14:textId="7C283A5C" w:rsidR="008C7B26" w:rsidRPr="00113825" w:rsidRDefault="008C7B26" w:rsidP="0089363E">
            <w:pPr>
              <w:spacing w:after="0" w:line="240" w:lineRule="auto"/>
              <w:jc w:val="both"/>
              <w:rPr>
                <w:rFonts w:cstheme="majorHAnsi"/>
                <w:sz w:val="16"/>
                <w:szCs w:val="16"/>
              </w:rPr>
            </w:pPr>
            <w:r w:rsidRPr="00113825">
              <w:rPr>
                <w:rFonts w:cstheme="majorHAnsi"/>
                <w:sz w:val="16"/>
                <w:szCs w:val="16"/>
              </w:rPr>
              <w:t xml:space="preserve">This approach uses the forest map in conjunction with statistics on NAI and BEF, through a certain combination of logically defined equations.  This approach This method is further detailed in section 3.4.1† of </w:t>
            </w:r>
            <w:r w:rsidRPr="00113825">
              <w:rPr>
                <w:rFonts w:cstheme="majorHAnsi"/>
                <w:b/>
                <w:sz w:val="16"/>
                <w:szCs w:val="16"/>
              </w:rPr>
              <w:fldChar w:fldCharType="begin" w:fldLock="1"/>
            </w:r>
            <w:r w:rsidR="0089363E" w:rsidRPr="00113825">
              <w:rPr>
                <w:rFonts w:cstheme="majorHAnsi"/>
                <w:sz w:val="16"/>
                <w:szCs w:val="16"/>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Pr="00113825">
              <w:rPr>
                <w:rFonts w:cstheme="majorHAnsi"/>
                <w:b/>
                <w:sz w:val="16"/>
                <w:szCs w:val="16"/>
              </w:rPr>
              <w:fldChar w:fldCharType="separate"/>
            </w:r>
            <w:r w:rsidR="0089363E" w:rsidRPr="00113825">
              <w:rPr>
                <w:rFonts w:cstheme="majorHAnsi"/>
                <w:noProof/>
                <w:sz w:val="16"/>
                <w:szCs w:val="16"/>
              </w:rPr>
              <w:t>[29]</w:t>
            </w:r>
            <w:r w:rsidRPr="00113825">
              <w:rPr>
                <w:rFonts w:cstheme="majorHAnsi"/>
                <w:b/>
                <w:sz w:val="16"/>
                <w:szCs w:val="16"/>
              </w:rPr>
              <w:fldChar w:fldCharType="end"/>
            </w:r>
          </w:p>
        </w:tc>
        <w:tc>
          <w:tcPr>
            <w:tcW w:w="1710" w:type="dxa"/>
          </w:tcPr>
          <w:p w14:paraId="3F23D501" w14:textId="4EA3EE9A" w:rsidR="008C7B26" w:rsidRPr="00113825" w:rsidRDefault="008C7B26" w:rsidP="008C7B26">
            <w:pPr>
              <w:spacing w:after="0" w:line="240" w:lineRule="auto"/>
              <w:jc w:val="both"/>
              <w:rPr>
                <w:rFonts w:cstheme="majorHAnsi"/>
                <w:sz w:val="16"/>
                <w:szCs w:val="16"/>
                <w:lang w:val="fr-FR"/>
              </w:rPr>
            </w:pPr>
            <w:r w:rsidRPr="00113825">
              <w:rPr>
                <w:rFonts w:cstheme="majorHAnsi"/>
                <w:sz w:val="16"/>
                <w:szCs w:val="16"/>
                <w:lang w:val="fr-FR"/>
              </w:rPr>
              <w:t>Continental (Europe)</w:t>
            </w:r>
            <w:r w:rsidRPr="00113825">
              <w:rPr>
                <w:rFonts w:cstheme="majorHAnsi"/>
                <w:sz w:val="16"/>
                <w:szCs w:val="16"/>
              </w:rPr>
              <w:fldChar w:fldCharType="begin" w:fldLock="1"/>
            </w:r>
            <w:r w:rsidR="0089363E" w:rsidRPr="00113825">
              <w:rPr>
                <w:rFonts w:cstheme="majorHAnsi"/>
                <w:sz w:val="16"/>
                <w:szCs w:val="16"/>
                <w:lang w:val="fr-FR"/>
              </w:rPr>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EU-27","type":"article-journal","volume":"100"},"uris":["http://www.mendeley.com/documents/?uuid=a79f23ea-152d-444a-b1c0-2b8489565653"]}],"mendeley":{"formattedCitation":"[4]","plainTextFormattedCitation":"[4]","previouslyFormattedCitation":"(Hamelin &lt;i&gt;et al.&lt;/i&gt;, 2019)"},"properties":{"noteIndex":0},"schema":"https://github.com/citation-style-language/schema/raw/master/csl-citation.json"}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lang w:val="fr-FR"/>
              </w:rPr>
              <w:t>[4]</w:t>
            </w:r>
            <w:r w:rsidRPr="00113825">
              <w:rPr>
                <w:rFonts w:cstheme="majorHAnsi"/>
                <w:sz w:val="16"/>
                <w:szCs w:val="16"/>
              </w:rPr>
              <w:fldChar w:fldCharType="end"/>
            </w:r>
            <w:r w:rsidRPr="00113825">
              <w:rPr>
                <w:rFonts w:cstheme="majorHAnsi"/>
                <w:sz w:val="16"/>
                <w:szCs w:val="16"/>
                <w:lang w:val="fr-FR"/>
              </w:rPr>
              <w:t xml:space="preserve"> </w:t>
            </w:r>
          </w:p>
          <w:p w14:paraId="5CAF6552" w14:textId="77777777" w:rsidR="008C7B26" w:rsidRPr="00113825" w:rsidRDefault="008C7B26" w:rsidP="008C7B26">
            <w:pPr>
              <w:spacing w:after="0" w:line="240" w:lineRule="auto"/>
              <w:jc w:val="both"/>
              <w:rPr>
                <w:rFonts w:cstheme="majorHAnsi"/>
                <w:sz w:val="16"/>
                <w:szCs w:val="16"/>
                <w:lang w:val="fr-FR"/>
              </w:rPr>
            </w:pPr>
          </w:p>
          <w:p w14:paraId="4FCEF273" w14:textId="29167787" w:rsidR="008C7B26" w:rsidRPr="00113825" w:rsidRDefault="008C7B26" w:rsidP="0089363E">
            <w:pPr>
              <w:spacing w:after="0" w:line="240" w:lineRule="auto"/>
              <w:jc w:val="both"/>
              <w:rPr>
                <w:rFonts w:cstheme="majorHAnsi"/>
                <w:sz w:val="16"/>
                <w:szCs w:val="16"/>
              </w:rPr>
            </w:pPr>
            <w:proofErr w:type="spellStart"/>
            <w:r w:rsidRPr="00113825">
              <w:rPr>
                <w:rFonts w:cstheme="majorHAnsi"/>
                <w:sz w:val="16"/>
                <w:szCs w:val="16"/>
                <w:lang w:val="fr-FR"/>
              </w:rPr>
              <w:t>Regional</w:t>
            </w:r>
            <w:proofErr w:type="spellEnd"/>
            <w:r w:rsidRPr="00113825">
              <w:rPr>
                <w:rFonts w:cstheme="majorHAnsi"/>
                <w:sz w:val="16"/>
                <w:szCs w:val="16"/>
                <w:lang w:val="fr-FR"/>
              </w:rPr>
              <w:t xml:space="preserve"> (Emilia </w:t>
            </w:r>
            <w:proofErr w:type="spellStart"/>
            <w:r w:rsidRPr="00113825">
              <w:rPr>
                <w:rFonts w:cstheme="majorHAnsi"/>
                <w:sz w:val="16"/>
                <w:szCs w:val="16"/>
                <w:lang w:val="fr-FR"/>
              </w:rPr>
              <w:t>Romagna</w:t>
            </w:r>
            <w:proofErr w:type="spellEnd"/>
            <w:r w:rsidRPr="00113825">
              <w:rPr>
                <w:rFonts w:cstheme="majorHAnsi"/>
                <w:sz w:val="16"/>
                <w:szCs w:val="16"/>
                <w:lang w:val="fr-FR"/>
              </w:rPr>
              <w:t>/</w:t>
            </w:r>
            <w:proofErr w:type="spellStart"/>
            <w:r w:rsidRPr="00113825">
              <w:rPr>
                <w:rFonts w:cstheme="majorHAnsi"/>
                <w:sz w:val="16"/>
                <w:szCs w:val="16"/>
                <w:lang w:val="fr-FR"/>
              </w:rPr>
              <w:t>Italy</w:t>
            </w:r>
            <w:proofErr w:type="spellEnd"/>
            <w:r w:rsidRPr="00113825">
              <w:rPr>
                <w:rFonts w:cstheme="majorHAnsi"/>
                <w:sz w:val="16"/>
                <w:szCs w:val="16"/>
                <w:lang w:val="fr-FR"/>
              </w:rPr>
              <w:t>)</w:t>
            </w:r>
            <w:r w:rsidRPr="00113825">
              <w:rPr>
                <w:rFonts w:cstheme="majorHAnsi"/>
                <w:sz w:val="16"/>
                <w:szCs w:val="16"/>
              </w:rPr>
              <w:fldChar w:fldCharType="begin" w:fldLock="1"/>
            </w:r>
            <w:r w:rsidR="0089363E" w:rsidRPr="00113825">
              <w:rPr>
                <w:rFonts w:cstheme="majorHAnsi"/>
                <w:sz w:val="16"/>
                <w:szCs w:val="16"/>
                <w:lang w:val="fr-FR"/>
              </w:rPr>
              <w:instrText>ADDIN CSL_CITATION {"citationItems":[{"id":"ITEM-1","itemData":{"DOI":"10.1016/j.rser.2019.06.019","ISSN":"18790690","abstract":"Global energy demand is lowering its growth, but it is still expected to increase by 30% between now and 2040. To decrease greenhouse gas emissions a shift to more sustainable renewable energy sources is fundamental. Among the renewable energy sources, biomasses already have the largest share in Europe and their future demand for biorefinery plants will increase at global level. This study provides a comprehensive and exportable categorization of the residual biomasses (RB) from different supply sectors. Thanks to the individual descriptive and quantitative parameters introduced in the paper, an estimate of the theoretical and techno-economic potential is presented for a well-industrialized, agricultural-oriented and environmentally advanced European Region. Results are presented as recoverable biogas or biomethane, considering also the seasonal availability. In a relatively small region like Emilia Romagna (Italy), 106 different types of residual biomasses belonging to 6 main groups have been characterized. Over half of the total residues come from the agro-industrial and food businesses (58) followed by the agricultural sector (33). The estimate reveals a theoretical potential of 3544 ± 291 Gg/year of total solids for thermochemical valorisation and 3460 ± 639 Gg/year of total solids suitable for biological treatment. In terms of unused potential, the quantities decrease respectively to 2120 ± 298 and 915 ± 167 Gg/year. The estimates indicate stable results over the years from 2014 to 2016. The seasonal availability shows two evident peaks from August to October, while a significant shortage is present from April to June for the residues suitable for thermochemical valorisation. The theoretical potential that can be obtained from the Region's residues corresponds to about 1.8–2.3 million TOE/year, corresponding to 13–17% of the total regional consumption. Unused residues contribute to 0.9–1.2 million TOE/year.","author":[{"dropping-particle":"","family":"Greggio","given":"Nicolas","non-dropping-particle":"","parse-names":false,"suffix":""},{"dropping-particle":"","family":"Balugani","given":"Enrico","non-dropping-particle":"","parse-names":false,"suffix":""},{"dropping-particle":"","family":"Carlini","given":"Carlotta","non-dropping-particle":"","parse-names":false,"suffix":""},{"dropping-particle":"","family":"Contin","given":"Andrea","non-dropping-particle":"","parse-names":false,"suffix":""},{"dropping-particle":"","family":"Labartino","given":"Nicola","non-dropping-particle":"","parse-names":false,"suffix":""},{"dropping-particle":"","family":"Porcelli","given":"Roberto","non-dropping-particle":"","parse-names":false,"suffix":""},{"dropping-particle":"","family":"Quaranta","given":"Marta","non-dropping-particle":"","parse-names":false,"suffix":""},{"dropping-particle":"","family":"Righi","given":"Serena","non-dropping-particle":"","parse-names":false,"suffix":""},{"dropping-particle":"","family":"Vogli","given":"Luciano","non-dropping-particle":"","parse-names":false,"suffix":""},{"dropping-particle":"","family":"Marazza","given":"Diego","non-dropping-particle":"","parse-names":false,"suffix":""}],"container-title":"Renewable and Sustainable Energy Reviews","id":"ITEM-1","issue":"June","issued":{"date-parts":[["2019"]]},"page":"590-606","title":"Theoretical and unused potential for residual biomasses in the emilia Romagna Region (Italy) through a revised and portable framework for their categorization","type":"article-journal","volume":"112"},"uris":["http://www.mendeley.com/documents/?uuid=f2d68b4f-eeb9-47b6-9ff1-3104d23b92f7"]}],"mendeley":{"formattedCitation":"[28]","plainTextFormattedCitation":"[28]","previouslyFormattedCitation":"(Greggio &lt;i&gt;et al.&lt;/i&gt;, 2019)"},"properties":{"noteIndex":0},"schema":"https://github.com/citation-style-language/schema/raw/master/csl-citation.json"}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[28]</w:t>
            </w:r>
            <w:r w:rsidRPr="00113825">
              <w:rPr>
                <w:rFonts w:cstheme="majorHAnsi"/>
                <w:sz w:val="16"/>
                <w:szCs w:val="16"/>
              </w:rPr>
              <w:fldChar w:fldCharType="end"/>
            </w:r>
          </w:p>
        </w:tc>
        <w:tc>
          <w:tcPr>
            <w:tcW w:w="1080" w:type="dxa"/>
          </w:tcPr>
          <w:p w14:paraId="513802B0"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2019</w:t>
            </w:r>
          </w:p>
        </w:tc>
        <w:tc>
          <w:tcPr>
            <w:tcW w:w="3510" w:type="dxa"/>
          </w:tcPr>
          <w:p w14:paraId="6CCBFCC4"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1. Raster/Vector data of forest area (ha)</w:t>
            </w:r>
          </w:p>
          <w:p w14:paraId="68ACDB72" w14:textId="2750D1FF" w:rsidR="008C7B26" w:rsidRPr="00113825" w:rsidRDefault="008C7B26" w:rsidP="008C7B26">
            <w:pPr>
              <w:spacing w:after="0" w:line="240" w:lineRule="auto"/>
              <w:jc w:val="both"/>
              <w:rPr>
                <w:rFonts w:cstheme="majorHAnsi"/>
                <w:sz w:val="16"/>
                <w:szCs w:val="16"/>
              </w:rPr>
            </w:pPr>
            <w:r w:rsidRPr="00113825">
              <w:rPr>
                <w:rFonts w:cstheme="majorHAnsi"/>
                <w:sz w:val="16"/>
                <w:szCs w:val="16"/>
              </w:rPr>
              <w:t>2. Raster/Vector data of average stemwood net annual increment per area based on inventory statistics (Region, Pixel, Raster) m</w:t>
            </w:r>
            <w:r w:rsidRPr="00113825">
              <w:rPr>
                <w:rFonts w:cstheme="majorHAnsi"/>
                <w:sz w:val="16"/>
                <w:szCs w:val="16"/>
                <w:vertAlign w:val="superscript"/>
              </w:rPr>
              <w:t>3</w:t>
            </w:r>
            <w:r w:rsidRPr="00113825">
              <w:rPr>
                <w:rFonts w:cstheme="majorHAnsi"/>
                <w:sz w:val="16"/>
                <w:szCs w:val="16"/>
              </w:rPr>
              <w:t>ha</w:t>
            </w:r>
            <w:r w:rsidRPr="00113825">
              <w:rPr>
                <w:rFonts w:cstheme="majorHAnsi"/>
                <w:sz w:val="16"/>
                <w:szCs w:val="16"/>
                <w:vertAlign w:val="superscript"/>
              </w:rPr>
              <w:t>-1</w:t>
            </w:r>
            <w:r w:rsidR="006167B1" w:rsidRPr="00113825">
              <w:rPr>
                <w:rFonts w:cstheme="majorHAnsi"/>
                <w:sz w:val="16"/>
                <w:szCs w:val="16"/>
              </w:rPr>
              <w:t>year</w:t>
            </w:r>
            <w:r w:rsidRPr="00113825">
              <w:rPr>
                <w:rFonts w:cstheme="majorHAnsi"/>
                <w:sz w:val="16"/>
                <w:szCs w:val="16"/>
                <w:vertAlign w:val="superscript"/>
              </w:rPr>
              <w:t>-1</w:t>
            </w:r>
          </w:p>
          <w:p w14:paraId="4A6B8226" w14:textId="3EB9AB03" w:rsidR="008C7B26" w:rsidRPr="00113825" w:rsidRDefault="008C7B26" w:rsidP="008C7B26">
            <w:pPr>
              <w:spacing w:after="0" w:line="240" w:lineRule="auto"/>
              <w:jc w:val="both"/>
              <w:rPr>
                <w:rFonts w:cstheme="majorHAnsi"/>
                <w:sz w:val="16"/>
                <w:szCs w:val="16"/>
              </w:rPr>
            </w:pPr>
            <w:r w:rsidRPr="00113825">
              <w:rPr>
                <w:rFonts w:cstheme="majorHAnsi"/>
                <w:sz w:val="16"/>
                <w:szCs w:val="16"/>
              </w:rPr>
              <w:t>3. Wood density for different forest type/species (</w:t>
            </w:r>
            <w:r w:rsidR="006C1969" w:rsidRPr="00113825">
              <w:rPr>
                <w:rFonts w:cstheme="majorHAnsi"/>
                <w:sz w:val="16"/>
                <w:szCs w:val="16"/>
              </w:rPr>
              <w:t>Mg</w:t>
            </w:r>
            <w:r w:rsidRPr="00113825">
              <w:rPr>
                <w:rFonts w:cstheme="majorHAnsi"/>
                <w:sz w:val="16"/>
                <w:szCs w:val="16"/>
                <w:vertAlign w:val="subscript"/>
              </w:rPr>
              <w:t>dry matter</w:t>
            </w:r>
            <w:r w:rsidRPr="00113825">
              <w:rPr>
                <w:rFonts w:cstheme="majorHAnsi"/>
                <w:sz w:val="16"/>
                <w:szCs w:val="16"/>
              </w:rPr>
              <w:t xml:space="preserve"> m</w:t>
            </w:r>
            <w:r w:rsidRPr="00113825">
              <w:rPr>
                <w:rFonts w:cstheme="majorHAnsi"/>
                <w:sz w:val="16"/>
                <w:szCs w:val="16"/>
                <w:vertAlign w:val="superscript"/>
              </w:rPr>
              <w:t>-3</w:t>
            </w:r>
            <w:r w:rsidRPr="00113825">
              <w:rPr>
                <w:rFonts w:cstheme="majorHAnsi"/>
                <w:sz w:val="16"/>
                <w:szCs w:val="16"/>
              </w:rPr>
              <w:t>)</w:t>
            </w:r>
          </w:p>
          <w:p w14:paraId="196CCE90"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4. Biomass Expansion Factors</w:t>
            </w:r>
          </w:p>
        </w:tc>
        <w:tc>
          <w:tcPr>
            <w:tcW w:w="5760" w:type="dxa"/>
          </w:tcPr>
          <w:p w14:paraId="7E3D2D38"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Estimation involves multiple steps that can affect the accuracy of the estimated results.</w:t>
            </w:r>
          </w:p>
          <w:p w14:paraId="0BFCC56B"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 xml:space="preserve">Clear steps for the estimation of each parameter. </w:t>
            </w:r>
          </w:p>
          <w:p w14:paraId="7B2E47F3" w14:textId="77777777" w:rsidR="008C7B26" w:rsidRPr="00113825" w:rsidRDefault="008C7B26" w:rsidP="008C7B26">
            <w:pPr>
              <w:numPr>
                <w:ilvl w:val="0"/>
                <w:numId w:val="8"/>
              </w:numPr>
              <w:spacing w:after="0" w:line="240" w:lineRule="auto"/>
              <w:ind w:left="162" w:hanging="162"/>
              <w:contextualSpacing/>
              <w:jc w:val="both"/>
              <w:rPr>
                <w:rFonts w:cstheme="majorHAnsi"/>
                <w:b/>
                <w:sz w:val="16"/>
                <w:szCs w:val="16"/>
              </w:rPr>
            </w:pPr>
            <w:r w:rsidRPr="00113825">
              <w:rPr>
                <w:rFonts w:cstheme="majorHAnsi"/>
                <w:sz w:val="16"/>
                <w:szCs w:val="16"/>
              </w:rPr>
              <w:t>Can be used for assessment at various scales starting from plot to continental without compromising accuracy.</w:t>
            </w:r>
          </w:p>
          <w:p w14:paraId="398B2A51"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Involves using actual field data along with forest map, thus, making it suitable for a variety of scales.</w:t>
            </w:r>
          </w:p>
          <w:p w14:paraId="2AE334C7"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Explicitly described steps make incorporation of uncertainty possible.</w:t>
            </w:r>
          </w:p>
        </w:tc>
      </w:tr>
      <w:tr w:rsidR="00DE6E0A" w:rsidRPr="00113825" w14:paraId="37942365" w14:textId="77777777" w:rsidTr="00C53CF3">
        <w:trPr>
          <w:trHeight w:val="1349"/>
        </w:trPr>
        <w:tc>
          <w:tcPr>
            <w:tcW w:w="715" w:type="dxa"/>
          </w:tcPr>
          <w:p w14:paraId="01308493" w14:textId="44BFA997" w:rsidR="008C7B26" w:rsidRPr="00113825" w:rsidRDefault="008C7B26" w:rsidP="0089363E">
            <w:pPr>
              <w:spacing w:after="0" w:line="240" w:lineRule="auto"/>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10.1080/15481603.2019.1641653","ISSN":"15481603","author":[{"dropping-particle":"","family":"Domingo","given":"Darío","non-dropping-particle":"","parse-names":false,"suffix":""},{"dropping-particle":"","family":"Montealegre","given":"Antonio Luis","non-dropping-particle":"","parse-names":false,"suffix":""},{"dropping-particle":"","family":"Lamelas","given":"María Teresa","non-dropping-particle":"","parse-names":false,"suffix":""},{"dropping-particle":"","family":"García-Martín","given":"Alberto","non-dropping-particle":"","parse-names":false,"suffix":""},{"dropping-particle":"","family":"la Riva","given":"Juan","non-dropping-particle":"de","parse-names":false,"suffix":""},{"dropping-particle":"","family":"Rodríguez","given":"Francisco","non-dropping-particle":"","parse-names":false,"suffix":""},{"dropping-particle":"","family":"Alonso","given":"Rafael","non-dropping-particle":"","parse-names":false,"suffix":""}],"container-title":"GIScience and Remote Sensing","id":"ITEM-1","issue":"0","issued":{"date-parts":[["2019"]]},"page":"1-23","publisher":"Taylor &amp; Francis","title":"Quantifying forest residual biomass in Pinus halepensis Miller stands using Airborne Laser Scanning data","type":"article-journal","volume":"0"},"uris":["http://www.mendeley.com/documents/?uuid=a376918c-49a8-4c9b-9608-d45bd74c8145"]}],"mendeley":{"formattedCitation":"[30]","plainTextFormattedCitation":"[30]","previouslyFormattedCitation":"(Domingo &lt;i&gt;et al.&lt;/i&gt;, 2019)"},"properties":{"noteIndex":0},"schema":"https://github.com/citation-style-language/schema/raw/master/csl-citation.json"}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[30]</w:t>
            </w:r>
            <w:r w:rsidRPr="00113825">
              <w:rPr>
                <w:rFonts w:cstheme="majorHAnsi"/>
                <w:sz w:val="16"/>
                <w:szCs w:val="16"/>
              </w:rPr>
              <w:fldChar w:fldCharType="end"/>
            </w:r>
          </w:p>
        </w:tc>
        <w:tc>
          <w:tcPr>
            <w:tcW w:w="2970" w:type="dxa"/>
          </w:tcPr>
          <w:p w14:paraId="3D5ABB8B" w14:textId="77777777" w:rsidR="008C7B26" w:rsidRPr="00113825" w:rsidDel="0090337F" w:rsidRDefault="008C7B26" w:rsidP="008C7B26">
            <w:pPr>
              <w:spacing w:after="0" w:line="240" w:lineRule="auto"/>
              <w:jc w:val="both"/>
              <w:rPr>
                <w:rFonts w:cstheme="majorHAnsi"/>
                <w:sz w:val="16"/>
                <w:szCs w:val="16"/>
              </w:rPr>
            </w:pPr>
            <w:r w:rsidRPr="00113825">
              <w:rPr>
                <w:rFonts w:cstheme="majorHAnsi"/>
                <w:sz w:val="16"/>
                <w:szCs w:val="16"/>
              </w:rPr>
              <w:t>This approach uses field data on forest residual biomass and relates it to several independent variables extracted from Airborne Laser Scanner (ALS) to create a model for quantification of forest residual biomass using a non-parametric regression approach.</w:t>
            </w:r>
          </w:p>
        </w:tc>
        <w:tc>
          <w:tcPr>
            <w:tcW w:w="1710" w:type="dxa"/>
          </w:tcPr>
          <w:p w14:paraId="5CD9898E" w14:textId="77777777" w:rsidR="008C7B26" w:rsidRPr="00113825" w:rsidRDefault="008C7B26" w:rsidP="008C7B26">
            <w:pPr>
              <w:spacing w:after="0" w:line="240" w:lineRule="auto"/>
              <w:jc w:val="both"/>
              <w:rPr>
                <w:rFonts w:cstheme="majorHAnsi"/>
                <w:sz w:val="16"/>
                <w:szCs w:val="16"/>
                <w:lang w:val="fr-FR"/>
              </w:rPr>
            </w:pPr>
            <w:proofErr w:type="spellStart"/>
            <w:r w:rsidRPr="00113825">
              <w:rPr>
                <w:rFonts w:cstheme="majorHAnsi"/>
                <w:sz w:val="16"/>
                <w:szCs w:val="16"/>
                <w:lang w:val="fr-FR"/>
              </w:rPr>
              <w:t>Regional</w:t>
            </w:r>
            <w:proofErr w:type="spellEnd"/>
            <w:r w:rsidRPr="00113825">
              <w:rPr>
                <w:rFonts w:cstheme="majorHAnsi"/>
                <w:sz w:val="16"/>
                <w:szCs w:val="16"/>
                <w:lang w:val="fr-FR"/>
              </w:rPr>
              <w:t xml:space="preserve"> (Spain)</w:t>
            </w:r>
          </w:p>
        </w:tc>
        <w:tc>
          <w:tcPr>
            <w:tcW w:w="1080" w:type="dxa"/>
          </w:tcPr>
          <w:p w14:paraId="207EEB86" w14:textId="77777777" w:rsidR="008C7B26" w:rsidRPr="00113825" w:rsidRDefault="008C7B26" w:rsidP="008C7B26">
            <w:pPr>
              <w:spacing w:after="0" w:line="240" w:lineRule="auto"/>
              <w:jc w:val="both"/>
              <w:rPr>
                <w:rFonts w:cstheme="majorHAnsi"/>
                <w:sz w:val="16"/>
                <w:szCs w:val="16"/>
              </w:rPr>
            </w:pPr>
            <w:r w:rsidRPr="00113825">
              <w:rPr>
                <w:rFonts w:cstheme="majorHAnsi"/>
                <w:sz w:val="16"/>
                <w:szCs w:val="16"/>
              </w:rPr>
              <w:t>2019</w:t>
            </w:r>
          </w:p>
        </w:tc>
        <w:tc>
          <w:tcPr>
            <w:tcW w:w="3510" w:type="dxa"/>
          </w:tcPr>
          <w:p w14:paraId="401E2C7A" w14:textId="06A51BD4" w:rsidR="008C7B26" w:rsidRPr="00113825" w:rsidRDefault="008C7B26" w:rsidP="008C7B26">
            <w:pPr>
              <w:spacing w:after="0" w:line="240" w:lineRule="auto"/>
              <w:jc w:val="both"/>
              <w:rPr>
                <w:rFonts w:cstheme="majorHAnsi"/>
                <w:sz w:val="16"/>
                <w:szCs w:val="16"/>
              </w:rPr>
            </w:pPr>
            <w:r w:rsidRPr="00113825">
              <w:rPr>
                <w:rFonts w:cstheme="majorHAnsi"/>
                <w:sz w:val="16"/>
                <w:szCs w:val="16"/>
              </w:rPr>
              <w:t>1. Multi-</w:t>
            </w:r>
            <w:r w:rsidR="006167B1" w:rsidRPr="00113825">
              <w:rPr>
                <w:rFonts w:cstheme="majorHAnsi"/>
                <w:sz w:val="16"/>
                <w:szCs w:val="16"/>
              </w:rPr>
              <w:t>Year</w:t>
            </w:r>
            <w:r w:rsidRPr="00113825">
              <w:rPr>
                <w:rFonts w:cstheme="majorHAnsi"/>
                <w:sz w:val="16"/>
                <w:szCs w:val="16"/>
              </w:rPr>
              <w:t xml:space="preserve"> field forest inventory</w:t>
            </w:r>
          </w:p>
          <w:p w14:paraId="609D1205" w14:textId="21EC89D4" w:rsidR="008C7B26" w:rsidRPr="00113825" w:rsidRDefault="00125026" w:rsidP="008C7B26">
            <w:pPr>
              <w:spacing w:after="0" w:line="240" w:lineRule="auto"/>
              <w:jc w:val="both"/>
              <w:rPr>
                <w:rFonts w:cstheme="majorHAnsi"/>
                <w:sz w:val="16"/>
                <w:szCs w:val="16"/>
              </w:rPr>
            </w:pPr>
            <w:r w:rsidRPr="00113825">
              <w:rPr>
                <w:rFonts w:cstheme="majorHAnsi"/>
                <w:sz w:val="16"/>
                <w:szCs w:val="16"/>
              </w:rPr>
              <w:t>2. ALS point cloud data</w:t>
            </w:r>
          </w:p>
        </w:tc>
        <w:tc>
          <w:tcPr>
            <w:tcW w:w="5760" w:type="dxa"/>
          </w:tcPr>
          <w:p w14:paraId="04C93185"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Very high spatial resolution, Ideal for sub-regional study.</w:t>
            </w:r>
          </w:p>
          <w:p w14:paraId="357D7DC7"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Limited coverage (swath)</w:t>
            </w:r>
          </w:p>
          <w:p w14:paraId="2A4F198E" w14:textId="77777777" w:rsidR="008C7B26" w:rsidRPr="00113825" w:rsidRDefault="008C7B26" w:rsidP="008C7B26">
            <w:pPr>
              <w:numPr>
                <w:ilvl w:val="0"/>
                <w:numId w:val="8"/>
              </w:numPr>
              <w:spacing w:after="0" w:line="240" w:lineRule="auto"/>
              <w:ind w:left="162" w:hanging="162"/>
              <w:contextualSpacing/>
              <w:jc w:val="both"/>
              <w:rPr>
                <w:rFonts w:cstheme="majorHAnsi"/>
                <w:sz w:val="16"/>
                <w:szCs w:val="16"/>
              </w:rPr>
            </w:pPr>
            <w:r w:rsidRPr="00113825">
              <w:rPr>
                <w:rFonts w:cstheme="majorHAnsi"/>
                <w:sz w:val="16"/>
                <w:szCs w:val="16"/>
              </w:rPr>
              <w:t>Only covers a particular species (</w:t>
            </w:r>
            <w:proofErr w:type="spellStart"/>
            <w:r w:rsidRPr="00113825">
              <w:rPr>
                <w:rFonts w:cstheme="majorHAnsi"/>
                <w:i/>
                <w:sz w:val="16"/>
                <w:szCs w:val="16"/>
              </w:rPr>
              <w:t>Pinus</w:t>
            </w:r>
            <w:proofErr w:type="spellEnd"/>
            <w:r w:rsidRPr="00113825">
              <w:rPr>
                <w:rFonts w:cstheme="majorHAnsi"/>
                <w:i/>
                <w:sz w:val="16"/>
                <w:szCs w:val="16"/>
              </w:rPr>
              <w:t xml:space="preserve"> </w:t>
            </w:r>
            <w:proofErr w:type="spellStart"/>
            <w:r w:rsidRPr="00113825">
              <w:rPr>
                <w:rFonts w:cstheme="majorHAnsi"/>
                <w:i/>
                <w:sz w:val="16"/>
                <w:szCs w:val="16"/>
              </w:rPr>
              <w:t>halepensis</w:t>
            </w:r>
            <w:proofErr w:type="spellEnd"/>
            <w:r w:rsidRPr="00113825">
              <w:rPr>
                <w:rFonts w:cstheme="majorHAnsi"/>
                <w:sz w:val="16"/>
                <w:szCs w:val="16"/>
              </w:rPr>
              <w:t>), hence it may not be suitable for complex forests with heterogeneous species.</w:t>
            </w:r>
          </w:p>
        </w:tc>
      </w:tr>
    </w:tbl>
    <w:p w14:paraId="491EA61E" w14:textId="77777777" w:rsidR="008C7B26" w:rsidRPr="00113825" w:rsidRDefault="008C7B26" w:rsidP="008C7B26">
      <w:pPr>
        <w:spacing w:after="0"/>
        <w:rPr>
          <w:sz w:val="16"/>
          <w:szCs w:val="20"/>
        </w:rPr>
      </w:pPr>
      <w:r w:rsidRPr="00113825">
        <w:rPr>
          <w:sz w:val="16"/>
          <w:szCs w:val="20"/>
        </w:rPr>
        <w:t xml:space="preserve">* </w:t>
      </w:r>
      <w:proofErr w:type="spellStart"/>
      <w:r w:rsidRPr="00113825">
        <w:rPr>
          <w:sz w:val="16"/>
          <w:szCs w:val="20"/>
        </w:rPr>
        <w:t>EoA</w:t>
      </w:r>
      <w:proofErr w:type="spellEnd"/>
      <w:r w:rsidRPr="00113825">
        <w:rPr>
          <w:sz w:val="16"/>
          <w:szCs w:val="20"/>
        </w:rPr>
        <w:t>: Example of application of the specific method</w:t>
      </w:r>
    </w:p>
    <w:p w14:paraId="37D7B13A" w14:textId="77777777" w:rsidR="008C7B26" w:rsidRPr="00113825" w:rsidRDefault="008C7B26" w:rsidP="008C7B26">
      <w:pPr>
        <w:rPr>
          <w:rFonts w:cstheme="majorHAnsi"/>
          <w:sz w:val="16"/>
          <w:szCs w:val="16"/>
        </w:rPr>
        <w:sectPr w:rsidR="008C7B26" w:rsidRPr="00113825" w:rsidSect="001665E4">
          <w:pgSz w:w="16838" w:h="11906" w:orient="landscape" w:code="9"/>
          <w:pgMar w:top="540" w:right="458" w:bottom="1080" w:left="540" w:header="720" w:footer="720" w:gutter="0"/>
          <w:cols w:space="720"/>
          <w:docGrid w:linePitch="360"/>
        </w:sectPr>
      </w:pPr>
      <w:r w:rsidRPr="00113825">
        <w:rPr>
          <w:rFonts w:cstheme="majorHAnsi"/>
          <w:sz w:val="16"/>
          <w:szCs w:val="16"/>
        </w:rPr>
        <w:t xml:space="preserve">† The BEE best practices and methods handbook presents three methods for the estimation of stemwood and primary forestry residues viz.; basic spatially explicit method, advanced spatially explicit method, cost-supply method. Out of these three, only the first one is most transparent in terms of representing actual theoretical potential without any sustainability or feasibility constraints. </w:t>
      </w:r>
    </w:p>
    <w:p w14:paraId="412AD27D" w14:textId="1D22EA19" w:rsidR="00125026" w:rsidRPr="00113825" w:rsidRDefault="00125026" w:rsidP="001600B3">
      <w:pPr>
        <w:jc w:val="both"/>
        <w:rPr>
          <w:szCs w:val="20"/>
        </w:rPr>
      </w:pPr>
      <w:r w:rsidRPr="00113825">
        <w:rPr>
          <w:szCs w:val="20"/>
        </w:rPr>
        <w:lastRenderedPageBreak/>
        <w:t xml:space="preserve">As highlighted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szCs w:val="20"/>
        </w:rPr>
        <w:t xml:space="preserve">, researchers have adopted several methods for estimating PFRs. The diversity in these methods is an indicator of the lack of standardization for such assessments. Furthermore, the approaches listed chronologically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szCs w:val="20"/>
        </w:rPr>
        <w:t xml:space="preserve"> also highlight how technological improvements in remote sensing over the years have changed the data requirements, with recent methods </w:t>
      </w:r>
      <w:r w:rsidRPr="00113825">
        <w:rPr>
          <w:szCs w:val="20"/>
        </w:rPr>
        <w:fldChar w:fldCharType="begin" w:fldLock="1"/>
      </w:r>
      <w:r w:rsidR="0089363E" w:rsidRPr="00113825">
        <w:rPr>
          <w:szCs w:val="20"/>
        </w:rPr>
        <w:instrText>ADDIN CSL_CITATION {"citationItems":[{"id":"ITEM-1","itemData":{"DOI":"10.1139/cjfr-2015-0451","ISSN":"0045-5067","abstract":"© 2016, National Research Council of Canada. All rights reserved. Growing demand for bioenergy, biofuels, and bioproducts has increased interests in the utilization of biomass residues from forest treatments as feedstock. In areas with limited history of industrial biomass utilization, uncertainties in the quantity, distribution, and cost o f biomass production and logistics can hinder the development of new bio-based industries. This paper introduces a new methodology to quantify and spatially describe delivered feedstock volumes and costs across landscapes of arbitrary size in ways that characterize operational and annual management decision-making. Using National Agricultural Imagery Program (NAIP) imagery, the forest is segmented into operational-level treatment units. A remote sensing model based on NAIP imagery and Forest Inventory and Analysis plot data are used to attribute treatment units with stand-level estimates of basal area, tree density, aboveground biomass, and quadratic mean diameter. These methods are applied to a study site in southwestern Colorado to assess the quantity and distribution of treatment residue for use in bioenergy production. Results from the case study demonstrate how this generalized approach can be used in the analysis and decision-making process when establishing new bioenergy industries that use forest residue as feedstock.","author":[{"dropping-particle":"","family":"Wells","given":"Lucas A.","non-dropping-particle":"","parse-names":false,"suffix":""},{"dropping-particle":"","family":"Chung","given":"Woodam","non-dropping-particle":"","parse-names":false,"suffix":""},{"dropping-particle":"","family":"Anderson","given":"Nathaniel M.","non-dropping-particle":"","parse-names":false,"suffix":""},{"dropping-particle":"","family":"Hogland","given":"John S.","non-dropping-particle":"","parse-names":false,"suffix":""}],"container-title":"Canadian Journal of Forest Research","id":"ITEM-1","issue":"6","issued":{"date-parts":[["2016"]]},"page":"832-843","title":"Spatial and temporal quantification of forest residue volumes and delivered costs","type":"article-journal","volume":"46"},"uris":["http://www.mendeley.com/documents/?uuid=f270ea36-fcd0-4130-b97f-cb0a883c3110"]},{"id":"ITEM-2","itemData":{"DOI":"10.1139/cjfr-2018-0080","ISSN":"0045-5067","author":[{"dropping-particle":"","family":"Barrette","given":"Julie","non-dropping-particle":"","parse-names":false,"suffix":""},{"dropping-particle":"","family":"Paré","given":"David","non-dropping-particle":"","parse-names":false,"suffix":""},{"dropping-particle":"","family":"Manka","given":"Francis","non-dropping-particle":"","parse-names":false,"suffix":""},{"dropping-particle":"","family":"Guindon","given":"Luc","non-dropping-particle":"","parse-names":false,"suffix":""},{"dropping-particle":"","family":"Bernier","given":"Pierre","non-dropping-particle":"","parse-names":false,"suffix":""},{"dropping-particle":"","family":"Titus","given":"Brian","non-dropping-particle":"","parse-names":false,"suffix":""}],"container-title":"Canadian Journal of Forest Research","id":"ITEM-2","issue":"12","issued":{"date-parts":[["2018","12"]]},"page":"1470-1481","title":"Forecasting the spatial distribution of logging residues across the Canadian managed forest","type":"article-journal","volume":"48"},"uris":["http://www.mendeley.com/documents/?uuid=4794e021-1c40-4b32-9942-3777c7161f55"]},{"id":"ITEM-3","itemData":{"DOI":"10.1080/15481603.2019.1641653","ISSN":"15481603","author":[{"dropping-particle":"","family":"Domingo","given":"Darío","non-dropping-particle":"","parse-names":false,"suffix":""},{"dropping-particle":"","family":"Montealegre","given":"Antonio Luis","non-dropping-particle":"","parse-names":false,"suffix":""},{"dropping-particle":"","family":"Lamelas","given":"María Teresa","non-dropping-particle":"","parse-names":false,"suffix":""},{"dropping-particle":"","family":"García-Martín","given":"Alberto","non-dropping-particle":"","parse-names":false,"suffix":""},{"dropping-particle":"","family":"la Riva","given":"Juan","non-dropping-particle":"de","parse-names":false,"suffix":""},{"dropping-particle":"","family":"Rodríguez","given":"Francisco","non-dropping-particle":"","parse-names":false,"suffix":""},{"dropping-particle":"","family":"Alonso","given":"Rafael","non-dropping-particle":"","parse-names":false,"suffix":""}],"container-title":"GIScience and Remote Sensing","id":"ITEM-3","issue":"0","issued":{"date-parts":[["2019"]]},"page":"1-23","publisher":"Taylor &amp; Francis","title":"Quantifying forest residual biomass in Pinus halepensis Miller stands using Airborne Laser Scanning data","type":"article-journal","volume":"0"},"uris":["http://www.mendeley.com/documents/?uuid=a376918c-49a8-4c9b-9608-d45bd74c8145"]}],"mendeley":{"formattedCitation":"[13], [24], [30]","plainTextFormattedCitation":"[13], [24], [30]","previouslyFormattedCitation":"(Wells &lt;i&gt;et al.&lt;/i&gt;, 2016; Barrette &lt;i&gt;et al.&lt;/i&gt;, 2018; Domingo &lt;i&gt;et al.&lt;/i&gt;, 2019)"},"properties":{"noteIndex":0},"schema":"https://github.com/citation-style-language/schema/raw/master/csl-citation.json"}</w:instrText>
      </w:r>
      <w:r w:rsidRPr="00113825">
        <w:rPr>
          <w:szCs w:val="20"/>
        </w:rPr>
        <w:fldChar w:fldCharType="separate"/>
      </w:r>
      <w:r w:rsidR="0089363E" w:rsidRPr="00113825">
        <w:rPr>
          <w:noProof/>
          <w:szCs w:val="20"/>
        </w:rPr>
        <w:t>[13], [24], [30]</w:t>
      </w:r>
      <w:r w:rsidRPr="00113825">
        <w:rPr>
          <w:szCs w:val="20"/>
        </w:rPr>
        <w:fldChar w:fldCharType="end"/>
      </w:r>
      <w:r w:rsidRPr="00113825">
        <w:rPr>
          <w:szCs w:val="20"/>
        </w:rPr>
        <w:t xml:space="preserve"> relying on actual remote sensing measurements than purely being based on certain assumptions and models </w:t>
      </w:r>
      <w:r w:rsidRPr="00113825">
        <w:rPr>
          <w:szCs w:val="20"/>
        </w:rPr>
        <w:fldChar w:fldCharType="begin" w:fldLock="1"/>
      </w:r>
      <w:r w:rsidR="0089363E" w:rsidRPr="00113825">
        <w:rPr>
          <w:szCs w:val="20"/>
        </w:rPr>
        <w:instrText>ADDIN CSL_CITATION {"citationItems":[{"id":"ITEM-1","itemData":{"DOI":"10.1016/j.biombioe.2009.05.026","ISSN":"09619534","abstract":"The present work is mainly devoted to provide a rigorous analysis on the quantification, the mapping and the management of the bioenergy potential of forest residues from the most representative forestry species of the west-central region of Spain (Cáceres). An appropriate methodological approach for the estimate of potential biomass and potential bioenergy as well as the use of GIS for data process are both crucial for the design of thermal plants and for the accurate estimate of biomass collection and transportation costs, according to the scale economy of the plant. The total forest residues in the province of Cáceres are estimated as 463 000 t y-1. The availability of such major biomass potential for energy production is strongly conditioned to the inherent difficulties during the extraction process. This way, an energy potential of 139 000 toe y-1 would be achieved if the above-mentioned biomass collection rate is assumed. The method to optimise the search for suitable locations for thermal plants as well as for biomass extraction/collection areas, based on the combined use of GIS and spatial analysis techniques, is also described. © 2009 Elsevier Ltd. All rights reserved.","author":[{"dropping-particle":"","family":"López-Rodríguez","given":"F.","non-dropping-particle":"","parse-names":false,"suffix":""},{"dropping-particle":"","family":"Atanet","given":"C. Pérez","non-dropping-particle":"","parse-names":false,"suffix":""},{"dropping-particle":"","family":"Blázquez","given":"F. Cuadros","non-dropping-particle":"","parse-names":false,"suffix":""},{"dropping-particle":"","family":"Celma","given":"A. Ruiz","non-dropping-particle":"","parse-names":false,"suffix":""}],"container-title":"Biomass and Bioenergy","id":"ITEM-1","issue":"10","issued":{"date-parts":[["2009"]]},"page":"1358-1366","title":"Spatial assessment of the bioenergy potential of forest residues in the western province of Spain, Caceres","type":"article-journal","volume":"33"},"uris":["http://www.mendeley.com/documents/?uuid=59afde19-2792-4eab-8e36-e925eb04b3b9"]},{"id":"ITEM-2","itemData":{"DOI":"10.1016/j.biombioe.2009.05.008","ISSN":"09619534","abstract":"This article describes a study on the quantification and use of forest biomass residues in Maputo province, in Mozambique. The study was performed based on information from the thematic cartography of soils of Maputo province, provided by the National Direction of Forest and Land of Mozambique, and data for the forest growth rates available in the literature. It was estimated that the total production of forest biomass residues in Maputo province is 1,233,412 ton/year, with a corresponding energy potential of 17,267,771 GJ/year. As a way of making the forest biomass residues profitable, the present work proposes the use of part of the residues as fuel in new power plants to be build in Maputo province. In this part of the study aiming at implanting power plants in Maputo province, it was taken into account the risk of forest fires, number of existing consumers of forest residues, residues availability, protected forests, transport infrastructures and existence of national electric network. It was found that the districts of Magude and Moamba are those that have the best conditions to receive the new biomass power plants. Factors such as the cost of the technology and the degree of pre-treatment of the forest residues have been taken into consideration in choosing the combustion technology for the proposed power plants. In this context, the grate burning technology appears to be the most advantageous from costs/benefits viewpoint. The proposed power plants can produce about 236,520 MWh, which is equivalent to 32% of the energy consumed in Maputo province in 2004. © 2009 Elsevier Ltd. All rights reserved.","author":[{"dropping-particle":"","family":"Vasco","given":"H.","non-dropping-particle":"","parse-names":false,"suffix":""},{"dropping-particle":"","family":"Costa","given":"M.","non-dropping-particle":"","parse-names":false,"suffix":""}],"container-title":"Biomass and Bioenergy","id":"ITEM-2","issue":"9","issued":{"date-parts":[["2009","9"]]},"page":"1221-1228","title":"Quantification and use of forest biomass residues in Maputo province, Mozambique","type":"article-journal","volume":"33"},"uris":["http://www.mendeley.com/documents/?uuid=fa85bad8-a592-3f2e-80db-fc6f85c25ee3"]}],"mendeley":{"formattedCitation":"[21], [22]","plainTextFormattedCitation":"[21], [22]","previouslyFormattedCitation":"(López-Rodríguez &lt;i&gt;et al.&lt;/i&gt;, 2009; Vasco and Costa, 2009)"},"properties":{"noteIndex":0},"schema":"https://github.com/citation-style-language/schema/raw/master/csl-citation.json"}</w:instrText>
      </w:r>
      <w:r w:rsidRPr="00113825">
        <w:rPr>
          <w:szCs w:val="20"/>
        </w:rPr>
        <w:fldChar w:fldCharType="separate"/>
      </w:r>
      <w:r w:rsidR="0089363E" w:rsidRPr="00113825">
        <w:rPr>
          <w:noProof/>
          <w:szCs w:val="20"/>
        </w:rPr>
        <w:t>[21], [22]</w:t>
      </w:r>
      <w:r w:rsidRPr="00113825">
        <w:rPr>
          <w:szCs w:val="20"/>
        </w:rPr>
        <w:fldChar w:fldCharType="end"/>
      </w:r>
      <w:r w:rsidRPr="00113825">
        <w:rPr>
          <w:szCs w:val="20"/>
        </w:rPr>
        <w:t xml:space="preserve">. However, almost all of the methods listed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szCs w:val="20"/>
        </w:rPr>
        <w:t xml:space="preserve"> require field data on forest inventory or statistics for either initializing their model or for validating the results. Field data is essential for robust estimation of PFRs, as the quantity of PFRs is primarily dependent on the harvesting practices, which varies spatially due to several factors such as forest type, harvesting policies, machinery, management practices, etc. Out of all the methods presented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szCs w:val="20"/>
        </w:rPr>
        <w:t xml:space="preserve">, only two methods seem promising </w:t>
      </w:r>
      <w:r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id":"ITEM-2","itemData":{"DOI":"10.1139/cjfr-2018-0080","ISSN":"0045-5067","author":[{"dropping-particle":"","family":"Barrette","given":"Julie","non-dropping-particle":"","parse-names":false,"suffix":""},{"dropping-particle":"","family":"Paré","given":"David","non-dropping-particle":"","parse-names":false,"suffix":""},{"dropping-particle":"","family":"Manka","given":"Francis","non-dropping-particle":"","parse-names":false,"suffix":""},{"dropping-particle":"","family":"Guindon","given":"Luc","non-dropping-particle":"","parse-names":false,"suffix":""},{"dropping-particle":"","family":"Bernier","given":"Pierre","non-dropping-particle":"","parse-names":false,"suffix":""},{"dropping-particle":"","family":"Titus","given":"Brian","non-dropping-particle":"","parse-names":false,"suffix":""}],"container-title":"Canadian Journal of Forest Research","id":"ITEM-2","issue":"12","issued":{"date-parts":[["2018","12"]]},"page":"1470-1481","title":"Forecasting the spatial distribution of logging residues across the Canadian managed forest","type":"article-journal","volume":"48"},"uris":["http://www.mendeley.com/documents/?uuid=4794e021-1c40-4b32-9942-3777c7161f55"]}],"mendeley":{"formattedCitation":"[13], [29]","plainTextFormattedCitation":"[13], [29]","previouslyFormattedCitation":"(Vis, van den Berg and Al., 2010; Barrette &lt;i&gt;et al.&lt;/i&gt;, 2018)"},"properties":{"noteIndex":0},"schema":"https://github.com/citation-style-language/schema/raw/master/csl-citation.json"}</w:instrText>
      </w:r>
      <w:r w:rsidRPr="00113825">
        <w:rPr>
          <w:szCs w:val="20"/>
        </w:rPr>
        <w:fldChar w:fldCharType="separate"/>
      </w:r>
      <w:r w:rsidR="0089363E" w:rsidRPr="00113825">
        <w:rPr>
          <w:noProof/>
          <w:szCs w:val="20"/>
        </w:rPr>
        <w:t>[13], [29]</w:t>
      </w:r>
      <w:r w:rsidRPr="00113825">
        <w:rPr>
          <w:szCs w:val="20"/>
        </w:rPr>
        <w:fldChar w:fldCharType="end"/>
      </w:r>
      <w:r w:rsidRPr="00113825">
        <w:rPr>
          <w:szCs w:val="20"/>
        </w:rPr>
        <w:t xml:space="preserve"> in the context of large geographic-scale high-resolution mapping. The other methods are either too conceptual and rely primarily on ancillary data from the literature </w:t>
      </w:r>
      <w:r w:rsidRPr="00113825">
        <w:rPr>
          <w:szCs w:val="20"/>
        </w:rPr>
        <w:fldChar w:fldCharType="begin" w:fldLock="1"/>
      </w:r>
      <w:r w:rsidR="0089363E" w:rsidRPr="00113825">
        <w:rPr>
          <w:szCs w:val="20"/>
        </w:rPr>
        <w:instrText>ADDIN CSL_CITATION {"citationItems":[{"id":"ITEM-1","itemData":{"DOI":"10.1016/j.biombioe.2009.05.008","ISSN":"09619534","abstract":"This article describes a study on the quantification and use of forest biomass residues in Maputo province, in Mozambique. The study was performed based on information from the thematic cartography of soils of Maputo province, provided by the National Direction of Forest and Land of Mozambique, and data for the forest growth rates available in the literature. It was estimated that the total production of forest biomass residues in Maputo province is 1,233,412 ton/year, with a corresponding energy potential of 17,267,771 GJ/year. As a way of making the forest biomass residues profitable, the present work proposes the use of part of the residues as fuel in new power plants to be build in Maputo province. In this part of the study aiming at implanting power plants in Maputo province, it was taken into account the risk of forest fires, number of existing consumers of forest residues, residues availability, protected forests, transport infrastructures and existence of national electric network. It was found that the districts of Magude and Moamba are those that have the best conditions to receive the new biomass power plants. Factors such as the cost of the technology and the degree of pre-treatment of the forest residues have been taken into consideration in choosing the combustion technology for the proposed power plants. In this context, the grate burning technology appears to be the most advantageous from costs/benefits viewpoint. The proposed power plants can produce about 236,520 MWh, which is equivalent to 32% of the energy consumed in Maputo province in 2004. © 2009 Elsevier Ltd. All rights reserved.","author":[{"dropping-particle":"","family":"Vasco","given":"H.","non-dropping-particle":"","parse-names":false,"suffix":""},{"dropping-particle":"","family":"Costa","given":"M.","non-dropping-particle":"","parse-names":false,"suffix":""}],"container-title":"Biomass and Bioenergy","id":"ITEM-1","issue":"9","issued":{"date-parts":[["2009","9"]]},"page":"1221-1228","title":"Quantification and use of forest biomass residues in Maputo province, Mozambique","type":"article-journal","volume":"33"},"uris":["http://www.mendeley.com/documents/?uuid=fa85bad8-a592-3f2e-80db-fc6f85c25ee3"]}],"mendeley":{"formattedCitation":"[22]","plainTextFormattedCitation":"[22]","previouslyFormattedCitation":"(Vasco and Costa, 2009)"},"properties":{"noteIndex":0},"schema":"https://github.com/citation-style-language/schema/raw/master/csl-citation.json"}</w:instrText>
      </w:r>
      <w:r w:rsidRPr="00113825">
        <w:rPr>
          <w:szCs w:val="20"/>
        </w:rPr>
        <w:fldChar w:fldCharType="separate"/>
      </w:r>
      <w:r w:rsidR="0089363E" w:rsidRPr="00113825">
        <w:rPr>
          <w:noProof/>
          <w:szCs w:val="20"/>
        </w:rPr>
        <w:t>[22]</w:t>
      </w:r>
      <w:r w:rsidRPr="00113825">
        <w:rPr>
          <w:szCs w:val="20"/>
        </w:rPr>
        <w:fldChar w:fldCharType="end"/>
      </w:r>
      <w:r w:rsidRPr="00113825">
        <w:rPr>
          <w:szCs w:val="20"/>
        </w:rPr>
        <w:t xml:space="preserve">, or would be unfeasible to implement for a country scale assessment due to expensive data and processing time </w:t>
      </w:r>
      <w:r w:rsidRPr="00113825">
        <w:rPr>
          <w:szCs w:val="20"/>
        </w:rPr>
        <w:fldChar w:fldCharType="begin" w:fldLock="1"/>
      </w:r>
      <w:r w:rsidR="0089363E" w:rsidRPr="00113825">
        <w:rPr>
          <w:szCs w:val="20"/>
        </w:rPr>
        <w:instrText>ADDIN CSL_CITATION {"citationItems":[{"id":"ITEM-1","itemData":{"DOI":"10.1080/15481603.2019.1641653","ISSN":"15481603","author":[{"dropping-particle":"","family":"Domingo","given":"Darío","non-dropping-particle":"","parse-names":false,"suffix":""},{"dropping-particle":"","family":"Montealegre","given":"Antonio Luis","non-dropping-particle":"","parse-names":false,"suffix":""},{"dropping-particle":"","family":"Lamelas","given":"María Teresa","non-dropping-particle":"","parse-names":false,"suffix":""},{"dropping-particle":"","family":"García-Martín","given":"Alberto","non-dropping-particle":"","parse-names":false,"suffix":""},{"dropping-particle":"","family":"la Riva","given":"Juan","non-dropping-particle":"de","parse-names":false,"suffix":""},{"dropping-particle":"","family":"Rodríguez","given":"Francisco","non-dropping-particle":"","parse-names":false,"suffix":""},{"dropping-particle":"","family":"Alonso","given":"Rafael","non-dropping-particle":"","parse-names":false,"suffix":""}],"container-title":"GIScience and Remote Sensing","id":"ITEM-1","issue":"0","issued":{"date-parts":[["2019"]]},"page":"1-23","publisher":"Taylor &amp; Francis","title":"Quantifying forest residual biomass in Pinus halepensis Miller stands using Airborne Laser Scanning data","type":"article-journal","volume":"0"},"uris":["http://www.mendeley.com/documents/?uuid=c9a3a6f3-021c-4330-9761-5a1f931dd81a"]}],"mendeley":{"formattedCitation":"[30]","plainTextFormattedCitation":"[30]","previouslyFormattedCitation":"(Domingo &lt;i&gt;et al.&lt;/i&gt;, 2019)"},"properties":{"noteIndex":0},"schema":"https://github.com/citation-style-language/schema/raw/master/csl-citation.json"}</w:instrText>
      </w:r>
      <w:r w:rsidRPr="00113825">
        <w:rPr>
          <w:szCs w:val="20"/>
        </w:rPr>
        <w:fldChar w:fldCharType="separate"/>
      </w:r>
      <w:r w:rsidR="0089363E" w:rsidRPr="00113825">
        <w:rPr>
          <w:noProof/>
          <w:szCs w:val="20"/>
        </w:rPr>
        <w:t>[30]</w:t>
      </w:r>
      <w:r w:rsidRPr="00113825">
        <w:rPr>
          <w:szCs w:val="20"/>
        </w:rPr>
        <w:fldChar w:fldCharType="end"/>
      </w:r>
      <w:r w:rsidRPr="00113825">
        <w:rPr>
          <w:szCs w:val="20"/>
        </w:rPr>
        <w:t xml:space="preserve">. </w:t>
      </w:r>
    </w:p>
    <w:p w14:paraId="22D9EC5D" w14:textId="2F2786C5" w:rsidR="00125026" w:rsidRPr="00113825" w:rsidRDefault="00125026" w:rsidP="001600B3">
      <w:pPr>
        <w:jc w:val="both"/>
        <w:rPr>
          <w:rFonts w:cstheme="majorHAnsi"/>
          <w:szCs w:val="20"/>
        </w:rPr>
      </w:pPr>
      <w:r w:rsidRPr="00113825">
        <w:rPr>
          <w:szCs w:val="20"/>
        </w:rPr>
        <w:t xml:space="preserve">For the country scale (Canada) assessment, </w:t>
      </w:r>
      <w:proofErr w:type="spellStart"/>
      <w:r w:rsidRPr="00113825">
        <w:rPr>
          <w:szCs w:val="20"/>
        </w:rPr>
        <w:t>Barrete</w:t>
      </w:r>
      <w:proofErr w:type="spellEnd"/>
      <w:r w:rsidRPr="00113825">
        <w:rPr>
          <w:szCs w:val="20"/>
        </w:rPr>
        <w:t xml:space="preserve"> et al. </w:t>
      </w:r>
      <w:r w:rsidRPr="00113825">
        <w:rPr>
          <w:szCs w:val="20"/>
        </w:rPr>
        <w:fldChar w:fldCharType="begin" w:fldLock="1"/>
      </w:r>
      <w:r w:rsidR="0089363E" w:rsidRPr="00113825">
        <w:rPr>
          <w:szCs w:val="20"/>
        </w:rPr>
        <w:instrText>ADDIN CSL_CITATION {"citationItems":[{"id":"ITEM-1","itemData":{"DOI":"10.1139/cjfr-2018-0080","ISSN":"0045-5067","author":[{"dropping-particle":"","family":"Barrette","given":"Julie","non-dropping-particle":"","parse-names":false,"suffix":""},{"dropping-particle":"","family":"Paré","given":"David","non-dropping-particle":"","parse-names":false,"suffix":""},{"dropping-particle":"","family":"Manka","given":"Francis","non-dropping-particle":"","parse-names":false,"suffix":""},{"dropping-particle":"","family":"Guindon","given":"Luc","non-dropping-particle":"","parse-names":false,"suffix":""},{"dropping-particle":"","family":"Bernier","given":"Pierre","non-dropping-particle":"","parse-names":false,"suffix":""},{"dropping-particle":"","family":"Titus","given":"Brian","non-dropping-particle":"","parse-names":false,"suffix":""}],"container-title":"Canadian Journal of Forest Research","id":"ITEM-1","issue":"12","issued":{"date-parts":[["2018","12"]]},"page":"1470-1481","title":"Forecasting the spatial distribution of logging residues across the Canadian managed forest","type":"article-journal","volume":"48"},"uris":["http://www.mendeley.com/documents/?uuid=4794e021-1c40-4b32-9942-3777c7161f55"]}],"mendeley":{"formattedCitation":"[13]","plainTextFormattedCitation":"[13]","previouslyFormattedCitation":"(Barrette &lt;i&gt;et al.&lt;/i&gt;, 2018)"},"properties":{"noteIndex":0},"schema":"https://github.com/citation-style-language/schema/raw/master/csl-citation.json"}</w:instrText>
      </w:r>
      <w:r w:rsidRPr="00113825">
        <w:rPr>
          <w:szCs w:val="20"/>
        </w:rPr>
        <w:fldChar w:fldCharType="separate"/>
      </w:r>
      <w:r w:rsidR="0089363E" w:rsidRPr="00113825">
        <w:rPr>
          <w:noProof/>
          <w:szCs w:val="20"/>
        </w:rPr>
        <w:t>[13]</w:t>
      </w:r>
      <w:r w:rsidRPr="00113825">
        <w:rPr>
          <w:szCs w:val="20"/>
        </w:rPr>
        <w:fldChar w:fldCharType="end"/>
      </w:r>
      <w:r w:rsidRPr="00113825">
        <w:rPr>
          <w:szCs w:val="20"/>
        </w:rPr>
        <w:t xml:space="preserve"> developed an approach to spatially estimate the quantity of logging residues using remote sensing products. They used a set of multi-year harvest maps and a set of forest attribute maps along with inventory data from NFI, and finally, these data were aggregated per hectare of forest area. As reported in their study, the advantage of using this approach would be to have an estimate on the future availability of these residues at a country scale. However, there are several constraints for the application of this method in different regions of the world such as, availability of long-term (decadal) harvest maps, availability for specialized products like “</w:t>
      </w:r>
      <w:proofErr w:type="spellStart"/>
      <w:r w:rsidRPr="00113825">
        <w:rPr>
          <w:szCs w:val="20"/>
        </w:rPr>
        <w:t>CanLaD</w:t>
      </w:r>
      <w:proofErr w:type="spellEnd"/>
      <w:r w:rsidRPr="00113825">
        <w:rPr>
          <w:szCs w:val="20"/>
        </w:rPr>
        <w:t xml:space="preserve">”, etc., which limits their approach to be reproduced in other regions. However, the shortcomings of this approach can be overcome by using the method provided by Vis and Van den Berg  </w:t>
      </w:r>
      <w:r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Pr="00113825">
        <w:rPr>
          <w:szCs w:val="20"/>
        </w:rPr>
        <w:fldChar w:fldCharType="separate"/>
      </w:r>
      <w:r w:rsidR="0089363E" w:rsidRPr="00113825">
        <w:rPr>
          <w:noProof/>
          <w:szCs w:val="20"/>
        </w:rPr>
        <w:t>[29]</w:t>
      </w:r>
      <w:r w:rsidRPr="00113825">
        <w:rPr>
          <w:szCs w:val="20"/>
        </w:rPr>
        <w:fldChar w:fldCharType="end"/>
      </w:r>
      <w:r w:rsidRPr="00113825">
        <w:rPr>
          <w:szCs w:val="20"/>
        </w:rPr>
        <w:t>, also referred to as the BEE approach in this study. T</w:t>
      </w:r>
      <w:r w:rsidRPr="00113825">
        <w:rPr>
          <w:rFonts w:cstheme="majorHAnsi"/>
          <w:szCs w:val="20"/>
        </w:rPr>
        <w:t xml:space="preserve">he BEE approach is the most explicit, and amongst the only ones to describe the intermediate steps it uses, making it replicable and adaptable. The other advantage of using this technique is the use of both forest map and forest statistics in the intermediate steps of calculation. This eliminates the need for other assumptions such as regression parameters </w:t>
      </w:r>
      <w:r w:rsidRPr="00113825">
        <w:rPr>
          <w:rFonts w:cstheme="majorHAnsi"/>
          <w:szCs w:val="20"/>
        </w:rPr>
        <w:fldChar w:fldCharType="begin" w:fldLock="1"/>
      </w:r>
      <w:r w:rsidR="0089363E" w:rsidRPr="00113825">
        <w:rPr>
          <w:rFonts w:cstheme="majorHAnsi"/>
          <w:szCs w:val="20"/>
        </w:rPr>
        <w:instrText>ADDIN CSL_CITATION {"citationItems":[{"id":"ITEM-1","itemData":{"DOI":"10.1016/j.biombioe.2009.05.026","ISSN":"09619534","abstract":"The present work is mainly devoted to provide a rigorous analysis on the quantification, the mapping and the management of the bioenergy potential of forest residues from the most representative forestry species of the west-central region of Spain (Cáceres). An appropriate methodological approach for the estimate of potential biomass and potential bioenergy as well as the use of GIS for data process are both crucial for the design of thermal plants and for the accurate estimate of biomass collection and transportation costs, according to the scale economy of the plant. The total forest residues in the province of Cáceres are estimated as 463 000 t y-1. The availability of such major biomass potential for energy production is strongly conditioned to the inherent difficulties during the extraction process. This way, an energy potential of 139 000 toe y-1 would be achieved if the above-mentioned biomass collection rate is assumed. The method to optimise the search for suitable locations for thermal plants as well as for biomass extraction/collection areas, based on the combined use of GIS and spatial analysis techniques, is also described. © 2009 Elsevier Ltd. All rights reserved.","author":[{"dropping-particle":"","family":"López-Rodríguez","given":"F.","non-dropping-particle":"","parse-names":false,"suffix":""},{"dropping-particle":"","family":"Atanet","given":"C. Pérez","non-dropping-particle":"","parse-names":false,"suffix":""},{"dropping-particle":"","family":"Blázquez","given":"F. Cuadros","non-dropping-particle":"","parse-names":false,"suffix":""},{"dropping-particle":"","family":"Celma","given":"A. Ruiz","non-dropping-particle":"","parse-names":false,"suffix":""}],"container-title":"Biomass and Bioenergy","id":"ITEM-1","issue":"10","issued":{"date-parts":[["2009"]]},"page":"1358-1366","title":"Spatial assessment of the bioenergy potential of forest residues in the western province of Spain, Caceres","type":"article-journal","volume":"33"},"uris":["http://www.mendeley.com/documents/?uuid=59afde19-2792-4eab-8e36-e925eb04b3b9"]}],"mendeley":{"formattedCitation":"[21]","plainTextFormattedCitation":"[21]","previouslyFormattedCitation":"(López-Rodríguez &lt;i&gt;et al.&lt;/i&gt;, 2009)"},"properties":{"noteIndex":0},"schema":"https://github.com/citation-style-language/schema/raw/master/csl-citation.json"}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[21]</w:t>
      </w:r>
      <w:r w:rsidRPr="00113825">
        <w:rPr>
          <w:rFonts w:cstheme="majorHAnsi"/>
          <w:szCs w:val="20"/>
        </w:rPr>
        <w:fldChar w:fldCharType="end"/>
      </w:r>
      <w:r w:rsidRPr="00113825">
        <w:rPr>
          <w:rFonts w:cstheme="majorHAnsi"/>
          <w:szCs w:val="20"/>
        </w:rPr>
        <w:t xml:space="preserve"> or </w:t>
      </w:r>
      <w:proofErr w:type="spellStart"/>
      <w:r w:rsidRPr="00113825">
        <w:rPr>
          <w:rFonts w:cstheme="majorHAnsi"/>
          <w:szCs w:val="20"/>
        </w:rPr>
        <w:t>allometric</w:t>
      </w:r>
      <w:proofErr w:type="spellEnd"/>
      <w:r w:rsidRPr="00113825">
        <w:rPr>
          <w:rFonts w:cstheme="majorHAnsi"/>
          <w:szCs w:val="20"/>
        </w:rPr>
        <w:t xml:space="preserve"> equations </w:t>
      </w:r>
      <w:r w:rsidRPr="00113825">
        <w:rPr>
          <w:rFonts w:cstheme="majorHAnsi"/>
          <w:szCs w:val="20"/>
        </w:rPr>
        <w:fldChar w:fldCharType="begin" w:fldLock="1"/>
      </w:r>
      <w:r w:rsidR="0089363E" w:rsidRPr="00113825">
        <w:rPr>
          <w:rFonts w:cstheme="majorHAnsi"/>
          <w:szCs w:val="20"/>
        </w:rPr>
        <w:instrText>ADDIN CSL_CITATION {"citationItems":[{"id":"ITEM-1","itemData":{"DOI":"10.1016/j.apenergy.2010.02.007","ISSN":"03062619","abstract":"Following the European Union strategy concerning renewable energy (RE), Portugal established in their national policy programmes that the production of electrical energy from RE should reach 45% of the total supply by 2010. Since Portugal has large forest biomass resources, a significant part of this energy will be obtained from this source. In addition to the two existing electric power plants, with 22 MW of power capacity, 13 new power plants having a total of 86.4 MW capacity are in construction. Together these could generate a combination of electrical and thermal energy, known as combined heat and power (CHP) production. As these power plants will significantly increase the exploitation of forests resources, this article evaluates the potential quantities of available forest biomass residue for that purpose. In addition to examining the feasibility of producing both types of energy, we also examine the potential for producing only electric energy. Results show that if only electricity is generated some regions will need to have alternative fuel sources to fulfil the demand. However, if cogeneration is implemented the wood fuel resource will be sufficient to fulfill the required capacity demand. © 2010 Elsevier Ltd.","author":[{"dropping-particle":"","family":"Viana","given":"H.","non-dropping-particle":"","parse-names":false,"suffix":""},{"dropping-particle":"","family":"Cohen","given":"Warren B.","non-dropping-particle":"","parse-names":false,"suffix":""},{"dropping-particle":"","family":"Lopes","given":"D.","non-dropping-particle":"","parse-names":false,"suffix":""},{"dropping-particle":"","family":"Aranha","given":"J.","non-dropping-particle":"","parse-names":false,"suffix":""}],"container-title":"Applied Energy","id":"ITEM-1","issue":"8","issued":{"date-parts":[["2010"]]},"page":"2551-2560","publisher":"Elsevier Ltd","title":"Assessment of forest biomass for use as energy. GIS-based analysis of geographical availability and locations of wood-fired power plants in Portugal","type":"article-journal","volume":"87"},"uris":["http://www.mendeley.com/documents/?uuid=022ce525-2f1f-4067-ac4d-a265694f28a3"]}],"mendeley":{"formattedCitation":"[23]","plainTextFormattedCitation":"[23]","previouslyFormattedCitation":"(Viana &lt;i&gt;et al.&lt;/i&gt;, 2010)"},"properties":{"noteIndex":0},"schema":"https://github.com/citation-style-language/schema/raw/master/csl-citation.json"}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[23]</w:t>
      </w:r>
      <w:r w:rsidRPr="00113825">
        <w:rPr>
          <w:rFonts w:cstheme="majorHAnsi"/>
          <w:szCs w:val="20"/>
        </w:rPr>
        <w:fldChar w:fldCharType="end"/>
      </w:r>
      <w:r w:rsidRPr="00113825">
        <w:rPr>
          <w:rFonts w:cstheme="majorHAnsi"/>
          <w:szCs w:val="20"/>
        </w:rPr>
        <w:t>. Consequently, the use of this method will likely represent the actual ground condition with a minor degree of variability (</w:t>
      </w:r>
      <w:r w:rsidRPr="00113825">
        <w:rPr>
          <w:rFonts w:cstheme="majorHAnsi"/>
          <w:i/>
          <w:szCs w:val="20"/>
        </w:rPr>
        <w:t>depending on the quality of the input statistical data</w:t>
      </w:r>
      <w:r w:rsidRPr="00113825">
        <w:rPr>
          <w:rFonts w:cstheme="majorHAnsi"/>
          <w:szCs w:val="20"/>
        </w:rPr>
        <w:t xml:space="preserve">) compared to the other techniques listed in </w:t>
      </w:r>
      <w:r w:rsidRPr="00113825">
        <w:rPr>
          <w:rFonts w:cstheme="majorHAnsi"/>
          <w:i/>
          <w:szCs w:val="20"/>
        </w:rPr>
        <w:fldChar w:fldCharType="begin"/>
      </w:r>
      <w:r w:rsidRPr="00113825">
        <w:rPr>
          <w:rFonts w:cstheme="majorHAnsi"/>
          <w:i/>
          <w:szCs w:val="20"/>
        </w:rPr>
        <w:instrText xml:space="preserve"> REF _Ref26794270 \h  \* MERGEFORMAT </w:instrText>
      </w:r>
      <w:r w:rsidRPr="00113825">
        <w:rPr>
          <w:rFonts w:cstheme="majorHAnsi"/>
          <w:i/>
          <w:szCs w:val="20"/>
        </w:rPr>
      </w:r>
      <w:r w:rsidRPr="00113825">
        <w:rPr>
          <w:rFonts w:cstheme="majorHAnsi"/>
          <w:i/>
          <w:szCs w:val="20"/>
        </w:rPr>
        <w:fldChar w:fldCharType="separate"/>
      </w:r>
      <w:r w:rsidR="00113825" w:rsidRPr="00113825">
        <w:rPr>
          <w:rFonts w:cstheme="majorHAnsi"/>
          <w:i/>
          <w:szCs w:val="20"/>
        </w:rPr>
        <w:t xml:space="preserve">Table </w:t>
      </w:r>
      <w:r w:rsidR="00113825" w:rsidRPr="00113825">
        <w:rPr>
          <w:rFonts w:cstheme="majorHAnsi"/>
          <w:i/>
          <w:noProof/>
          <w:szCs w:val="20"/>
        </w:rPr>
        <w:t>1</w:t>
      </w:r>
      <w:r w:rsidRPr="00113825">
        <w:rPr>
          <w:rFonts w:cstheme="majorHAnsi"/>
          <w:i/>
          <w:szCs w:val="20"/>
        </w:rPr>
        <w:fldChar w:fldCharType="end"/>
      </w:r>
      <w:r w:rsidRPr="00113825">
        <w:rPr>
          <w:rFonts w:cstheme="majorHAnsi"/>
          <w:szCs w:val="20"/>
        </w:rPr>
        <w:t>. Even with a constraint like limited availability of inventory statistics, this method can be used to estimate the quantity of PFRs based entirely on remote sensing data products (Forest map from CORINE Land Cover and NPP data from MODIS) with a certain degree of accuracy. Additionally, due to the discrete and flexible nature of the BEE approach, it becomes easier to introduce uncertainty accounting in the intermediate steps of calculation. This allows the final quantification results to have a confidence interval, which grant</w:t>
      </w:r>
      <w:r w:rsidR="000C4808" w:rsidRPr="00113825">
        <w:rPr>
          <w:rFonts w:cstheme="majorHAnsi"/>
          <w:szCs w:val="20"/>
        </w:rPr>
        <w:t>s</w:t>
      </w:r>
      <w:r w:rsidRPr="00113825">
        <w:rPr>
          <w:rFonts w:cstheme="majorHAnsi"/>
          <w:szCs w:val="20"/>
        </w:rPr>
        <w:t xml:space="preserve"> bioeconomy policymakers to more effectively value the alternatives and make better decisions. Ergo, the present study fully acknowledge</w:t>
      </w:r>
      <w:r w:rsidR="000C4808" w:rsidRPr="00113825">
        <w:rPr>
          <w:rFonts w:cstheme="majorHAnsi"/>
          <w:szCs w:val="20"/>
        </w:rPr>
        <w:t>s</w:t>
      </w:r>
      <w:r w:rsidRPr="00113825">
        <w:rPr>
          <w:rFonts w:cstheme="majorHAnsi"/>
          <w:szCs w:val="20"/>
        </w:rPr>
        <w:t xml:space="preserve"> and build</w:t>
      </w:r>
      <w:r w:rsidR="000C4808" w:rsidRPr="00113825">
        <w:rPr>
          <w:rFonts w:cstheme="majorHAnsi"/>
          <w:szCs w:val="20"/>
        </w:rPr>
        <w:t>s</w:t>
      </w:r>
      <w:r w:rsidRPr="00113825">
        <w:rPr>
          <w:rFonts w:cstheme="majorHAnsi"/>
          <w:szCs w:val="20"/>
        </w:rPr>
        <w:t xml:space="preserve"> upon the efforts and knowledge developed with the BEE method. </w:t>
      </w:r>
    </w:p>
    <w:p w14:paraId="1D4D754B" w14:textId="77777777" w:rsidR="00125026" w:rsidRPr="00113825" w:rsidRDefault="00125026" w:rsidP="001600B3">
      <w:pPr>
        <w:jc w:val="both"/>
        <w:rPr>
          <w:rFonts w:cstheme="majorHAnsi"/>
          <w:szCs w:val="20"/>
        </w:rPr>
      </w:pPr>
      <w:r w:rsidRPr="00113825">
        <w:rPr>
          <w:rFonts w:cstheme="majorHAnsi"/>
          <w:szCs w:val="20"/>
        </w:rPr>
        <w:t xml:space="preserve">From a theoretical viewpoint, spatial estimations are representations, and all representations have their own complexities of reality that cannot be measured directly, which may be termed as potential error or uncertainty. For spatial assessments, uncertainty quantification not only gives a quantified idea about the confidence in calculated results (as ranges); it may also help to understand the spatial pattern of deviation, and ultimately lead to better decision making for the </w:t>
      </w:r>
      <w:proofErr w:type="spellStart"/>
      <w:r w:rsidRPr="00113825">
        <w:rPr>
          <w:rFonts w:cstheme="majorHAnsi"/>
          <w:szCs w:val="20"/>
        </w:rPr>
        <w:t>mobilisation</w:t>
      </w:r>
      <w:proofErr w:type="spellEnd"/>
      <w:r w:rsidRPr="00113825">
        <w:rPr>
          <w:rFonts w:cstheme="majorHAnsi"/>
          <w:szCs w:val="20"/>
        </w:rPr>
        <w:t xml:space="preserve"> of these resources. However, there is a severe dearth of studies incorporating uncertainty analysis in spatial quantification of forest residues; in fact, no literature reporting uncertainty in spatial quantification of forest residues have been found.</w:t>
      </w:r>
    </w:p>
    <w:p w14:paraId="3F9978FD" w14:textId="2B7F92E1" w:rsidR="00125026" w:rsidRPr="00113825" w:rsidRDefault="00125026" w:rsidP="001600B3">
      <w:pPr>
        <w:jc w:val="both"/>
        <w:rPr>
          <w:rFonts w:cstheme="majorHAnsi"/>
          <w:szCs w:val="20"/>
        </w:rPr>
      </w:pPr>
      <w:r w:rsidRPr="00113825">
        <w:rPr>
          <w:rFonts w:cstheme="majorHAnsi"/>
          <w:szCs w:val="20"/>
        </w:rPr>
        <w:t>In an endeavor to bridge these gaps, the aim of this study is to develop a replicable method for high-resolution spatial quantification of above-ground PFRs at the pixel level along with uncertainty quantification and illustrate how to use it for a concrete case study. This study also propose</w:t>
      </w:r>
      <w:r w:rsidR="000C4808" w:rsidRPr="00113825">
        <w:rPr>
          <w:rFonts w:cstheme="majorHAnsi"/>
          <w:szCs w:val="20"/>
        </w:rPr>
        <w:t>s</w:t>
      </w:r>
      <w:r w:rsidRPr="00113825">
        <w:rPr>
          <w:rFonts w:cstheme="majorHAnsi"/>
          <w:szCs w:val="20"/>
        </w:rPr>
        <w:t xml:space="preserve"> a scheme for selecting the optimal resolution for the spatial quantification of PFRs based on several performance criterions. The intention of the methodology produced in this study is to equip bioeconomy policymakers with reliable spatially explicit estimates of this key stream for the future bioeconomy. Besides the investment decision itself, these high-resolution estimates could support decisions such as the siting of a bio-refinery unit.</w:t>
      </w:r>
    </w:p>
    <w:p w14:paraId="7DC36B55" w14:textId="77777777" w:rsidR="00125026" w:rsidRPr="00113825" w:rsidRDefault="00125026" w:rsidP="001600B3">
      <w:pPr>
        <w:jc w:val="both"/>
        <w:rPr>
          <w:rFonts w:cstheme="majorHAnsi"/>
          <w:szCs w:val="20"/>
        </w:rPr>
      </w:pPr>
      <w:r w:rsidRPr="00113825">
        <w:rPr>
          <w:rFonts w:cstheme="majorHAnsi"/>
          <w:szCs w:val="20"/>
        </w:rPr>
        <w:t xml:space="preserve">The paper is structured as follows: Section 2 presents the scope of the present study and refreshes the existing standard definitions of key terms used in this study. Section 3 details the generic stepwise methodological framework we propose for high-resolution spatial quantification of PFRs. Section 4 deals with the exemplification </w:t>
      </w:r>
      <w:r w:rsidRPr="00113825">
        <w:rPr>
          <w:rFonts w:cstheme="majorHAnsi"/>
          <w:szCs w:val="20"/>
        </w:rPr>
        <w:lastRenderedPageBreak/>
        <w:t xml:space="preserve">of the method. We then critically discuss the results of the study in section 5, especially focusing on the methodological framework and uncertainty associated with different data sources. The discussion section also includes a comparison of the results with other studies and how this work can be improved further. Based on these we conclude how the proposed methodology with uncertainty quantification is a clear step forward towards providing a transparent, replicable, and harmonized methodology for spatial quantification of PFRs. </w:t>
      </w:r>
    </w:p>
    <w:p w14:paraId="4CF98B86" w14:textId="77777777" w:rsidR="00125026" w:rsidRPr="00113825" w:rsidRDefault="00125026" w:rsidP="001600B3">
      <w:pPr>
        <w:keepNext/>
        <w:keepLines/>
        <w:spacing w:after="120" w:line="240" w:lineRule="auto"/>
        <w:jc w:val="both"/>
        <w:outlineLvl w:val="0"/>
        <w:rPr>
          <w:rFonts w:eastAsiaTheme="majorEastAsia" w:cstheme="majorBidi"/>
          <w:b/>
          <w:szCs w:val="32"/>
        </w:rPr>
      </w:pPr>
      <w:r w:rsidRPr="00113825">
        <w:rPr>
          <w:rFonts w:eastAsiaTheme="majorEastAsia" w:cstheme="majorBidi"/>
          <w:b/>
          <w:szCs w:val="32"/>
        </w:rPr>
        <w:t>2. Scoping</w:t>
      </w:r>
    </w:p>
    <w:p w14:paraId="1C6A6009" w14:textId="1DC0FAEB" w:rsidR="00125026" w:rsidRPr="00113825" w:rsidRDefault="00125026" w:rsidP="001600B3">
      <w:pPr>
        <w:jc w:val="both"/>
        <w:rPr>
          <w:rFonts w:cstheme="majorHAnsi"/>
          <w:szCs w:val="20"/>
        </w:rPr>
      </w:pPr>
      <w:r w:rsidRPr="00113825">
        <w:rPr>
          <w:rFonts w:cstheme="majorHAnsi"/>
          <w:szCs w:val="20"/>
        </w:rPr>
        <w:t>An important consideration in biomass resource assessment is the type of biomass potential being estimated. The BEE method</w:t>
      </w:r>
      <w:r w:rsidRPr="00113825">
        <w:rPr>
          <w:rFonts w:cstheme="majorHAnsi"/>
          <w:i/>
          <w:szCs w:val="20"/>
        </w:rPr>
        <w:t xml:space="preserve"> </w:t>
      </w:r>
      <w:r w:rsidRPr="00113825">
        <w:rPr>
          <w:rFonts w:cstheme="majorHAnsi"/>
          <w:i/>
          <w:szCs w:val="20"/>
        </w:rPr>
        <w:fldChar w:fldCharType="begin" w:fldLock="1"/>
      </w:r>
      <w:r w:rsidR="0089363E" w:rsidRPr="00113825">
        <w:rPr>
          <w:rFonts w:cstheme="majorHAnsi"/>
          <w:i/>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Pr="00113825">
        <w:rPr>
          <w:rFonts w:cstheme="majorHAnsi"/>
          <w:i/>
          <w:szCs w:val="20"/>
        </w:rPr>
        <w:fldChar w:fldCharType="separate"/>
      </w:r>
      <w:r w:rsidR="0089363E" w:rsidRPr="00113825">
        <w:rPr>
          <w:rFonts w:cstheme="majorHAnsi"/>
          <w:noProof/>
          <w:szCs w:val="20"/>
        </w:rPr>
        <w:t>[29]</w:t>
      </w:r>
      <w:r w:rsidRPr="00113825">
        <w:rPr>
          <w:rFonts w:cstheme="majorHAnsi"/>
          <w:i/>
          <w:szCs w:val="20"/>
        </w:rPr>
        <w:fldChar w:fldCharType="end"/>
      </w:r>
      <w:r w:rsidR="000C4808" w:rsidRPr="00113825">
        <w:rPr>
          <w:rFonts w:cstheme="majorHAnsi"/>
          <w:szCs w:val="20"/>
        </w:rPr>
        <w:t>, as well as several other studies e.g. (31,32),</w:t>
      </w:r>
      <w:r w:rsidRPr="00113825">
        <w:rPr>
          <w:rFonts w:cstheme="majorHAnsi"/>
          <w:szCs w:val="20"/>
        </w:rPr>
        <w:t xml:space="preserve"> distinguish five types of biomass potentials; i.e., </w:t>
      </w:r>
      <w:r w:rsidRPr="00113825">
        <w:rPr>
          <w:rFonts w:cstheme="majorHAnsi"/>
          <w:i/>
          <w:szCs w:val="20"/>
        </w:rPr>
        <w:t xml:space="preserve">theoretical potential, technical potential, economic potential, implementation potential, and sustainable potential. </w:t>
      </w:r>
      <w:r w:rsidRPr="00113825">
        <w:rPr>
          <w:rFonts w:cstheme="majorHAnsi"/>
          <w:szCs w:val="20"/>
        </w:rPr>
        <w:t xml:space="preserve">The type of biomass potential being assessed largely determines the approach, methodology, and data requirement </w:t>
      </w:r>
      <w:r w:rsidRPr="00113825">
        <w:rPr>
          <w:rFonts w:cstheme="majorHAnsi"/>
          <w:szCs w:val="20"/>
        </w:rPr>
        <w:fldChar w:fldCharType="begin" w:fldLock="1"/>
      </w:r>
      <w:r w:rsidR="0089363E" w:rsidRPr="00113825">
        <w:rPr>
          <w:rFonts w:cstheme="majorHAnsi"/>
          <w:szCs w:val="20"/>
        </w:rPr>
        <w:instrText>ADDIN CSL_CITATION {"citationItems":[{"id":"ITEM-1","itemData":{"DOI":"10.1016/j.rser.2012.09.002","ISSN":"13640321","abstract":"Published estimates of the potential of bioenergy vary widely, mainly due to the heterogeneity of methodologies, assumptions and datasets employed. These discrepancies are confusing for policy and it is thus important to have scientific clarity on the basis of the assessment outcomes. Such clear insights can enable harmonisation of the different assessments. This review explores current state of the art approaches and methodologies used in bioenergy assessments, and identifies key elements that are critical determinants of bioenergy potentials. We apply the lessons learnt from the review exercise to compare and harmonise a selected set of country based bioenergy potential studies, and provide recommendations for conducting more comprehensive assessments. Depending on scenario assumptions, the harmonised technical biomass potential estimates up to 2030 in the selected countries range from 5.2 to 27.3 EJ in China, 1.1 to 18.8 EJ in India, 2.0 to 10.9 EJ in Indonesia, 1.6 to 7.0 EJ in Mozambique and 9.3 to 23.5 EJ in the US. From the review, we observed that generally, current studies do not cover all the basic (sustainability) elements expected in an ideal bioenergy assessment and there are marked differences in the level of parametric detail and methodological transparency between studies. Land availability and suitability lack spatial detail and especially degraded and marginal lands are poorly evaluated. Competition for water resources is hardly taken into account and biomass yields are based mostly on crude ecological zoning criteria. A few studies take into account improvements in management of agricultural and forestry production systems, but the underlying assumptions are hardly discussed. Competition for biomass resources among the various applications is crudely analysed in most studies and key assumptions such as demographic dynamics, biodiversity protection criteria, etc. are not explicitly discussed. To facilitate more comprehensive bioenergy assessments, we recommend an integrated analytical framework that includes all the key factors, employs high resolution geo-referenced datasets and accounts for potential feedback effects. © 2012 Elsevier Ltd.","author":[{"dropping-particle":"","family":"Batidzirai","given":"B.","non-dropping-particle":"","parse-names":false,"suffix":""},{"dropping-particle":"","family":"Smeets","given":"E. M.W.","non-dropping-particle":"","parse-names":false,"suffix":""},{"dropping-particle":"","family":"Faaij","given":"A. P.C.","non-dropping-particle":"","parse-names":false,"suffix":""}],"container-title":"Renewable and Sustainable Energy Reviews","id":"ITEM-1","issue":"9","issued":{"date-parts":[["2012"]]},"page":"6598-6630","publisher":"Elsevier","title":"Harmonising bioenergy resource potentials - Methodological lessons from review of state of the art bioenergy potential assessments","type":"article-journal","volume":"16"},"uris":["http://www.mendeley.com/documents/?uuid=f3e3b6eb-2eab-4d30-8484-6e0ca47d3c9f"]},{"id":"ITEM-2","itemData":{"author":[{"dropping-particle":"","family":"Vis","given":"M W","non-dropping-particle":"","parse-names":false,"suffix":""},{"dropping-particle":"","family":"Berg","given":"D","non-dropping-particle":"van den","parse-names":false,"suffix":""},{"dropping-particle":"","family":"Al.","given":"Et","non-dropping-particle":"","parse-names":false,"suffix":""}],"id":"ITEM-2","issued":{"date-parts":[["2010"]]},"page":"1-220","title":"Best Practices and Methods Handbook","type":"article-journal","volume":"D 5.3"},"uris":["http://www.mendeley.com/documents/?uuid=2bc8964b-0187-4f6d-a6f9-71cb259307fa"]}],"mendeley":{"formattedCitation":"[29], [31]","plainTextFormattedCitation":"[29], [31]","previouslyFormattedCitation":"(Vis, van den Berg and Al., 2010; Batidzirai, Smeets and Faaij, 2012)"},"properties":{"noteIndex":0},"schema":"https://github.com/citation-style-language/schema/raw/master/csl-citation.json"}</w:instrText>
      </w:r>
      <w:r w:rsidRPr="00113825">
        <w:rPr>
          <w:rFonts w:cstheme="majorHAnsi"/>
          <w:szCs w:val="20"/>
        </w:rPr>
        <w:fldChar w:fldCharType="separate"/>
      </w:r>
      <w:r w:rsidR="0089363E" w:rsidRPr="00113825">
        <w:rPr>
          <w:rFonts w:cstheme="majorHAnsi"/>
          <w:noProof/>
          <w:szCs w:val="20"/>
        </w:rPr>
        <w:t>[29], [31]</w:t>
      </w:r>
      <w:r w:rsidRPr="00113825">
        <w:rPr>
          <w:rFonts w:cstheme="majorHAnsi"/>
          <w:szCs w:val="20"/>
        </w:rPr>
        <w:fldChar w:fldCharType="end"/>
      </w:r>
      <w:r w:rsidRPr="00113825">
        <w:rPr>
          <w:rFonts w:cstheme="majorHAnsi"/>
          <w:szCs w:val="20"/>
        </w:rPr>
        <w:t xml:space="preserve">. The theoretical potential is generally defined as the maximum overall amount of given targeted biomass that can be considered theoretically available, e.g. for bioeconomy. The other potentials as per their labels, consider some restriction criteria to estimate the biomass resources. From the perspective of strategic decision making at the national level, the theoretical potential is viewed as the most suited, being the most transparent. The estimation of other potentials is usually associated with a certain degree of subjectivity and may apply constraints that could vanish with time, due to changing framework conditions. Hence, this study focuses only on evaluating the theoretical potential for PFRs. </w:t>
      </w:r>
    </w:p>
    <w:p w14:paraId="37F2F045" w14:textId="1070941E" w:rsidR="00125026" w:rsidRPr="00113825" w:rsidRDefault="00125026" w:rsidP="001600B3">
      <w:pPr>
        <w:jc w:val="both"/>
        <w:rPr>
          <w:i/>
          <w:iCs/>
          <w:sz w:val="18"/>
          <w:szCs w:val="18"/>
        </w:rPr>
      </w:pPr>
      <w:r w:rsidRPr="00113825">
        <w:rPr>
          <w:rFonts w:cstheme="majorHAnsi"/>
          <w:szCs w:val="20"/>
        </w:rPr>
        <w:t xml:space="preserve">The objective of this study is not to introduce new nomenclature, definition or categorization. However, given the potential confusion related to the use of some key terms, we present in </w:t>
      </w:r>
      <w:r w:rsidR="00DE5033" w:rsidRPr="00113825">
        <w:rPr>
          <w:rFonts w:cstheme="majorHAnsi"/>
          <w:i/>
          <w:szCs w:val="20"/>
        </w:rPr>
        <w:t xml:space="preserve">Table 2 </w:t>
      </w:r>
      <w:r w:rsidRPr="00113825">
        <w:rPr>
          <w:rFonts w:cstheme="majorHAnsi"/>
          <w:szCs w:val="20"/>
        </w:rPr>
        <w:t xml:space="preserve">the exact definitions considered in this study for all the important terminology. </w:t>
      </w:r>
    </w:p>
    <w:p w14:paraId="7DF846FA" w14:textId="43628A0B" w:rsidR="00125026" w:rsidRPr="00113825" w:rsidRDefault="00125026" w:rsidP="00125026">
      <w:pPr>
        <w:keepNext/>
        <w:spacing w:after="200" w:line="240" w:lineRule="auto"/>
        <w:rPr>
          <w:i/>
          <w:iCs/>
          <w:szCs w:val="18"/>
        </w:rPr>
      </w:pPr>
      <w:r w:rsidRPr="00113825">
        <w:rPr>
          <w:i/>
          <w:iCs/>
          <w:szCs w:val="18"/>
        </w:rPr>
        <w:t xml:space="preserve">Table </w:t>
      </w:r>
      <w:r w:rsidRPr="00113825">
        <w:rPr>
          <w:i/>
          <w:iCs/>
          <w:szCs w:val="18"/>
        </w:rPr>
        <w:fldChar w:fldCharType="begin"/>
      </w:r>
      <w:r w:rsidRPr="00113825">
        <w:rPr>
          <w:i/>
          <w:iCs/>
          <w:szCs w:val="18"/>
        </w:rPr>
        <w:instrText xml:space="preserve"> SEQ Table \* ARABIC </w:instrText>
      </w:r>
      <w:r w:rsidRPr="00113825">
        <w:rPr>
          <w:i/>
          <w:iCs/>
          <w:szCs w:val="18"/>
        </w:rPr>
        <w:fldChar w:fldCharType="separate"/>
      </w:r>
      <w:r w:rsidR="00113825">
        <w:rPr>
          <w:i/>
          <w:iCs/>
          <w:noProof/>
          <w:szCs w:val="18"/>
        </w:rPr>
        <w:t>2</w:t>
      </w:r>
      <w:r w:rsidRPr="00113825">
        <w:rPr>
          <w:i/>
          <w:iCs/>
          <w:szCs w:val="18"/>
        </w:rPr>
        <w:fldChar w:fldCharType="end"/>
      </w:r>
      <w:r w:rsidRPr="00113825">
        <w:rPr>
          <w:i/>
          <w:iCs/>
          <w:szCs w:val="18"/>
        </w:rPr>
        <w:t xml:space="preserve">: Important terms, definitions, and sources. Definitions are </w:t>
      </w:r>
      <w:r w:rsidR="009F6FF1" w:rsidRPr="00113825">
        <w:rPr>
          <w:i/>
          <w:iCs/>
          <w:szCs w:val="18"/>
        </w:rPr>
        <w:t>literally</w:t>
      </w:r>
      <w:r w:rsidRPr="00113825">
        <w:rPr>
          <w:i/>
          <w:iCs/>
          <w:szCs w:val="18"/>
        </w:rPr>
        <w:t xml:space="preserve"> extracted from the source.</w:t>
      </w:r>
    </w:p>
    <w:tbl>
      <w:tblPr>
        <w:tblStyle w:val="TableGrid1"/>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471"/>
        <w:gridCol w:w="6093"/>
        <w:gridCol w:w="1058"/>
      </w:tblGrid>
      <w:tr w:rsidR="00DE6E0A" w:rsidRPr="00113825" w14:paraId="4F1C795B" w14:textId="77777777" w:rsidTr="00C53CF3">
        <w:trPr>
          <w:jc w:val="center"/>
        </w:trPr>
        <w:tc>
          <w:tcPr>
            <w:tcW w:w="1911" w:type="dxa"/>
            <w:gridSpan w:val="2"/>
            <w:shd w:val="clear" w:color="auto" w:fill="FFC000"/>
            <w:vAlign w:val="center"/>
          </w:tcPr>
          <w:p w14:paraId="4B0F051F" w14:textId="77777777" w:rsidR="008C7B26" w:rsidRPr="00113825" w:rsidRDefault="008C7B26" w:rsidP="008C7B26">
            <w:pPr>
              <w:jc w:val="center"/>
              <w:rPr>
                <w:rFonts w:cstheme="majorHAnsi"/>
                <w:b/>
                <w:sz w:val="16"/>
                <w:szCs w:val="16"/>
              </w:rPr>
            </w:pPr>
            <w:r w:rsidRPr="00113825">
              <w:rPr>
                <w:rFonts w:cstheme="majorHAnsi"/>
                <w:b/>
                <w:sz w:val="16"/>
                <w:szCs w:val="16"/>
              </w:rPr>
              <w:t>Term</w:t>
            </w:r>
          </w:p>
        </w:tc>
        <w:tc>
          <w:tcPr>
            <w:tcW w:w="6093" w:type="dxa"/>
            <w:shd w:val="clear" w:color="auto" w:fill="FFC000"/>
            <w:vAlign w:val="center"/>
          </w:tcPr>
          <w:p w14:paraId="1A445C64" w14:textId="77777777" w:rsidR="008C7B26" w:rsidRPr="00113825" w:rsidRDefault="008C7B26" w:rsidP="008C7B26">
            <w:pPr>
              <w:jc w:val="center"/>
              <w:rPr>
                <w:rFonts w:cstheme="majorHAnsi"/>
                <w:b/>
                <w:sz w:val="16"/>
                <w:szCs w:val="16"/>
              </w:rPr>
            </w:pPr>
            <w:r w:rsidRPr="00113825">
              <w:rPr>
                <w:rFonts w:cstheme="majorHAnsi"/>
                <w:b/>
                <w:sz w:val="16"/>
                <w:szCs w:val="16"/>
              </w:rPr>
              <w:t>Definition</w:t>
            </w:r>
          </w:p>
        </w:tc>
        <w:tc>
          <w:tcPr>
            <w:tcW w:w="1058" w:type="dxa"/>
            <w:shd w:val="clear" w:color="auto" w:fill="FFC000"/>
            <w:vAlign w:val="center"/>
          </w:tcPr>
          <w:p w14:paraId="4B9931E8" w14:textId="77777777" w:rsidR="008C7B26" w:rsidRPr="00113825" w:rsidRDefault="008C7B26" w:rsidP="008C7B26">
            <w:pPr>
              <w:jc w:val="center"/>
              <w:rPr>
                <w:rFonts w:cstheme="majorHAnsi"/>
                <w:b/>
                <w:sz w:val="16"/>
                <w:szCs w:val="16"/>
              </w:rPr>
            </w:pPr>
            <w:r w:rsidRPr="00113825">
              <w:rPr>
                <w:rFonts w:cstheme="majorHAnsi"/>
                <w:b/>
                <w:sz w:val="16"/>
                <w:szCs w:val="16"/>
              </w:rPr>
              <w:t>Source</w:t>
            </w:r>
          </w:p>
        </w:tc>
      </w:tr>
      <w:tr w:rsidR="00DE6E0A" w:rsidRPr="00113825" w14:paraId="6C61141D" w14:textId="77777777" w:rsidTr="00C53CF3">
        <w:trPr>
          <w:jc w:val="center"/>
        </w:trPr>
        <w:tc>
          <w:tcPr>
            <w:tcW w:w="1911" w:type="dxa"/>
            <w:gridSpan w:val="2"/>
            <w:vAlign w:val="center"/>
          </w:tcPr>
          <w:p w14:paraId="12687D5D" w14:textId="77777777" w:rsidR="008C7B26" w:rsidRPr="00113825" w:rsidRDefault="008C7B26" w:rsidP="008C7B26">
            <w:pPr>
              <w:jc w:val="both"/>
              <w:rPr>
                <w:rFonts w:cstheme="majorHAnsi"/>
                <w:sz w:val="16"/>
                <w:szCs w:val="16"/>
              </w:rPr>
            </w:pPr>
            <w:r w:rsidRPr="00113825">
              <w:rPr>
                <w:rFonts w:cstheme="majorHAnsi"/>
                <w:sz w:val="16"/>
                <w:szCs w:val="16"/>
              </w:rPr>
              <w:t>Above-ground biomass</w:t>
            </w:r>
          </w:p>
        </w:tc>
        <w:tc>
          <w:tcPr>
            <w:tcW w:w="6093" w:type="dxa"/>
            <w:vAlign w:val="center"/>
          </w:tcPr>
          <w:p w14:paraId="4D9E2270" w14:textId="77777777" w:rsidR="008C7B26" w:rsidRPr="00113825" w:rsidRDefault="008C7B26" w:rsidP="008C7B26">
            <w:pPr>
              <w:jc w:val="both"/>
              <w:rPr>
                <w:rFonts w:cstheme="majorHAnsi"/>
                <w:sz w:val="16"/>
                <w:szCs w:val="16"/>
              </w:rPr>
            </w:pPr>
            <w:r w:rsidRPr="00113825">
              <w:rPr>
                <w:rFonts w:cstheme="majorHAnsi"/>
                <w:sz w:val="16"/>
                <w:szCs w:val="16"/>
              </w:rPr>
              <w:t>All living biomass above the soil including stem, stump, branches, bark, seeds, and foliage.</w:t>
            </w:r>
          </w:p>
        </w:tc>
        <w:tc>
          <w:tcPr>
            <w:tcW w:w="1058" w:type="dxa"/>
            <w:vAlign w:val="center"/>
          </w:tcPr>
          <w:p w14:paraId="469C11BB" w14:textId="16C31642"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10.1007/978-3-642-41714-6_62425","author":[{"dropping-particle":"","family":"Herrmann","given":"Helmut","non-dropping-particle":"","parse-names":false,"suffix":""},{"dropping-particle":"","family":"Bucksch","given":"Herbert","non-dropping-particle":"","parse-names":false,"suffix":""}],"container-title":"Dictionary Geotechnical Engineering/Wörterbuch GeoTechnik","id":"ITEM-1","issued":{"date-parts":[["2014"]]},"page":"556-556","title":"Chapter 4: Forest Land (IPCC 2006 Guidelines)","type":"article-journal"},"uris":["http://www.mendeley.com/documents/?uuid=bdc6dc2c-143c-47b7-bbd2-f305991e98ff"]}],"mendeley":{"formattedCitation":"[32]","plainTextFormattedCitation":"[32]","previouslyFormattedCitation":"(Herrmann and Bucksch,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[32]</w:t>
            </w:r>
            <w:r w:rsidRPr="00113825">
              <w:rPr>
                <w:rFonts w:cstheme="majorHAnsi"/>
                <w:sz w:val="16"/>
                <w:szCs w:val="16"/>
              </w:rPr>
              <w:fldChar w:fldCharType="end"/>
            </w:r>
          </w:p>
        </w:tc>
      </w:tr>
      <w:tr w:rsidR="00DE6E0A" w:rsidRPr="00113825" w14:paraId="3D05D882" w14:textId="77777777" w:rsidTr="00C53CF3">
        <w:trPr>
          <w:jc w:val="center"/>
        </w:trPr>
        <w:tc>
          <w:tcPr>
            <w:tcW w:w="1911" w:type="dxa"/>
            <w:gridSpan w:val="2"/>
            <w:vAlign w:val="center"/>
          </w:tcPr>
          <w:p w14:paraId="634D8CED" w14:textId="77777777" w:rsidR="008C7B26" w:rsidRPr="00113825" w:rsidRDefault="008C7B26" w:rsidP="008C7B26">
            <w:pPr>
              <w:jc w:val="both"/>
              <w:rPr>
                <w:rFonts w:cstheme="majorHAnsi"/>
                <w:sz w:val="16"/>
                <w:szCs w:val="16"/>
              </w:rPr>
            </w:pPr>
            <w:r w:rsidRPr="00113825">
              <w:rPr>
                <w:rFonts w:cstheme="majorHAnsi"/>
                <w:sz w:val="16"/>
                <w:szCs w:val="16"/>
              </w:rPr>
              <w:t>Biomass Expansion Factor (BEF)</w:t>
            </w:r>
          </w:p>
        </w:tc>
        <w:tc>
          <w:tcPr>
            <w:tcW w:w="6093" w:type="dxa"/>
            <w:vAlign w:val="center"/>
          </w:tcPr>
          <w:p w14:paraId="31244B9F" w14:textId="1135A274" w:rsidR="008C7B26" w:rsidRPr="00113825" w:rsidRDefault="008C7B26" w:rsidP="00BD5C34">
            <w:pPr>
              <w:jc w:val="both"/>
              <w:rPr>
                <w:rFonts w:cstheme="majorHAnsi"/>
                <w:sz w:val="16"/>
                <w:szCs w:val="16"/>
              </w:rPr>
            </w:pPr>
            <w:r w:rsidRPr="00113825">
              <w:rPr>
                <w:rFonts w:cstheme="majorHAnsi"/>
                <w:sz w:val="16"/>
                <w:szCs w:val="16"/>
              </w:rPr>
              <w:t>A multiplication factor that expands growing stock, or commercial round-wood harvest volume, or growing stock volume increment data, to account for non-merchantable biomass such as branches, foliage, and non-commercial trees.</w:t>
            </w:r>
            <w:r w:rsidR="00F62EED" w:rsidRPr="00113825">
              <w:rPr>
                <w:rFonts w:cstheme="majorHAnsi"/>
                <w:sz w:val="16"/>
                <w:szCs w:val="16"/>
              </w:rPr>
              <w:t xml:space="preserve"> The BEF is usually calculated from inventory sources of different forest types (young, secondary to mature), and are defined as the ratio of total aboveground oven-dry biomass density of trees with a minimum d.b.h. of </w:t>
            </w:r>
            <w:r w:rsidR="009F6FF1" w:rsidRPr="00113825">
              <w:rPr>
                <w:rFonts w:cstheme="majorHAnsi"/>
                <w:sz w:val="16"/>
                <w:szCs w:val="16"/>
              </w:rPr>
              <w:t>“</w:t>
            </w:r>
            <w:r w:rsidR="00125026" w:rsidRPr="00113825">
              <w:rPr>
                <w:rFonts w:cstheme="majorHAnsi"/>
                <w:sz w:val="16"/>
                <w:szCs w:val="16"/>
              </w:rPr>
              <w:t>X</w:t>
            </w:r>
            <w:r w:rsidR="009F6FF1" w:rsidRPr="00113825">
              <w:rPr>
                <w:rFonts w:cstheme="majorHAnsi"/>
                <w:sz w:val="16"/>
                <w:szCs w:val="16"/>
              </w:rPr>
              <w:t>”</w:t>
            </w:r>
            <w:r w:rsidR="00125026" w:rsidRPr="00113825">
              <w:rPr>
                <w:rFonts w:cstheme="majorHAnsi"/>
                <w:sz w:val="16"/>
                <w:szCs w:val="16"/>
              </w:rPr>
              <w:t xml:space="preserve"> cm </w:t>
            </w:r>
            <w:r w:rsidR="00F62EED" w:rsidRPr="00113825">
              <w:rPr>
                <w:rFonts w:cstheme="majorHAnsi"/>
                <w:sz w:val="16"/>
                <w:szCs w:val="16"/>
              </w:rPr>
              <w:t>or more to the oven-dry biomass density total stand volume.</w:t>
            </w:r>
          </w:p>
        </w:tc>
        <w:tc>
          <w:tcPr>
            <w:tcW w:w="1058" w:type="dxa"/>
            <w:vAlign w:val="center"/>
          </w:tcPr>
          <w:p w14:paraId="5875DF56" w14:textId="43047A6C"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{"citationItems":[{"id":"ITEM-1","itemData":{"ISBN":"4887880030","author":[{"dropping-particle":"","family":"Jim Penman","given":"","non-dropping-particle":"","parse-names":false,"suffix":""},{"dropping-particle":"","family":"Gytarsky","given":"Michael","non-dropping-particle":"","parse-names":false,"suffix":""},{"dropping-particle":"","family":"Hiraishi","given":"Taka","non-dropping-particle":"","parse-names":false,"suffix":""},{"dropping-particle":"","family":"Krug","given":"Thelma","non-dropping-particle":"","parse-names":false,"suffix":""},{"dropping-particle":"","family":"Kruger","given":"Dina","non-dropping-particle":"","parse-names":false,"suffix":""},{"dropping-particle":"","family":"Pipatti","given":"Riitta","non-dropping-particle":"","parse-names":false,"suffix":""},{"dropping-particle":"","family":"Buendia","given":"Leandro","non-dropping-particle":"","parse-names":false,"suffix":""},{"dropping-particle":"","family":"Miwa","given":"Kyoko","non-dropping-particle":"","parse-names":false,"suffix":""},{"dropping-particle":"","family":"Ngara","given":"Todd","non-dropping-particle":"","parse-names":false,"suffix":""},{"dropping-particle":"","family":"Tanabe","given":"Kiyoto","non-dropping-particle":"","parse-names":false,"suffix":""},{"dropping-particle":"","family":"Wagner","given":"Fabian","non-dropping-particle":"","parse-names":false,"suffix":""}],"container-title":"IPCC","id":"ITEM-1","issued":{"date-parts":[["2003"]]},"number-of-pages":"590","title":"Good Practice Guidance for Land Use, Land-Use Change and Forestry","type":"report"},"uris":["http://www.mendeley.com/documents/?uuid=9b570d65-cc28-41fd-b1e3-ccbf1464a18e"]},{"id":"ITEM-2","itemData":{"DOI":"10.1007/s13595-012-0191-6","ISSN":"12864560","abstract":"• Context The scaling-up approach (which requires the use of individual tree biomass equations and data) is one of the most commonly used methods for estimating stand biomass at a local scale. However, biomass prediction over large management areas requires more efficient methods. • Aims Two methods of estimating aboveground stand biomass were developed and compared: stand biomass equations (SBE) including observed stand variables, and SBE including biomass expansion factors (BEF) and stand volume. • Methods Two types of systems of additive equations were fitted simultaneously for components and total aboveground stand biomass, to ensure additivity. Inherent correlations among biomass components were also taken into account in the fitting process. • Results The systems explained a high percentage of the observed variability. The SBE systems that included observed stand variables provided more accurate estimates than those that included BEF and stand volume. However, the latter were found to be more precise for stem wood and total aboveground biomass prediction. • Conclusions Both approaches provide a direct link between forest inventory data, outputs from whole-stand growth models, and biomass estimates at stand level. Taking into account that the inventory effort is similar for both alternatives, the choice of which to use will depend on the data available and on the relative importance of the biomass components for the end-users. © INRA/Springer-Verlag France 2012.","author":[{"dropping-particle":"","family":"Castedo-Dorado","given":"Fernando","non-dropping-particle":"","parse-names":false,"suffix":""},{"dropping-particle":"","family":"Gómez-García","given":"Esteban","non-dropping-particle":"","parse-names":false,"suffix":""},{"dropping-particle":"","family":"Diéguez-Aranda","given":"Ulises","non-dropping-particle":"","parse-names":false,"suffix":""},{"dropping-particle":"","family":"Barrio-Anta","given":"Marcos","non-dropping-particle":"","parse-names":false,"suffix":""},{"dropping-particle":"","family":"Crecente-Campo","given":"Felipe","non-dropping-particle":"","parse-names":false,"suffix":""}],"container-title":"Annals of Forest Science","id":"ITEM-2","issue":"6","issued":{"date-parts":[["2012"]]},"page":"735-746","title":"Aboveground stand-level biomass estimation: A comparison of two methods for major forest species in northwest Spain","type":"article-journal","volume":"69"},"uris":["http://www.mendeley.com/documents/?uuid=54577c32-9af9-4286-8146-6a6554565ea6"]}],"mendeley":{"formattedCitation":"[33], [34]","plainTextFormattedCitation":"[33], [34]","previouslyFormattedCitation":"(Jim Penman &lt;i&gt;et al.&lt;/i&gt;, 2003; Castedo-Dorado &lt;i&gt;et al.&lt;/i&gt;, 2012)"},"properties":{"noteIndex":0},"schema":"https://github.com/citation-style-language/schema/raw/master/csl-citation.json"}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[33], [34]</w:t>
            </w:r>
            <w:r w:rsidRPr="00113825">
              <w:rPr>
                <w:rFonts w:cstheme="majorHAnsi"/>
                <w:sz w:val="16"/>
                <w:szCs w:val="16"/>
              </w:rPr>
              <w:fldChar w:fldCharType="end"/>
            </w:r>
          </w:p>
        </w:tc>
      </w:tr>
      <w:tr w:rsidR="00DE6E0A" w:rsidRPr="00113825" w14:paraId="3840D523" w14:textId="77777777" w:rsidTr="00C53CF3">
        <w:trPr>
          <w:jc w:val="center"/>
        </w:trPr>
        <w:tc>
          <w:tcPr>
            <w:tcW w:w="1911" w:type="dxa"/>
            <w:gridSpan w:val="2"/>
            <w:vAlign w:val="center"/>
          </w:tcPr>
          <w:p w14:paraId="244FCD24" w14:textId="77777777" w:rsidR="008C7B26" w:rsidRPr="00113825" w:rsidRDefault="008C7B26" w:rsidP="008C7B26">
            <w:pPr>
              <w:jc w:val="both"/>
              <w:rPr>
                <w:rFonts w:cstheme="majorHAnsi"/>
                <w:sz w:val="16"/>
                <w:szCs w:val="16"/>
              </w:rPr>
            </w:pPr>
            <w:r w:rsidRPr="00113825">
              <w:rPr>
                <w:rFonts w:cstheme="majorHAnsi"/>
                <w:sz w:val="16"/>
                <w:szCs w:val="16"/>
              </w:rPr>
              <w:t>Dry Matter</w:t>
            </w:r>
          </w:p>
        </w:tc>
        <w:tc>
          <w:tcPr>
            <w:tcW w:w="6093" w:type="dxa"/>
            <w:vAlign w:val="center"/>
          </w:tcPr>
          <w:p w14:paraId="247DB6B8" w14:textId="77777777" w:rsidR="008C7B26" w:rsidRPr="00113825" w:rsidRDefault="008C7B26" w:rsidP="008C7B26">
            <w:pPr>
              <w:jc w:val="both"/>
              <w:rPr>
                <w:rFonts w:cstheme="majorHAnsi"/>
                <w:sz w:val="16"/>
                <w:szCs w:val="16"/>
              </w:rPr>
            </w:pPr>
            <w:r w:rsidRPr="00113825">
              <w:rPr>
                <w:rFonts w:cstheme="majorHAnsi"/>
                <w:sz w:val="16"/>
                <w:szCs w:val="16"/>
              </w:rPr>
              <w:t>Dry matter refers to biomass that has been dried to an oven-dry state, often at 70°C.</w:t>
            </w:r>
          </w:p>
        </w:tc>
        <w:tc>
          <w:tcPr>
            <w:tcW w:w="1058" w:type="dxa"/>
            <w:vAlign w:val="center"/>
          </w:tcPr>
          <w:p w14:paraId="05D7861E" w14:textId="4BA043C5"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10.1007/978-3-642-41714-6_62425","author":[{"dropping-particle":"","family":"Herrmann","given":"Helmut","non-dropping-particle":"","parse-names":false,"suffix":""},{"dropping-particle":"","family":"Bucksch","given":"Herbert","non-dropping-particle":"","parse-names":false,"suffix":""}],"container-title":"Dictionary Geotechnical Engineering/Wörterbuch GeoTechnik","id":"ITEM-1","issued":{"date-parts":[["2014"]]},"page":"556-556","title":"Chapter 4: Forest Land (IPCC 2006 Guidelines)","type":"article-journal"},"uris":["http://www.mendeley.com/documents/?uuid=bdc6dc2c-143c-47b7-bbd2-f305991e98ff"]}],"mendeley":{"formattedCitation":"[32]","plainTextFormattedCitation":"[32]","previouslyFormattedCitation":"(Herrmann and Bucksch,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[32]</w:t>
            </w:r>
            <w:r w:rsidRPr="00113825">
              <w:rPr>
                <w:rFonts w:cstheme="majorHAnsi"/>
                <w:sz w:val="16"/>
                <w:szCs w:val="16"/>
              </w:rPr>
              <w:fldChar w:fldCharType="end"/>
            </w:r>
          </w:p>
        </w:tc>
      </w:tr>
      <w:tr w:rsidR="00DE6E0A" w:rsidRPr="00113825" w14:paraId="0153EBBA" w14:textId="77777777" w:rsidTr="00C53CF3">
        <w:trPr>
          <w:jc w:val="center"/>
        </w:trPr>
        <w:tc>
          <w:tcPr>
            <w:tcW w:w="1911" w:type="dxa"/>
            <w:gridSpan w:val="2"/>
            <w:vAlign w:val="center"/>
          </w:tcPr>
          <w:p w14:paraId="2A3D67F3" w14:textId="77777777" w:rsidR="008C7B26" w:rsidRPr="00113825" w:rsidRDefault="008C7B26" w:rsidP="008C7B26">
            <w:pPr>
              <w:jc w:val="both"/>
              <w:rPr>
                <w:rFonts w:cstheme="majorHAnsi"/>
                <w:sz w:val="16"/>
                <w:szCs w:val="16"/>
              </w:rPr>
            </w:pPr>
            <w:r w:rsidRPr="00113825">
              <w:rPr>
                <w:rFonts w:cstheme="majorHAnsi"/>
                <w:sz w:val="16"/>
                <w:szCs w:val="16"/>
              </w:rPr>
              <w:t>Felling</w:t>
            </w:r>
          </w:p>
        </w:tc>
        <w:tc>
          <w:tcPr>
            <w:tcW w:w="6093" w:type="dxa"/>
            <w:vAlign w:val="center"/>
          </w:tcPr>
          <w:p w14:paraId="10C98CA7" w14:textId="77777777" w:rsidR="008C7B26" w:rsidRPr="00113825" w:rsidRDefault="008C7B26" w:rsidP="008C7B26">
            <w:pPr>
              <w:jc w:val="both"/>
              <w:rPr>
                <w:rFonts w:cstheme="majorHAnsi"/>
                <w:sz w:val="16"/>
                <w:szCs w:val="16"/>
              </w:rPr>
            </w:pPr>
            <w:r w:rsidRPr="00113825">
              <w:rPr>
                <w:rFonts w:cstheme="majorHAnsi"/>
                <w:sz w:val="16"/>
                <w:szCs w:val="16"/>
              </w:rPr>
              <w:t>Volume (over bark) of all trees, living or dead, above a 10cm diameter at breast height, felled annually in forests or other wooded lands. It includes silvicultural and pre-commercial thinning and cleanings of trees of more than 10 cm diameter, left in the forest, and natural losses that are recovered.</w:t>
            </w:r>
          </w:p>
        </w:tc>
        <w:tc>
          <w:tcPr>
            <w:tcW w:w="1058" w:type="dxa"/>
            <w:vAlign w:val="center"/>
          </w:tcPr>
          <w:p w14:paraId="1F259F10" w14:textId="0553F329"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10.1007/978-3-642-41714-6_62425","author":[{"dropping-particle":"","family":"Herrmann","given":"Helmut","non-dropping-particle":"","parse-names":false,"suffix":""},{"dropping-particle":"","family":"Bucksch","given":"Herbert","non-dropping-particle":"","parse-names":false,"suffix":""}],"container-title":"Dictionary Geotechnical Engineering/Wörterbuch GeoTechnik","id":"ITEM-1","issued":{"date-parts":[["2014"]]},"page":"556-556","title":"Chapter 4: Forest Land (IPCC 2006 Guidelines)","type":"article-journal"},"uris":["http://www.mendeley.com/documents/?uuid=bdc6dc2c-143c-47b7-bbd2-f305991e98ff"]}],"mendeley":{"formattedCitation":"[32]","plainTextFormattedCitation":"[32]","previouslyFormattedCitation":"(Herrmann and Bucksch,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[32]</w:t>
            </w:r>
            <w:r w:rsidRPr="00113825">
              <w:rPr>
                <w:rFonts w:cstheme="majorHAnsi"/>
                <w:sz w:val="16"/>
                <w:szCs w:val="16"/>
              </w:rPr>
              <w:fldChar w:fldCharType="end"/>
            </w:r>
          </w:p>
        </w:tc>
      </w:tr>
      <w:tr w:rsidR="00DE6E0A" w:rsidRPr="00113825" w14:paraId="68D3773C" w14:textId="77777777" w:rsidTr="00C53CF3">
        <w:trPr>
          <w:jc w:val="center"/>
        </w:trPr>
        <w:tc>
          <w:tcPr>
            <w:tcW w:w="1911" w:type="dxa"/>
            <w:gridSpan w:val="2"/>
            <w:vAlign w:val="center"/>
          </w:tcPr>
          <w:p w14:paraId="0B86F9EB" w14:textId="51A5FED3" w:rsidR="008C7B26" w:rsidRPr="00113825" w:rsidRDefault="008C7B26" w:rsidP="008C7B26">
            <w:pPr>
              <w:jc w:val="both"/>
              <w:rPr>
                <w:rFonts w:cstheme="majorHAnsi"/>
                <w:sz w:val="16"/>
                <w:szCs w:val="16"/>
              </w:rPr>
            </w:pPr>
            <w:r w:rsidRPr="00113825">
              <w:rPr>
                <w:rFonts w:cstheme="majorHAnsi"/>
                <w:sz w:val="16"/>
                <w:szCs w:val="16"/>
              </w:rPr>
              <w:t>Gross Annual Increment</w:t>
            </w:r>
          </w:p>
        </w:tc>
        <w:tc>
          <w:tcPr>
            <w:tcW w:w="6093" w:type="dxa"/>
            <w:vAlign w:val="center"/>
          </w:tcPr>
          <w:p w14:paraId="542E5A74" w14:textId="77777777" w:rsidR="008C7B26" w:rsidRPr="00113825" w:rsidRDefault="008C7B26" w:rsidP="008C7B26">
            <w:pPr>
              <w:jc w:val="both"/>
              <w:rPr>
                <w:rFonts w:cstheme="majorHAnsi"/>
                <w:sz w:val="16"/>
                <w:szCs w:val="16"/>
              </w:rPr>
            </w:pPr>
            <w:r w:rsidRPr="00113825">
              <w:rPr>
                <w:rFonts w:cstheme="majorHAnsi"/>
                <w:sz w:val="16"/>
                <w:szCs w:val="16"/>
              </w:rPr>
              <w:t>The average annual increment of volume over the reference period of all trees measured to a specified minimum diameter at breast height (varies by country). Includes increment of trees which have been felled or die.</w:t>
            </w:r>
          </w:p>
        </w:tc>
        <w:tc>
          <w:tcPr>
            <w:tcW w:w="1058" w:type="dxa"/>
            <w:vAlign w:val="center"/>
          </w:tcPr>
          <w:p w14:paraId="1150EE52" w14:textId="313B7A60"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{"citationItems":[{"id":"ITEM-1","itemData":{"ISBN":"4887880030","author":[{"dropping-particle":"","family":"Jim Penman","given":"","non-dropping-particle":"","parse-names":false,"suffix":""},{"dropping-particle":"","family":"Gytarsky","given":"Michael","non-dropping-particle":"","parse-names":false,"suffix":""},{"dropping-particle":"","family":"Hiraishi","given":"Taka","non-dropping-particle":"","parse-names":false,"suffix":""},{"dropping-particle":"","family":"Krug","given":"Thelma","non-dropping-particle":"","parse-names":false,"suffix":""},{"dropping-particle":"","family":"Kruger","given":"Dina","non-dropping-particle":"","parse-names":false,"suffix":""},{"dropping-particle":"","family":"Pipatti","given":"Riitta","non-dropping-particle":"","parse-names":false,"suffix":""},{"dropping-particle":"","family":"Buendia","given":"Leandro","non-dropping-particle":"","parse-names":false,"suffix":""},{"dropping-particle":"","family":"Miwa","given":"Kyoko","non-dropping-particle":"","parse-names":false,"suffix":""},{"dropping-particle":"","family":"Ngara","given":"Todd","non-dropping-particle":"","parse-names":false,"suffix":""},{"dropping-particle":"","family":"Tanabe","given":"Kiyoto","non-dropping-particle":"","parse-names":false,"suffix":""},{"dropping-particle":"","family":"Wagner","given":"Fabian","non-dropping-particle":"","parse-names":false,"suffix":""}],"container-title":"IPCC","id":"ITEM-1","issued":{"date-parts":[["2003"]]},"number-of-pages":"590","title":"Good Practice Guidance for Land Use, Land-Use Change and Forestry","type":"report"},"uris":["http://www.mendeley.com/documents/?uuid=9b570d65-cc28-41fd-b1e3-ccbf1464a18e"]}],"mendeley":{"formattedCitation":"[33]","plainTextFormattedCitation":"[33]","previouslyFormattedCitation":"(Jim Penman &lt;i&gt;et al.&lt;/i&gt;, 2003)"},"properties":{"noteIndex":0},"schema":"https://github.com/citation-style-language/schema/raw/master/csl-citation.json"}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[33]</w:t>
            </w:r>
            <w:r w:rsidRPr="00113825">
              <w:rPr>
                <w:rFonts w:cstheme="majorHAnsi"/>
                <w:sz w:val="16"/>
                <w:szCs w:val="16"/>
              </w:rPr>
              <w:fldChar w:fldCharType="end"/>
            </w:r>
          </w:p>
        </w:tc>
      </w:tr>
      <w:tr w:rsidR="00DE6E0A" w:rsidRPr="00113825" w14:paraId="12225BC6" w14:textId="77777777" w:rsidTr="00C53CF3">
        <w:trPr>
          <w:jc w:val="center"/>
        </w:trPr>
        <w:tc>
          <w:tcPr>
            <w:tcW w:w="1911" w:type="dxa"/>
            <w:gridSpan w:val="2"/>
            <w:vAlign w:val="center"/>
          </w:tcPr>
          <w:p w14:paraId="13922286" w14:textId="77777777" w:rsidR="008C7B26" w:rsidRPr="00113825" w:rsidRDefault="008C7B26" w:rsidP="008C7B26">
            <w:pPr>
              <w:jc w:val="both"/>
              <w:rPr>
                <w:rFonts w:cstheme="majorHAnsi"/>
                <w:sz w:val="16"/>
                <w:szCs w:val="16"/>
              </w:rPr>
            </w:pPr>
            <w:r w:rsidRPr="00113825">
              <w:rPr>
                <w:rFonts w:cstheme="majorHAnsi"/>
                <w:sz w:val="16"/>
                <w:szCs w:val="16"/>
              </w:rPr>
              <w:t>Growing stock</w:t>
            </w:r>
          </w:p>
        </w:tc>
        <w:tc>
          <w:tcPr>
            <w:tcW w:w="6093" w:type="dxa"/>
            <w:vAlign w:val="center"/>
          </w:tcPr>
          <w:p w14:paraId="68432D78" w14:textId="77777777" w:rsidR="008C7B26" w:rsidRPr="00113825" w:rsidRDefault="008C7B26" w:rsidP="008C7B26">
            <w:pPr>
              <w:jc w:val="both"/>
              <w:rPr>
                <w:rFonts w:cstheme="majorHAnsi"/>
                <w:sz w:val="16"/>
                <w:szCs w:val="16"/>
              </w:rPr>
            </w:pPr>
            <w:r w:rsidRPr="00113825">
              <w:rPr>
                <w:rFonts w:cstheme="majorHAnsi"/>
                <w:sz w:val="16"/>
                <w:szCs w:val="16"/>
              </w:rPr>
              <w:t>Volume over the bark of all living trees with a minimum diameter of 10 cm at breast height (or above buttress if these are higher). Includes the stem from ground level up to a top diameter of 0 cm, excluding branches.</w:t>
            </w:r>
          </w:p>
        </w:tc>
        <w:tc>
          <w:tcPr>
            <w:tcW w:w="1058" w:type="dxa"/>
            <w:vAlign w:val="center"/>
          </w:tcPr>
          <w:p w14:paraId="743436AC" w14:textId="0D3DC2E1"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{"citationItems":[{"id":"ITEM-1","itemData":{"abstract":"The Global Forest Resources Assessment (FRA) benefits greatly from the consistent use of clear terms and definitions. It is conducted once every five years with the next assessment scheduled for release in September 2015. This document supports the preparation of FRA 2015 Country Reports by National Correspondents as well as the understanding of the underlying basis for what is reported in the FRA","author":[{"dropping-particle":"","family":"FAO FRA","given":"","non-dropping-particle":"","parse-names":false,"suffix":""}],"container-title":"FAO report","id":"ITEM-1","issued":{"date-parts":[["2012"]]},"page":"36","title":"Forest Resources Assessment 2015: Terms and Definitions","type":"article-journal"},"uris":["http://www.mendeley.com/documents/?uuid=84e42c7b-fc99-4ef8-b8f2-fdf33aca1289"]}],"mendeley":{"formattedCitation":"[35]","plainTextFormattedCitation":"[35]","previouslyFormattedCitation":"(FAO FRA, 2012)"},"properties":{"noteIndex":0},"schema":"https://github.com/citation-style-language/schema/raw/master/csl-citation.json"}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[35]</w:t>
            </w:r>
            <w:r w:rsidRPr="00113825">
              <w:rPr>
                <w:rFonts w:cstheme="majorHAnsi"/>
                <w:sz w:val="16"/>
                <w:szCs w:val="16"/>
              </w:rPr>
              <w:fldChar w:fldCharType="end"/>
            </w:r>
          </w:p>
        </w:tc>
      </w:tr>
      <w:tr w:rsidR="00DE6E0A" w:rsidRPr="00113825" w14:paraId="1E27357A" w14:textId="77777777" w:rsidTr="00C53CF3">
        <w:trPr>
          <w:jc w:val="center"/>
        </w:trPr>
        <w:tc>
          <w:tcPr>
            <w:tcW w:w="1911" w:type="dxa"/>
            <w:gridSpan w:val="2"/>
            <w:vAlign w:val="center"/>
          </w:tcPr>
          <w:p w14:paraId="4B277500" w14:textId="77777777" w:rsidR="008C7B26" w:rsidRPr="00113825" w:rsidRDefault="008C7B26" w:rsidP="008C7B26">
            <w:pPr>
              <w:jc w:val="both"/>
              <w:rPr>
                <w:rFonts w:cstheme="majorHAnsi"/>
                <w:sz w:val="16"/>
                <w:szCs w:val="16"/>
              </w:rPr>
            </w:pPr>
            <w:r w:rsidRPr="00113825">
              <w:rPr>
                <w:rFonts w:cstheme="majorHAnsi"/>
                <w:sz w:val="16"/>
                <w:szCs w:val="16"/>
              </w:rPr>
              <w:t>High-spatial resolution</w:t>
            </w:r>
          </w:p>
        </w:tc>
        <w:tc>
          <w:tcPr>
            <w:tcW w:w="6093" w:type="dxa"/>
            <w:vAlign w:val="center"/>
          </w:tcPr>
          <w:p w14:paraId="43C05213" w14:textId="5E68528D" w:rsidR="008C7B26" w:rsidRPr="00113825" w:rsidRDefault="008C7B26" w:rsidP="008C7B26">
            <w:pPr>
              <w:jc w:val="both"/>
              <w:rPr>
                <w:rFonts w:cstheme="majorHAnsi"/>
                <w:sz w:val="16"/>
                <w:szCs w:val="16"/>
              </w:rPr>
            </w:pPr>
            <w:r w:rsidRPr="00113825">
              <w:rPr>
                <w:rFonts w:cstheme="majorHAnsi"/>
                <w:sz w:val="16"/>
                <w:szCs w:val="16"/>
              </w:rPr>
              <w:t>High-spatial resolution can be defined as a measure of the smallest object that can be distinctly identified; often referred to as a linear dimension on the ground represented by each pixel</w:t>
            </w:r>
            <w:r w:rsidR="004450E2" w:rsidRPr="00113825">
              <w:rPr>
                <w:rFonts w:cstheme="majorHAnsi"/>
                <w:sz w:val="16"/>
                <w:szCs w:val="16"/>
              </w:rPr>
              <w:t>.</w:t>
            </w:r>
          </w:p>
        </w:tc>
        <w:tc>
          <w:tcPr>
            <w:tcW w:w="1058" w:type="dxa"/>
            <w:vAlign w:val="center"/>
          </w:tcPr>
          <w:p w14:paraId="44196AE9" w14:textId="314A63A6"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{"citationItems":[{"id":"ITEM-1","itemData":{"DOI":"10.1016/B978-0-12-385954-9.00001-0","ISBN":"9780123859549","abstract":"Abstract This chapter provides an overview of the remote-sensing system, including the platform and sensor system, data transmission and ground receiving system, processing system of radiometric and geometric properties, analysis system for mapping category variables and generating high-level products of quantitative variables, product production and distribution system, product validation system, and remote- sensing applications. It aims to present a complete picture of the state-of-the-art development of remote sensing techniques by linking different chapters in the rest of the book and filling in any possible gaps.","author":[{"dropping-particle":"","family":"Liang","given":"Shunlin","non-dropping-particle":"","parse-names":false,"suffix":""},{"dropping-particle":"","family":"Li","given":"Xiaowen","non-dropping-particle":"","parse-names":false,"suffix":""},{"dropping-particle":"","family":"Wang","given":"Jindi","non-dropping-particle":"","parse-names":false,"suffix":""}],"chapter-number":"1","container-title":"Advanced Remote Sensing","id":"ITEM-1","issued":{"date-parts":[["2012"]]},"page":"1-31","publisher":"Elsevier","title":"A Systematic View of Remote Sensing","type":"chapter"},"uris":["http://www.mendeley.com/documents/?uuid=b4ff4f2b-26a1-4ada-93f9-d29abfb42c6f"]}],"mendeley":{"formattedCitation":"[36]","plainTextFormattedCitation":"[36]","previouslyFormattedCitation":"(Liang, Li and Wang, 2012)"},"properties":{"noteIndex":0},"schema":"https://github.com/citation-style-language/schema/raw/master/csl-citation.json"}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[36]</w:t>
            </w:r>
            <w:r w:rsidRPr="00113825">
              <w:rPr>
                <w:rFonts w:cstheme="majorHAnsi"/>
                <w:sz w:val="16"/>
                <w:szCs w:val="16"/>
              </w:rPr>
              <w:fldChar w:fldCharType="end"/>
            </w:r>
          </w:p>
        </w:tc>
      </w:tr>
      <w:tr w:rsidR="00DE6E0A" w:rsidRPr="00113825" w14:paraId="58A1C52B" w14:textId="77777777" w:rsidTr="00C53CF3">
        <w:trPr>
          <w:jc w:val="center"/>
        </w:trPr>
        <w:tc>
          <w:tcPr>
            <w:tcW w:w="1911" w:type="dxa"/>
            <w:gridSpan w:val="2"/>
            <w:vAlign w:val="center"/>
          </w:tcPr>
          <w:p w14:paraId="613B5213" w14:textId="77777777" w:rsidR="008C7B26" w:rsidRPr="00113825" w:rsidRDefault="008C7B26" w:rsidP="008C7B26">
            <w:pPr>
              <w:jc w:val="both"/>
              <w:rPr>
                <w:rFonts w:cstheme="majorHAnsi"/>
                <w:sz w:val="16"/>
                <w:szCs w:val="16"/>
              </w:rPr>
            </w:pPr>
            <w:r w:rsidRPr="00113825">
              <w:rPr>
                <w:rFonts w:cstheme="majorHAnsi"/>
                <w:sz w:val="16"/>
                <w:szCs w:val="16"/>
              </w:rPr>
              <w:t>Mortality (Natural Losses)</w:t>
            </w:r>
          </w:p>
        </w:tc>
        <w:tc>
          <w:tcPr>
            <w:tcW w:w="6093" w:type="dxa"/>
            <w:vAlign w:val="center"/>
          </w:tcPr>
          <w:p w14:paraId="3BC88B0E" w14:textId="77777777" w:rsidR="008C7B26" w:rsidRPr="00113825" w:rsidRDefault="008C7B26" w:rsidP="008C7B26">
            <w:pPr>
              <w:jc w:val="both"/>
              <w:rPr>
                <w:rFonts w:cstheme="majorHAnsi"/>
                <w:b/>
                <w:sz w:val="16"/>
                <w:szCs w:val="16"/>
              </w:rPr>
            </w:pPr>
            <w:r w:rsidRPr="00113825">
              <w:rPr>
                <w:rFonts w:cstheme="majorHAnsi"/>
                <w:sz w:val="16"/>
                <w:szCs w:val="16"/>
              </w:rPr>
              <w:t xml:space="preserve">Trees dying naturally from the competition in the stem-exclusion stage of a stand or forest. </w:t>
            </w:r>
          </w:p>
        </w:tc>
        <w:tc>
          <w:tcPr>
            <w:tcW w:w="1058" w:type="dxa"/>
            <w:vAlign w:val="center"/>
          </w:tcPr>
          <w:p w14:paraId="178B5DFF" w14:textId="0A5C1740"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10.1007/978-3-642-41714-6_62425","author":[{"dropping-particle":"","family":"Herrmann","given":"Helmut","non-dropping-particle":"","parse-names":false,"suffix":""},{"dropping-particle":"","family":"Bucksch","given":"Herbert","non-dropping-particle":"","parse-names":false,"suffix":""}],"container-title":"Dictionary Geotechnical Engineering/Wörterbuch GeoTechnik","id":"ITEM-1","issued":{"date-parts":[["2014"]]},"page":"556-556","title":"Chapter 4: Forest Land (IPCC 2006 Guidelines)","type":"article-journal"},"uris":["http://www.mendeley.com/documents/?uuid=bdc6dc2c-143c-47b7-bbd2-f305991e98ff"]}],"mendeley":{"formattedCitation":"[32]","plainTextFormattedCitation":"[32]","previouslyFormattedCitation":"(Herrmann and Bucksch,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[32]</w:t>
            </w:r>
            <w:r w:rsidRPr="00113825">
              <w:rPr>
                <w:rFonts w:cstheme="majorHAnsi"/>
                <w:sz w:val="16"/>
                <w:szCs w:val="16"/>
              </w:rPr>
              <w:fldChar w:fldCharType="end"/>
            </w:r>
          </w:p>
        </w:tc>
      </w:tr>
      <w:tr w:rsidR="00DE6E0A" w:rsidRPr="00113825" w14:paraId="72F2F44C" w14:textId="77777777" w:rsidTr="00C53CF3">
        <w:trPr>
          <w:jc w:val="center"/>
        </w:trPr>
        <w:tc>
          <w:tcPr>
            <w:tcW w:w="1911" w:type="dxa"/>
            <w:gridSpan w:val="2"/>
            <w:vAlign w:val="center"/>
          </w:tcPr>
          <w:p w14:paraId="5115F20A" w14:textId="77777777" w:rsidR="008C7B26" w:rsidRPr="00113825" w:rsidRDefault="008C7B26" w:rsidP="008C7B26">
            <w:pPr>
              <w:jc w:val="both"/>
              <w:rPr>
                <w:rFonts w:cstheme="majorHAnsi"/>
                <w:sz w:val="16"/>
                <w:szCs w:val="16"/>
              </w:rPr>
            </w:pPr>
            <w:r w:rsidRPr="00113825">
              <w:rPr>
                <w:rFonts w:cstheme="majorHAnsi"/>
                <w:sz w:val="16"/>
                <w:szCs w:val="16"/>
              </w:rPr>
              <w:t>Net Annual Increment (NAI)</w:t>
            </w:r>
          </w:p>
        </w:tc>
        <w:tc>
          <w:tcPr>
            <w:tcW w:w="6093" w:type="dxa"/>
            <w:vAlign w:val="center"/>
          </w:tcPr>
          <w:p w14:paraId="51F3474B" w14:textId="77777777" w:rsidR="008C7B26" w:rsidRPr="00113825" w:rsidRDefault="008C7B26" w:rsidP="008C7B26">
            <w:pPr>
              <w:jc w:val="both"/>
              <w:rPr>
                <w:rFonts w:cstheme="majorHAnsi"/>
                <w:sz w:val="16"/>
                <w:szCs w:val="16"/>
              </w:rPr>
            </w:pPr>
            <w:r w:rsidRPr="00113825">
              <w:rPr>
                <w:rFonts w:cstheme="majorHAnsi"/>
                <w:sz w:val="16"/>
                <w:szCs w:val="16"/>
              </w:rPr>
              <w:t>Average annual volume over the given reference period of gross increment minus natural mortality, of all trees to a specified minimum diameter at breast height.</w:t>
            </w:r>
          </w:p>
        </w:tc>
        <w:tc>
          <w:tcPr>
            <w:tcW w:w="1058" w:type="dxa"/>
            <w:vAlign w:val="center"/>
          </w:tcPr>
          <w:p w14:paraId="7D02E408" w14:textId="486B69F4"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{"citationItems":[{"id":"ITEM-1","itemData":{"ISBN":"4887880030","author":[{"dropping-particle":"","family":"Jim Penman","given":"","non-dropping-particle":"","parse-names":false,"suffix":""},{"dropping-particle":"","family":"Gytarsky","given":"Michael","non-dropping-particle":"","parse-names":false,"suffix":""},{"dropping-particle":"","family":"Hiraishi","given":"Taka","non-dropping-particle":"","parse-names":false,"suffix":""},{"dropping-particle":"","family":"Krug","given":"Thelma","non-dropping-particle":"","parse-names":false,"suffix":""},{"dropping-particle":"","family":"Kruger","given":"Dina","non-dropping-particle":"","parse-names":false,"suffix":""},{"dropping-particle":"","family":"Pipatti","given":"Riitta","non-dropping-particle":"","parse-names":false,"suffix":""},{"dropping-particle":"","family":"Buendia","given":"Leandro","non-dropping-particle":"","parse-names":false,"suffix":""},{"dropping-particle":"","family":"Miwa","given":"Kyoko","non-dropping-particle":"","parse-names":false,"suffix":""},{"dropping-particle":"","family":"Ngara","given":"Todd","non-dropping-particle":"","parse-names":false,"suffix":""},{"dropping-particle":"","family":"Tanabe","given":"Kiyoto","non-dropping-particle":"","parse-names":false,"suffix":""},{"dropping-particle":"","family":"Wagner","given":"Fabian","non-dropping-particle":"","parse-names":false,"suffix":""}],"container-title":"IPCC","id":"ITEM-1","issued":{"date-parts":[["2003"]]},"number-of-pages":"590","title":"Good Practice Guidance for Land Use, Land-Use Change and Forestry","type":"report"},"uris":["http://www.mendeley.com/documents/?uuid=9b570d65-cc28-41fd-b1e3-ccbf1464a18e"]}],"mendeley":{"formattedCitation":"[33]","plainTextFormattedCitation":"[33]","previouslyFormattedCitation":"(Jim Penman &lt;i&gt;et al.&lt;/i&gt;, 2003)"},"properties":{"noteIndex":0},"schema":"https://github.com/citation-style-language/schema/raw/master/csl-citation.json"}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[33]</w:t>
            </w:r>
            <w:r w:rsidRPr="00113825">
              <w:rPr>
                <w:rFonts w:cstheme="majorHAnsi"/>
                <w:sz w:val="16"/>
                <w:szCs w:val="16"/>
              </w:rPr>
              <w:fldChar w:fldCharType="end"/>
            </w:r>
          </w:p>
        </w:tc>
      </w:tr>
      <w:tr w:rsidR="00DE6E0A" w:rsidRPr="00113825" w14:paraId="40AF80B3" w14:textId="77777777" w:rsidTr="00C53CF3">
        <w:trPr>
          <w:jc w:val="center"/>
        </w:trPr>
        <w:tc>
          <w:tcPr>
            <w:tcW w:w="1911" w:type="dxa"/>
            <w:gridSpan w:val="2"/>
            <w:vAlign w:val="center"/>
          </w:tcPr>
          <w:p w14:paraId="6D930F4D" w14:textId="77777777" w:rsidR="008C7B26" w:rsidRPr="00113825" w:rsidRDefault="008C7B26" w:rsidP="008C7B26">
            <w:pPr>
              <w:jc w:val="both"/>
              <w:rPr>
                <w:rFonts w:cstheme="majorHAnsi"/>
                <w:sz w:val="16"/>
                <w:szCs w:val="16"/>
              </w:rPr>
            </w:pPr>
            <w:r w:rsidRPr="00113825">
              <w:rPr>
                <w:rFonts w:cstheme="majorHAnsi"/>
                <w:sz w:val="16"/>
                <w:szCs w:val="16"/>
              </w:rPr>
              <w:t>Primary Forestry Residue (PFRs)</w:t>
            </w:r>
          </w:p>
        </w:tc>
        <w:tc>
          <w:tcPr>
            <w:tcW w:w="6093" w:type="dxa"/>
            <w:vAlign w:val="center"/>
          </w:tcPr>
          <w:p w14:paraId="3DBEFB61" w14:textId="77777777" w:rsidR="008C7B26" w:rsidRPr="00113825" w:rsidRDefault="008C7B26" w:rsidP="008C7B26">
            <w:pPr>
              <w:jc w:val="both"/>
              <w:rPr>
                <w:rFonts w:cstheme="majorHAnsi"/>
                <w:sz w:val="16"/>
                <w:szCs w:val="16"/>
              </w:rPr>
            </w:pPr>
            <w:r w:rsidRPr="00113825">
              <w:rPr>
                <w:rFonts w:cstheme="majorHAnsi"/>
                <w:sz w:val="16"/>
                <w:szCs w:val="16"/>
              </w:rPr>
              <w:t>Primary Forestry Residues are defined as residues that are left over from logging operations – thinning or final felling (branches, stumps, treetops, bark, sawdust, etc.) or other pre-commercial thinning.</w:t>
            </w:r>
          </w:p>
        </w:tc>
        <w:tc>
          <w:tcPr>
            <w:tcW w:w="1058" w:type="dxa"/>
            <w:vAlign w:val="center"/>
          </w:tcPr>
          <w:p w14:paraId="62BE7C32" w14:textId="48BDEC2A"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{"citationItems":[{"id":"ITEM-1","itemData":{"DOI":"10.2790/39014","ISBN":"9789279538797","abstract":"The JRC-EU-TIMES is a partial equilibrium energy system model maintained by the Institute for Energy and Transport (IET) of the Joint Research Centre (JRC) to analyse the role of energy technologies development and their potential contribution to decarbonisation pathways of the energy system. The technical potentials for renewable energies are a key input in models of this kind. In this context, it is important to ensure transparency in the assumptions: making available the underlying data to the public is thus an important step that can also further contribute to a scientific and transparent debate. This report is the first in a series, and addresses the quantification of current and future biomass potentials for energy. As already identified in the 2011 European Commission’s Communication Energy roadmap 2050, biomass is expected to play a key role in strengthening the Energy Union pillars by diversifying the energy supply, increasing the energy internal market, decarbonising the economy and boosting competitiveness. Estimating the technical potentials available in EU countries using state of the art methodologies and updated data is important to fully understand the implications of an increased used of biomass for energy. Acknowledging this relevance, much work has been carried to characterise and quantify biomass resources. Building on the initial effort from the European Environment Agency, followed by key projects like BEE and Biomass Futures, this report presents the results of extending and improving current methodologies and estimation to respond to energy system modelling needs, while extending the projections to 2050.","author":[{"dropping-particle":"","family":"Ruiz","given":"Pablo","non-dropping-particle":"","parse-names":false,"suffix":""},{"dropping-particle":"","family":"Sgobbi","given":"Alessandra","non-dropping-particle":"","parse-names":false,"suffix":""},{"dropping-particle":"","family":"Nijs","given":"Wouter","non-dropping-particle":"","parse-names":false,"suffix":""},{"dropping-particle":"","family":"Thiel","given":"Christian","non-dropping-particle":"","parse-names":false,"suffix":""},{"dropping-particle":"","family":"Dalla Longa","given":"Francesco","non-dropping-particle":"","parse-names":false,"suffix":""},{"dropping-particle":"","family":"Kober","given":"Tom","non-dropping-particle":"","parse-names":false,"suffix":""},{"dropping-particle":"","family":"Elbersen","given":"Berien","non-dropping-particle":"","parse-names":false,"suffix":""},{"dropping-particle":"","family":"Hengeveld","given":"Geerten","non-dropping-particle":"","parse-names":false,"suffix":""},{"dropping-particle":"","family":"Alterra","given":"","non-dropping-particle":"","parse-names":false,"suffix":""}],"id":"ITEM-1","issued":{"date-parts":[["2015"]]},"number-of-pages":"176","publisher":"European Commission Joint Research Centre","title":"The JRC-EU-TIMES model. Bioenergy potentials for EU and neighbouring countries","type":"book"},"uris":["http://www.mendeley.com/documents/?uuid=4f764bd6-738f-47f5-b554-b1efdc00eeda"]}],"mendeley":{"formattedCitation":"[8]","plainTextFormattedCitation":"[8]","previouslyFormattedCitation":"(Ruiz &lt;i&gt;et al.&lt;/i&gt;, 2015)"},"properties":{"noteIndex":0},"schema":"https://github.com/citation-style-language/schema/raw/master/csl-citation.json"}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[8]</w:t>
            </w:r>
            <w:r w:rsidRPr="00113825">
              <w:rPr>
                <w:rFonts w:cstheme="majorHAnsi"/>
                <w:sz w:val="16"/>
                <w:szCs w:val="16"/>
              </w:rPr>
              <w:fldChar w:fldCharType="end"/>
            </w:r>
          </w:p>
        </w:tc>
      </w:tr>
      <w:tr w:rsidR="00DE6E0A" w:rsidRPr="00113825" w14:paraId="040390D8" w14:textId="77777777" w:rsidTr="00C53CF3">
        <w:trPr>
          <w:jc w:val="center"/>
        </w:trPr>
        <w:tc>
          <w:tcPr>
            <w:tcW w:w="1911" w:type="dxa"/>
            <w:gridSpan w:val="2"/>
            <w:vAlign w:val="center"/>
          </w:tcPr>
          <w:p w14:paraId="27E93A81" w14:textId="77777777" w:rsidR="008C7B26" w:rsidRPr="00113825" w:rsidRDefault="008C7B26" w:rsidP="008C7B26">
            <w:pPr>
              <w:jc w:val="both"/>
              <w:rPr>
                <w:rFonts w:cstheme="majorHAnsi"/>
                <w:sz w:val="16"/>
                <w:szCs w:val="16"/>
              </w:rPr>
            </w:pPr>
            <w:r w:rsidRPr="00113825">
              <w:rPr>
                <w:rFonts w:cstheme="majorHAnsi"/>
                <w:sz w:val="16"/>
                <w:szCs w:val="16"/>
              </w:rPr>
              <w:t>Raster data</w:t>
            </w:r>
          </w:p>
        </w:tc>
        <w:tc>
          <w:tcPr>
            <w:tcW w:w="6093" w:type="dxa"/>
            <w:vAlign w:val="center"/>
          </w:tcPr>
          <w:p w14:paraId="39763AC9" w14:textId="77777777" w:rsidR="008C7B26" w:rsidRPr="00113825" w:rsidRDefault="008C7B26" w:rsidP="008C7B26">
            <w:pPr>
              <w:jc w:val="both"/>
              <w:rPr>
                <w:rFonts w:cstheme="majorHAnsi"/>
                <w:sz w:val="16"/>
                <w:szCs w:val="16"/>
              </w:rPr>
            </w:pPr>
            <w:r w:rsidRPr="00113825">
              <w:rPr>
                <w:rFonts w:cstheme="majorHAnsi"/>
                <w:sz w:val="16"/>
                <w:szCs w:val="16"/>
              </w:rPr>
              <w:t xml:space="preserve">In its simplest form, a raster consists of a matrix of cells (or pixels) organized into rows and columns (or a grid) where each cell contains a value representing information, such as soil moisture content. </w:t>
            </w:r>
            <w:proofErr w:type="spellStart"/>
            <w:r w:rsidRPr="00113825">
              <w:rPr>
                <w:rFonts w:cstheme="majorHAnsi"/>
                <w:sz w:val="16"/>
                <w:szCs w:val="16"/>
              </w:rPr>
              <w:t>Rasters</w:t>
            </w:r>
            <w:proofErr w:type="spellEnd"/>
            <w:r w:rsidRPr="00113825">
              <w:rPr>
                <w:rFonts w:cstheme="majorHAnsi"/>
                <w:sz w:val="16"/>
                <w:szCs w:val="16"/>
              </w:rPr>
              <w:t xml:space="preserve"> are digital aerial photographs, imagery from satellites, digital pictures, or even scanned maps.</w:t>
            </w:r>
          </w:p>
        </w:tc>
        <w:tc>
          <w:tcPr>
            <w:tcW w:w="1058" w:type="dxa"/>
            <w:vAlign w:val="center"/>
          </w:tcPr>
          <w:p w14:paraId="07B9F548" w14:textId="72C08C1B"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{"citationItems":[{"id":"ITEM-1","itemData":{"URL":"http://desktop.arcgis.com/en/arcmap/10.3/manage-data/raster-and-images/what-is-raster-data.htm","accessed":{"date-parts":[["2019","9","4"]]},"id":"ITEM-1","issued":{"date-parts":[["0"]]},"title":"What is raster data?—Help | ArcGIS for Desktop","type":"webpage"},"uris":["http://www.mendeley.com/documents/?uuid=c3f7a473-934d-3c34-909c-beb8c676e7a6"]}],"mendeley":{"formattedCitation":"[37]","plainTextFormattedCitation":"[37]","previouslyFormattedCitation":"(&lt;i&gt;What is raster data?—Help | ArcGIS for Desktop&lt;/i&gt;, no date)"},"properties":{"noteIndex":0},"schema":"https://github.com/citation-style-language/schema/raw/master/csl-citation.json"}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[37]</w:t>
            </w:r>
            <w:r w:rsidRPr="00113825">
              <w:rPr>
                <w:rFonts w:cstheme="majorHAnsi"/>
                <w:sz w:val="16"/>
                <w:szCs w:val="16"/>
              </w:rPr>
              <w:fldChar w:fldCharType="end"/>
            </w:r>
          </w:p>
        </w:tc>
      </w:tr>
      <w:tr w:rsidR="00DE6E0A" w:rsidRPr="00113825" w14:paraId="6F0E4D9E" w14:textId="77777777" w:rsidTr="00C53CF3">
        <w:trPr>
          <w:jc w:val="center"/>
        </w:trPr>
        <w:tc>
          <w:tcPr>
            <w:tcW w:w="1911" w:type="dxa"/>
            <w:gridSpan w:val="2"/>
            <w:vAlign w:val="center"/>
          </w:tcPr>
          <w:p w14:paraId="17D85F1A" w14:textId="77777777" w:rsidR="008C7B26" w:rsidRPr="00113825" w:rsidRDefault="008C7B26" w:rsidP="008C7B26">
            <w:pPr>
              <w:jc w:val="both"/>
              <w:rPr>
                <w:rFonts w:cstheme="majorHAnsi"/>
                <w:sz w:val="16"/>
                <w:szCs w:val="16"/>
              </w:rPr>
            </w:pPr>
            <w:r w:rsidRPr="00113825">
              <w:rPr>
                <w:rFonts w:cstheme="majorHAnsi"/>
                <w:sz w:val="16"/>
                <w:szCs w:val="16"/>
              </w:rPr>
              <w:t>Root to Shoot Ratio</w:t>
            </w:r>
          </w:p>
        </w:tc>
        <w:tc>
          <w:tcPr>
            <w:tcW w:w="6093" w:type="dxa"/>
            <w:vAlign w:val="center"/>
          </w:tcPr>
          <w:p w14:paraId="62C51780" w14:textId="77777777" w:rsidR="008C7B26" w:rsidRPr="00113825" w:rsidRDefault="008C7B26" w:rsidP="008C7B26">
            <w:pPr>
              <w:jc w:val="both"/>
              <w:rPr>
                <w:rFonts w:cstheme="majorHAnsi"/>
                <w:sz w:val="16"/>
                <w:szCs w:val="16"/>
              </w:rPr>
            </w:pPr>
            <w:r w:rsidRPr="00113825">
              <w:rPr>
                <w:rFonts w:cstheme="majorHAnsi"/>
                <w:sz w:val="16"/>
                <w:szCs w:val="16"/>
              </w:rPr>
              <w:t>The ratio of below-ground biomass to above-ground biomass; applies to above-ground biomass, above-ground biomass growth, biomass removals and may differ for these components.</w:t>
            </w:r>
          </w:p>
        </w:tc>
        <w:tc>
          <w:tcPr>
            <w:tcW w:w="1058" w:type="dxa"/>
            <w:vAlign w:val="center"/>
          </w:tcPr>
          <w:p w14:paraId="3E236609" w14:textId="72EF5F31"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10.1007/978-3-642-41714-6_62425","author":[{"dropping-particle":"","family":"Herrmann","given":"Helmut","non-dropping-particle":"","parse-names":false,"suffix":""},{"dropping-particle":"","family":"Bucksch","given":"Herbert","non-dropping-particle":"","parse-names":false,"suffix":""}],"container-title":"Dictionary Geotechnical Engineering/Wörterbuch GeoTechnik","id":"ITEM-1","issued":{"date-parts":[["2014"]]},"page":"556-556","title":"Chapter 4: Forest Land (IPCC 2006 Guidelines)","type":"article-journal"},"uris":["http://www.mendeley.com/documents/?uuid=bdc6dc2c-143c-47b7-bbd2-f305991e98ff"]}],"mendeley":{"formattedCitation":"[32]","plainTextFormattedCitation":"[32]","previouslyFormattedCitation":"(Herrmann and Bucksch,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[32]</w:t>
            </w:r>
            <w:r w:rsidRPr="00113825">
              <w:rPr>
                <w:rFonts w:cstheme="majorHAnsi"/>
                <w:sz w:val="16"/>
                <w:szCs w:val="16"/>
              </w:rPr>
              <w:fldChar w:fldCharType="end"/>
            </w:r>
          </w:p>
        </w:tc>
      </w:tr>
      <w:tr w:rsidR="00DE6E0A" w:rsidRPr="00113825" w14:paraId="4068C181" w14:textId="77777777" w:rsidTr="00C53CF3">
        <w:trPr>
          <w:jc w:val="center"/>
        </w:trPr>
        <w:tc>
          <w:tcPr>
            <w:tcW w:w="440" w:type="dxa"/>
            <w:vMerge w:val="restart"/>
            <w:textDirection w:val="btLr"/>
            <w:vAlign w:val="center"/>
          </w:tcPr>
          <w:p w14:paraId="12C4AB40" w14:textId="77777777" w:rsidR="008C7B26" w:rsidRPr="00113825" w:rsidRDefault="008C7B26" w:rsidP="008C7B26">
            <w:pPr>
              <w:ind w:right="113"/>
              <w:jc w:val="center"/>
              <w:rPr>
                <w:rFonts w:cstheme="majorHAnsi"/>
                <w:sz w:val="16"/>
                <w:szCs w:val="16"/>
              </w:rPr>
            </w:pPr>
            <w:r w:rsidRPr="00113825">
              <w:rPr>
                <w:rFonts w:cstheme="majorHAnsi"/>
                <w:sz w:val="16"/>
                <w:szCs w:val="16"/>
              </w:rPr>
              <w:t>Scale</w:t>
            </w:r>
          </w:p>
        </w:tc>
        <w:tc>
          <w:tcPr>
            <w:tcW w:w="1471" w:type="dxa"/>
            <w:vAlign w:val="center"/>
          </w:tcPr>
          <w:p w14:paraId="1DEA6BAD" w14:textId="77777777" w:rsidR="008C7B26" w:rsidRPr="00113825" w:rsidRDefault="008C7B26" w:rsidP="008C7B26">
            <w:pPr>
              <w:jc w:val="both"/>
              <w:rPr>
                <w:rFonts w:cstheme="majorHAnsi"/>
                <w:sz w:val="16"/>
                <w:szCs w:val="16"/>
              </w:rPr>
            </w:pPr>
            <w:r w:rsidRPr="00113825">
              <w:rPr>
                <w:rFonts w:cstheme="majorHAnsi"/>
                <w:sz w:val="16"/>
                <w:szCs w:val="16"/>
              </w:rPr>
              <w:t>Cartographic Scale</w:t>
            </w:r>
          </w:p>
        </w:tc>
        <w:tc>
          <w:tcPr>
            <w:tcW w:w="6093" w:type="dxa"/>
            <w:vAlign w:val="center"/>
          </w:tcPr>
          <w:p w14:paraId="453192E1" w14:textId="77777777" w:rsidR="008C7B26" w:rsidRPr="00113825" w:rsidRDefault="008C7B26" w:rsidP="008C7B26">
            <w:pPr>
              <w:jc w:val="both"/>
              <w:rPr>
                <w:rFonts w:cstheme="majorHAnsi"/>
                <w:sz w:val="16"/>
                <w:szCs w:val="16"/>
              </w:rPr>
            </w:pPr>
            <w:r w:rsidRPr="00113825">
              <w:rPr>
                <w:rFonts w:cstheme="majorHAnsi"/>
                <w:sz w:val="16"/>
                <w:szCs w:val="16"/>
              </w:rPr>
              <w:t>Cartographic scale refers to the ratio between the length measurements on a map and the actual measurements on the ground and is also known as map scale.</w:t>
            </w:r>
          </w:p>
        </w:tc>
        <w:tc>
          <w:tcPr>
            <w:tcW w:w="1058" w:type="dxa"/>
            <w:vAlign w:val="center"/>
          </w:tcPr>
          <w:p w14:paraId="19DCA313" w14:textId="40595D07"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10.1201/b16751","ISBN":"9780429151507","ISSN":"0007-1250","author":[{"dropping-particle":"","family":"Zhang","given":"Jingxiong","non-dropping-particle":"","parse-names":false,"suffix":""},{"dropping-particle":"","family":"Atkinson","given":"Peter","non-dropping-particle":"","parse-names":false,"suffix":""},{"dropping-particle":"","family":"Goodchild","given":"Michael F.","non-dropping-particle":"","parse-names":false,"suffix":""}],"edition":"1st Editio","id":"ITEM-1","issued":{"date-parts":[["2014","4","15"]]},"publisher":"CRC Press","publisher-place":"Boca Raton","title":"Scale in Spatial Information and Analysis","type":"book"},"uris":["http://www.mendeley.com/documents/?uuid=c6aa86f3-548f-4c84-a237-3e25a7087628"]}],"mendeley":{"formattedCitation":"[20]","plainTextFormattedCitation":"[20]","previouslyFormattedCitation":"(Zhang, Atkinson and Goodchild,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[20]</w:t>
            </w:r>
            <w:r w:rsidRPr="00113825">
              <w:rPr>
                <w:rFonts w:cstheme="majorHAnsi"/>
                <w:sz w:val="16"/>
                <w:szCs w:val="16"/>
              </w:rPr>
              <w:fldChar w:fldCharType="end"/>
            </w:r>
          </w:p>
        </w:tc>
      </w:tr>
      <w:tr w:rsidR="00DE6E0A" w:rsidRPr="00113825" w14:paraId="48C58925" w14:textId="77777777" w:rsidTr="00C53CF3">
        <w:trPr>
          <w:jc w:val="center"/>
        </w:trPr>
        <w:tc>
          <w:tcPr>
            <w:tcW w:w="440" w:type="dxa"/>
            <w:vMerge/>
            <w:textDirection w:val="btLr"/>
            <w:vAlign w:val="center"/>
          </w:tcPr>
          <w:p w14:paraId="0DD45526" w14:textId="77777777" w:rsidR="008C7B26" w:rsidRPr="00113825" w:rsidRDefault="008C7B26" w:rsidP="008C7B26">
            <w:pPr>
              <w:ind w:left="113" w:right="113"/>
              <w:jc w:val="center"/>
              <w:rPr>
                <w:rFonts w:cstheme="majorHAnsi"/>
                <w:sz w:val="16"/>
                <w:szCs w:val="16"/>
              </w:rPr>
            </w:pPr>
          </w:p>
        </w:tc>
        <w:tc>
          <w:tcPr>
            <w:tcW w:w="1471" w:type="dxa"/>
            <w:vAlign w:val="center"/>
          </w:tcPr>
          <w:p w14:paraId="25D339C5" w14:textId="77777777" w:rsidR="008C7B26" w:rsidRPr="00113825" w:rsidRDefault="008C7B26" w:rsidP="008C7B26">
            <w:pPr>
              <w:jc w:val="both"/>
              <w:rPr>
                <w:rFonts w:cstheme="majorHAnsi"/>
                <w:sz w:val="16"/>
                <w:szCs w:val="16"/>
              </w:rPr>
            </w:pPr>
            <w:r w:rsidRPr="00113825">
              <w:rPr>
                <w:rFonts w:cstheme="majorHAnsi"/>
                <w:sz w:val="16"/>
                <w:szCs w:val="16"/>
              </w:rPr>
              <w:t>Geographic Scale</w:t>
            </w:r>
          </w:p>
        </w:tc>
        <w:tc>
          <w:tcPr>
            <w:tcW w:w="6093" w:type="dxa"/>
            <w:vAlign w:val="center"/>
          </w:tcPr>
          <w:p w14:paraId="335BFF6D" w14:textId="61C7F58F" w:rsidR="008C7B26" w:rsidRPr="00113825" w:rsidRDefault="008C7B26" w:rsidP="0089363E">
            <w:pPr>
              <w:jc w:val="both"/>
              <w:rPr>
                <w:rFonts w:cstheme="majorHAnsi"/>
                <w:sz w:val="16"/>
                <w:szCs w:val="16"/>
              </w:rPr>
            </w:pPr>
            <w:r w:rsidRPr="00113825">
              <w:rPr>
                <w:rFonts w:cstheme="majorHAnsi"/>
                <w:sz w:val="16"/>
                <w:szCs w:val="16"/>
              </w:rPr>
              <w:t>Geographic scale or observational scale refers to the size or spatial extent of the study. Ex; studies of land cover</w:t>
            </w:r>
            <w:r w:rsidR="009807B6" w:rsidRPr="00113825">
              <w:rPr>
                <w:rFonts w:cstheme="majorHAnsi"/>
                <w:sz w:val="16"/>
                <w:szCs w:val="16"/>
              </w:rPr>
              <w:t xml:space="preserve"> </w:t>
            </w: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{"citationItems":[{"id":"ITEM-1","itemData":{"DOI":"10.1038/s41586-018-0411-9","ISSN":"1476-4687","abstract":"Land change is a cause and consequence of global environmental change1,2. Changes in land use and land cover considerably alter the Earth’s energy balance and biogeochemical cycles, which contributes to climate change and—in turn—affects land surface properties and the provision of ecosystem services1–4.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globally5—tree cover has increased by 2.24 million km2 (+7.1% relative to the 1982 level). This overall net gain is the result of a net loss in the tropics being outweighed by a net gain in the extratropics. Global bare ground cover has decreased by 1.16 million km2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change1–4,6.","author":[{"dropping-particle":"","family":"Song","given":"Xiao-Peng","non-dropping-particle":"","parse-names":false,"suffix":""},{"dropping-particle":"","family":"Hansen","given":"Matthew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R","non-dropping-particle":"","parse-names":false,"suffix":""}],"container-title":"Nature","id":"ITEM-1","issue":"7720","issued":{"date-parts":[["2018"]]},"page":"639-643","title":"Global land change from 1982 to 2016","type":"article-journal","volume":"560"},"uris":["http://www.mendeley.com/documents/?uuid=83a614bc-93b4-43de-84c1-c86144864da5"]}],"mendeley":{"formattedCitation":"[38]","plainTextFormattedCitation":"[38]","previouslyFormattedCitation":"(Song &lt;i&gt;et al.&lt;/i&gt;, 2018)"},"properties":{"noteIndex":0},"schema":"https://github.com/citation-style-language/schema/raw/master/csl-citation.json"}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[38]</w:t>
            </w:r>
            <w:r w:rsidRPr="00113825">
              <w:rPr>
                <w:rFonts w:cstheme="majorHAnsi"/>
                <w:sz w:val="16"/>
                <w:szCs w:val="16"/>
              </w:rPr>
              <w:fldChar w:fldCharType="end"/>
            </w:r>
          </w:p>
        </w:tc>
        <w:tc>
          <w:tcPr>
            <w:tcW w:w="1058" w:type="dxa"/>
            <w:vAlign w:val="center"/>
          </w:tcPr>
          <w:p w14:paraId="6B62CFA9" w14:textId="3A3F4EEE"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10.1201/b16751","ISBN":"9780429151507","ISSN":"0007-1250","author":[{"dropping-particle":"","family":"Zhang","given":"Jingxiong","non-dropping-particle":"","parse-names":false,"suffix":""},{"dropping-particle":"","family":"Atkinson","given":"Peter","non-dropping-particle":"","parse-names":false,"suffix":""},{"dropping-particle":"","family":"Goodchild","given":"Michael F.","non-dropping-particle":"","parse-names":false,"suffix":""}],"edition":"1st Editio","id":"ITEM-1","issued":{"date-parts":[["2014","4","15"]]},"publisher":"CRC Press","publisher-place":"Boca Raton","title":"Scale in Spatial Information and Analysis","type":"book"},"uris":["http://www.mendeley.com/documents/?uuid=c6aa86f3-548f-4c84-a237-3e25a7087628"]}],"mendeley":{"formattedCitation":"[20]","plainTextFormattedCitation":"[20]","previouslyFormattedCitation":"(Zhang, Atkinson and Goodchild,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[20]</w:t>
            </w:r>
            <w:r w:rsidRPr="00113825">
              <w:rPr>
                <w:rFonts w:cstheme="majorHAnsi"/>
                <w:sz w:val="16"/>
                <w:szCs w:val="16"/>
              </w:rPr>
              <w:fldChar w:fldCharType="end"/>
            </w:r>
          </w:p>
        </w:tc>
      </w:tr>
      <w:tr w:rsidR="00DE6E0A" w:rsidRPr="00113825" w14:paraId="4445A6D6" w14:textId="77777777" w:rsidTr="00C53CF3">
        <w:trPr>
          <w:jc w:val="center"/>
        </w:trPr>
        <w:tc>
          <w:tcPr>
            <w:tcW w:w="440" w:type="dxa"/>
            <w:vMerge/>
            <w:vAlign w:val="center"/>
          </w:tcPr>
          <w:p w14:paraId="5D2B28EE" w14:textId="77777777" w:rsidR="008C7B26" w:rsidRPr="00113825" w:rsidRDefault="008C7B26" w:rsidP="008C7B26">
            <w:pPr>
              <w:jc w:val="both"/>
              <w:rPr>
                <w:rFonts w:cstheme="majorHAnsi"/>
                <w:sz w:val="16"/>
                <w:szCs w:val="16"/>
              </w:rPr>
            </w:pPr>
          </w:p>
        </w:tc>
        <w:tc>
          <w:tcPr>
            <w:tcW w:w="1471" w:type="dxa"/>
            <w:vAlign w:val="center"/>
          </w:tcPr>
          <w:p w14:paraId="5BCE2028" w14:textId="77777777" w:rsidR="008C7B26" w:rsidRPr="00113825" w:rsidRDefault="008C7B26" w:rsidP="008C7B26">
            <w:pPr>
              <w:jc w:val="both"/>
              <w:rPr>
                <w:rFonts w:cstheme="majorHAnsi"/>
                <w:sz w:val="16"/>
                <w:szCs w:val="16"/>
              </w:rPr>
            </w:pPr>
            <w:r w:rsidRPr="00113825">
              <w:rPr>
                <w:rFonts w:cstheme="majorHAnsi"/>
                <w:sz w:val="16"/>
                <w:szCs w:val="16"/>
              </w:rPr>
              <w:t>Measurement Scale</w:t>
            </w:r>
          </w:p>
        </w:tc>
        <w:tc>
          <w:tcPr>
            <w:tcW w:w="6093" w:type="dxa"/>
            <w:vAlign w:val="center"/>
          </w:tcPr>
          <w:p w14:paraId="0DB47560" w14:textId="77777777" w:rsidR="008C7B26" w:rsidRPr="00113825" w:rsidRDefault="008C7B26" w:rsidP="008C7B26">
            <w:pPr>
              <w:jc w:val="both"/>
              <w:rPr>
                <w:rFonts w:cstheme="majorHAnsi"/>
                <w:sz w:val="16"/>
                <w:szCs w:val="16"/>
              </w:rPr>
            </w:pPr>
            <w:r w:rsidRPr="00113825">
              <w:rPr>
                <w:rFonts w:cstheme="majorHAnsi"/>
                <w:sz w:val="16"/>
                <w:szCs w:val="16"/>
              </w:rPr>
              <w:t>Measurement scale, commonly called resolution refers to the smallest distinguishable parts of an object in a map, such as pixels in remote-sensing images.</w:t>
            </w:r>
          </w:p>
        </w:tc>
        <w:tc>
          <w:tcPr>
            <w:tcW w:w="1058" w:type="dxa"/>
            <w:vAlign w:val="center"/>
          </w:tcPr>
          <w:p w14:paraId="5F07AB5B" w14:textId="35F933CE"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10.1139/cjfr-2019-0034","ISSN":"0045-5067","author":[{"dropping-particle":"","family":"Qin","given":"Lihou","non-dropping-particle":"","parse-names":false,"suffix":""},{"dropping-particle":"","family":"Liu","given":"Qijing","non-dropping-particle":"","parse-names":false,"suffix":""},{"dropping-particle":"","family":"Zhang","given":"Maozhen","non-dropping-particle":"","parse-names":false,"suffix":""},{"dropping-particle":"","family":"Saeed","given":"Sajjad","non-dropping-particle":"","parse-names":false,"suffix":""}],"container-title":"Canadian Journal of Forest Research","id":"ITEM-1","issue":"11","issued":{"date-parts":[["2019","11"]]},"page":"1371-1378","publisher":"Taylor and Francis, New York, NY","title":"Effect of measurement errors on the estimation of tree biomass","type":"article-journal","volume":"49"},"uris":["http://www.mendeley.com/documents/?uuid=a3a0f304-f61b-4c85-b9a7-16f2f67443b3"]}],"mendeley":{"formattedCitation":"[39]","plainTextFormattedCitation":"[39]","previouslyFormattedCitation":"(Qin &lt;i&gt;et al.&lt;/i&gt;, 2019)"},"properties":{"noteIndex":0},"schema":"https://github.com/citation-style-language/schema/raw/master/csl-citation.json"}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[39]</w:t>
            </w:r>
            <w:r w:rsidRPr="00113825">
              <w:rPr>
                <w:rFonts w:cstheme="majorHAnsi"/>
                <w:sz w:val="16"/>
                <w:szCs w:val="16"/>
              </w:rPr>
              <w:fldChar w:fldCharType="end"/>
            </w:r>
          </w:p>
        </w:tc>
      </w:tr>
      <w:tr w:rsidR="00DE6E0A" w:rsidRPr="00113825" w14:paraId="56F05946" w14:textId="77777777" w:rsidTr="00C53CF3">
        <w:trPr>
          <w:jc w:val="center"/>
        </w:trPr>
        <w:tc>
          <w:tcPr>
            <w:tcW w:w="440" w:type="dxa"/>
            <w:vMerge/>
            <w:vAlign w:val="center"/>
          </w:tcPr>
          <w:p w14:paraId="3F1E4558" w14:textId="77777777" w:rsidR="008C7B26" w:rsidRPr="00113825" w:rsidRDefault="008C7B26" w:rsidP="008C7B26">
            <w:pPr>
              <w:jc w:val="both"/>
              <w:rPr>
                <w:rFonts w:cstheme="majorHAnsi"/>
                <w:sz w:val="16"/>
                <w:szCs w:val="16"/>
              </w:rPr>
            </w:pPr>
          </w:p>
        </w:tc>
        <w:tc>
          <w:tcPr>
            <w:tcW w:w="1471" w:type="dxa"/>
            <w:vAlign w:val="center"/>
          </w:tcPr>
          <w:p w14:paraId="07572680" w14:textId="77777777" w:rsidR="008C7B26" w:rsidRPr="00113825" w:rsidRDefault="008C7B26" w:rsidP="008C7B26">
            <w:pPr>
              <w:jc w:val="both"/>
              <w:rPr>
                <w:rFonts w:cstheme="majorHAnsi"/>
                <w:sz w:val="16"/>
                <w:szCs w:val="16"/>
              </w:rPr>
            </w:pPr>
            <w:r w:rsidRPr="00113825">
              <w:rPr>
                <w:rFonts w:cstheme="majorHAnsi"/>
                <w:sz w:val="16"/>
                <w:szCs w:val="16"/>
              </w:rPr>
              <w:t>Operational Scale</w:t>
            </w:r>
          </w:p>
        </w:tc>
        <w:tc>
          <w:tcPr>
            <w:tcW w:w="6093" w:type="dxa"/>
            <w:vAlign w:val="center"/>
          </w:tcPr>
          <w:p w14:paraId="356CB4B2" w14:textId="0DEDEE84" w:rsidR="008C7B26" w:rsidRPr="00113825" w:rsidRDefault="008C7B26" w:rsidP="0089363E">
            <w:pPr>
              <w:jc w:val="both"/>
              <w:rPr>
                <w:rFonts w:cstheme="majorHAnsi"/>
                <w:sz w:val="16"/>
                <w:szCs w:val="16"/>
              </w:rPr>
            </w:pPr>
            <w:r w:rsidRPr="00113825">
              <w:rPr>
                <w:rFonts w:cstheme="majorHAnsi"/>
                <w:sz w:val="16"/>
                <w:szCs w:val="16"/>
              </w:rPr>
              <w:t xml:space="preserve">Operational scale refers to the spatial (or temporal) extent at which certain processes operate in the environment and is also known as process scale or intrinsic scale. The operational scale of a geographic process can suggest both the geographic and measurement scale </w:t>
            </w: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{"citationItems":[{"id":"ITEM-1","itemData":{"DOI":"10.1111/j.0033-0124.1992.00088.x","ISSN":"0033-0124","author":[{"dropping-particle":"","family":"Lam","given":"Nina Siu-Ngan","non-dropping-particle":"","parse-names":false,"suffix":""},{"dropping-particle":"","family":"Quattrochi","given":"Dale A","non-dropping-particle":"","parse-names":false,"suffix":""}],"container-title":"The Professional Geographer","id":"ITEM-1","issue":"1","issued":{"date-parts":[["1992","2","1"]]},"note":"doi: 10.1111/j.0033-0124.1992.00088.x","page":"88-98","publisher":"Routledge","title":"On the Issues of Scale, Resolution, and Fractal Analysis in the Mapping Sciences","type":"article-journal","volume":"44"},"uris":["http://www.mendeley.com/documents/?uuid=69954ee8-41d4-4136-9cc6-f6475255d4f4"]}],"mendeley":{"formattedCitation":"[40]","plainTextFormattedCitation":"[40]","previouslyFormattedCitation":"(Lam and Quattrochi, 1992)"},"properties":{"noteIndex":0},"schema":"https://github.com/citation-style-language/schema/raw/master/csl-citation.json"}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[40]</w:t>
            </w:r>
            <w:r w:rsidRPr="00113825">
              <w:rPr>
                <w:rFonts w:cstheme="majorHAnsi"/>
                <w:sz w:val="16"/>
                <w:szCs w:val="16"/>
              </w:rPr>
              <w:fldChar w:fldCharType="end"/>
            </w:r>
          </w:p>
        </w:tc>
        <w:tc>
          <w:tcPr>
            <w:tcW w:w="1058" w:type="dxa"/>
            <w:vAlign w:val="center"/>
          </w:tcPr>
          <w:p w14:paraId="265CF359" w14:textId="73CFFE4D"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10.1201/b16751","ISBN":"9780429151507","ISSN":"0007-1250","author":[{"dropping-particle":"","family":"Zhang","given":"Jingxiong","non-dropping-particle":"","parse-names":false,"suffix":""},{"dropping-particle":"","family":"Atkinson","given":"Peter","non-dropping-particle":"","parse-names":false,"suffix":""},{"dropping-particle":"","family":"Goodchild","given":"Michael F.","non-dropping-particle":"","parse-names":false,"suffix":""}],"edition":"1st Editio","id":"ITEM-1","issued":{"date-parts":[["2014","4","15"]]},"publisher":"CRC Press","publisher-place":"Boca Raton","title":"Scale in Spatial Information and Analysis","type":"book"},"uris":["http://www.mendeley.com/documents/?uuid=c6aa86f3-548f-4c84-a237-3e25a7087628"]}],"mendeley":{"formattedCitation":"[20]","plainTextFormattedCitation":"[20]","previouslyFormattedCitation":"(Zhang, Atkinson and Goodchild, 2014)"},"properties":{"noteIndex":0},"schema":"https://github.com/citation-style-language/schema/raw/master/csl-citation.json"}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[20]</w:t>
            </w:r>
            <w:r w:rsidRPr="00113825">
              <w:rPr>
                <w:rFonts w:cstheme="majorHAnsi"/>
                <w:sz w:val="16"/>
                <w:szCs w:val="16"/>
              </w:rPr>
              <w:fldChar w:fldCharType="end"/>
            </w:r>
          </w:p>
        </w:tc>
      </w:tr>
      <w:tr w:rsidR="00DE6E0A" w:rsidRPr="00113825" w14:paraId="2168A165" w14:textId="77777777" w:rsidTr="00C53CF3">
        <w:trPr>
          <w:jc w:val="center"/>
        </w:trPr>
        <w:tc>
          <w:tcPr>
            <w:tcW w:w="1911" w:type="dxa"/>
            <w:gridSpan w:val="2"/>
            <w:vAlign w:val="center"/>
          </w:tcPr>
          <w:p w14:paraId="5D9DB841" w14:textId="77777777" w:rsidR="008C7B26" w:rsidRPr="00113825" w:rsidRDefault="008C7B26" w:rsidP="008C7B26">
            <w:pPr>
              <w:jc w:val="both"/>
              <w:rPr>
                <w:rFonts w:cstheme="majorHAnsi"/>
                <w:sz w:val="16"/>
                <w:szCs w:val="16"/>
              </w:rPr>
            </w:pPr>
            <w:r w:rsidRPr="00113825">
              <w:rPr>
                <w:rFonts w:cstheme="majorHAnsi"/>
                <w:sz w:val="16"/>
                <w:szCs w:val="16"/>
              </w:rPr>
              <w:t>Spatial Quantification of PFRs</w:t>
            </w:r>
          </w:p>
        </w:tc>
        <w:tc>
          <w:tcPr>
            <w:tcW w:w="6093" w:type="dxa"/>
            <w:vAlign w:val="center"/>
          </w:tcPr>
          <w:p w14:paraId="06B2900D" w14:textId="3652F556" w:rsidR="008C7B26" w:rsidRPr="00113825" w:rsidRDefault="008C7B26" w:rsidP="00F44DDA">
            <w:pPr>
              <w:jc w:val="both"/>
              <w:rPr>
                <w:rFonts w:cstheme="majorHAnsi"/>
                <w:sz w:val="16"/>
                <w:szCs w:val="16"/>
              </w:rPr>
            </w:pPr>
            <w:r w:rsidRPr="00113825">
              <w:rPr>
                <w:rFonts w:cstheme="majorHAnsi"/>
                <w:sz w:val="16"/>
                <w:szCs w:val="16"/>
              </w:rPr>
              <w:t>Quantification of primary forestry residues in (</w:t>
            </w:r>
            <w:r w:rsidR="006C1969" w:rsidRPr="00113825">
              <w:rPr>
                <w:rFonts w:cstheme="majorHAnsi"/>
                <w:sz w:val="16"/>
                <w:szCs w:val="16"/>
              </w:rPr>
              <w:t>Mg</w:t>
            </w:r>
            <w:r w:rsidRPr="00113825">
              <w:rPr>
                <w:rFonts w:cstheme="majorHAnsi"/>
                <w:sz w:val="16"/>
                <w:szCs w:val="16"/>
                <w:vertAlign w:val="subscript"/>
              </w:rPr>
              <w:t>dry matter</w:t>
            </w:r>
            <w:r w:rsidR="006167B1" w:rsidRPr="00113825">
              <w:rPr>
                <w:rFonts w:cstheme="majorHAnsi"/>
                <w:sz w:val="16"/>
                <w:szCs w:val="16"/>
              </w:rPr>
              <w:t xml:space="preserve"> year</w:t>
            </w:r>
            <w:r w:rsidRPr="00113825">
              <w:rPr>
                <w:rFonts w:cstheme="majorHAnsi"/>
                <w:sz w:val="16"/>
                <w:szCs w:val="16"/>
                <w:vertAlign w:val="superscript"/>
              </w:rPr>
              <w:t>-1</w:t>
            </w:r>
            <w:r w:rsidRPr="00113825">
              <w:rPr>
                <w:rFonts w:cstheme="majorHAnsi"/>
                <w:sz w:val="16"/>
                <w:szCs w:val="16"/>
              </w:rPr>
              <w:t xml:space="preserve">) along with positional attributes (latitude and longitude).  </w:t>
            </w:r>
          </w:p>
        </w:tc>
        <w:tc>
          <w:tcPr>
            <w:tcW w:w="1058" w:type="dxa"/>
            <w:vAlign w:val="center"/>
          </w:tcPr>
          <w:p w14:paraId="0B4CEE8F" w14:textId="77777777" w:rsidR="008C7B26" w:rsidRPr="00113825" w:rsidRDefault="008C7B26" w:rsidP="008C7B26">
            <w:pPr>
              <w:jc w:val="both"/>
              <w:rPr>
                <w:rFonts w:cstheme="majorHAnsi"/>
                <w:sz w:val="16"/>
                <w:szCs w:val="16"/>
              </w:rPr>
            </w:pPr>
            <w:r w:rsidRPr="00113825">
              <w:rPr>
                <w:rFonts w:cstheme="majorHAnsi"/>
                <w:sz w:val="16"/>
                <w:szCs w:val="16"/>
              </w:rPr>
              <w:t>This study</w:t>
            </w:r>
          </w:p>
        </w:tc>
      </w:tr>
      <w:tr w:rsidR="00DE6E0A" w:rsidRPr="00113825" w14:paraId="4954ADC3" w14:textId="77777777" w:rsidTr="00C53CF3">
        <w:trPr>
          <w:jc w:val="center"/>
        </w:trPr>
        <w:tc>
          <w:tcPr>
            <w:tcW w:w="1911" w:type="dxa"/>
            <w:gridSpan w:val="2"/>
            <w:vAlign w:val="center"/>
          </w:tcPr>
          <w:p w14:paraId="46045112" w14:textId="77777777" w:rsidR="008C7B26" w:rsidRPr="00113825" w:rsidRDefault="008C7B26" w:rsidP="008C7B26">
            <w:pPr>
              <w:jc w:val="both"/>
              <w:rPr>
                <w:rFonts w:cstheme="majorHAnsi"/>
                <w:sz w:val="16"/>
                <w:szCs w:val="16"/>
              </w:rPr>
            </w:pPr>
            <w:r w:rsidRPr="00113825">
              <w:rPr>
                <w:rFonts w:cstheme="majorHAnsi"/>
                <w:sz w:val="16"/>
                <w:szCs w:val="16"/>
              </w:rPr>
              <w:t>Stemwood</w:t>
            </w:r>
          </w:p>
        </w:tc>
        <w:tc>
          <w:tcPr>
            <w:tcW w:w="6093" w:type="dxa"/>
            <w:vAlign w:val="center"/>
          </w:tcPr>
          <w:p w14:paraId="2EA6EDEA" w14:textId="682DD7D1" w:rsidR="008C7B26" w:rsidRPr="00113825" w:rsidRDefault="008C7B26" w:rsidP="008C7B26">
            <w:pPr>
              <w:jc w:val="both"/>
              <w:rPr>
                <w:rFonts w:cstheme="majorHAnsi"/>
                <w:sz w:val="16"/>
                <w:szCs w:val="16"/>
              </w:rPr>
            </w:pPr>
            <w:r w:rsidRPr="00113825">
              <w:rPr>
                <w:rFonts w:cstheme="majorHAnsi"/>
                <w:sz w:val="16"/>
                <w:szCs w:val="16"/>
              </w:rPr>
              <w:t xml:space="preserve">The wood of the stem(s) of a tree, i.e., the above-ground main growing shoot(s). Stemwood includes wood in main axes in major branches where there is at </w:t>
            </w:r>
            <w:r w:rsidR="00125026" w:rsidRPr="00113825">
              <w:rPr>
                <w:rFonts w:cstheme="majorHAnsi"/>
                <w:sz w:val="16"/>
                <w:szCs w:val="16"/>
              </w:rPr>
              <w:t xml:space="preserve">least </w:t>
            </w:r>
            <w:r w:rsidR="009F6FF1" w:rsidRPr="00113825">
              <w:rPr>
                <w:rFonts w:cstheme="majorHAnsi"/>
                <w:sz w:val="16"/>
                <w:szCs w:val="16"/>
              </w:rPr>
              <w:t>“</w:t>
            </w:r>
            <w:r w:rsidR="00125026" w:rsidRPr="00113825">
              <w:rPr>
                <w:rFonts w:cstheme="majorHAnsi"/>
                <w:sz w:val="16"/>
                <w:szCs w:val="16"/>
              </w:rPr>
              <w:t>X</w:t>
            </w:r>
            <w:r w:rsidR="009F6FF1" w:rsidRPr="00113825">
              <w:rPr>
                <w:rFonts w:cstheme="majorHAnsi"/>
                <w:sz w:val="16"/>
                <w:szCs w:val="16"/>
              </w:rPr>
              <w:t>”</w:t>
            </w:r>
            <w:r w:rsidR="00125026" w:rsidRPr="00113825">
              <w:rPr>
                <w:rFonts w:cstheme="majorHAnsi"/>
                <w:sz w:val="16"/>
                <w:szCs w:val="16"/>
              </w:rPr>
              <w:t xml:space="preserve"> m </w:t>
            </w:r>
            <w:r w:rsidRPr="00113825">
              <w:rPr>
                <w:rFonts w:cstheme="majorHAnsi"/>
                <w:sz w:val="16"/>
                <w:szCs w:val="16"/>
              </w:rPr>
              <w:t xml:space="preserve">of ‘straight’ length and Y cm top diameter. </w:t>
            </w:r>
          </w:p>
        </w:tc>
        <w:tc>
          <w:tcPr>
            <w:tcW w:w="1058" w:type="dxa"/>
            <w:vAlign w:val="center"/>
          </w:tcPr>
          <w:p w14:paraId="550203B2" w14:textId="139B3581"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{"citationItems":[{"id":"ITEM-1","itemData":{"DOI":"10.2760/539520","ISBN":"9789279772368","ISSN":"1018-5593","abstract":"The report delivers an assessment of EU biomass production, uses, flows and related environmental impacts for the sectors agriculture, forestry, fisheries and aquaculture, and algae. Quantitative estimates are derived from available data and current knowledge, yet highlighting the uncertainties and the remaining gaps. The work is framed within the JRC biomass study and is meant to support the EU bioeconomy and the related policies.","author":[{"dropping-particle":"","family":"Camia A., Robert N., Jonsson R., Pilli R., García-Condado S., López-Lozano R., van der Velde M., Ronzon T., Gurría P., M’Barek R., Tamosiunas S., Fiore G., Araujo R., Hoepffner N., Marelli L.","given":"Giuntoli J.","non-dropping-particle":"","parse-names":false,"suffix":""}],"id":"ITEM-1","issued":{"date-parts":[["2018"]]},"publisher":"Publications Office of the European Union, 2018","title":"Biomass production, supply, uses and flows in the European Union: First results from an integrated assessment","type":"report"},"uris":["http://www.mendeley.com/documents/?uuid=d3f52ba1-ed42-412d-a5a6-1d9764c78afa"]}],"mendeley":{"formattedCitation":"[41]","plainTextFormattedCitation":"[41]","previouslyFormattedCitation":"(Camia A., Robert N., Jonsson R., Pilli R., García-Condado S., López-Lozano R., van der Velde M., Ronzon T., Gurría P., M’Barek R., Tamosiunas S., Fiore G., Araujo R., Hoepffner N., Marelli L., 2018)"},"properties":{"noteIndex":0},"schema":"https://github.com/citation-style-language/schema/raw/master/csl-citation.json"}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[41]</w:t>
            </w:r>
            <w:r w:rsidRPr="00113825">
              <w:rPr>
                <w:rFonts w:cstheme="majorHAnsi"/>
                <w:sz w:val="16"/>
                <w:szCs w:val="16"/>
              </w:rPr>
              <w:fldChar w:fldCharType="end"/>
            </w:r>
          </w:p>
        </w:tc>
      </w:tr>
      <w:tr w:rsidR="00DE6E0A" w:rsidRPr="00113825" w14:paraId="30BE5B16" w14:textId="77777777" w:rsidTr="00C53CF3">
        <w:trPr>
          <w:jc w:val="center"/>
        </w:trPr>
        <w:tc>
          <w:tcPr>
            <w:tcW w:w="1911" w:type="dxa"/>
            <w:gridSpan w:val="2"/>
            <w:vAlign w:val="center"/>
          </w:tcPr>
          <w:p w14:paraId="509AF379" w14:textId="77777777" w:rsidR="008C7B26" w:rsidRPr="00113825" w:rsidRDefault="008C7B26" w:rsidP="008C7B26">
            <w:pPr>
              <w:jc w:val="both"/>
              <w:rPr>
                <w:rFonts w:cstheme="majorHAnsi"/>
                <w:sz w:val="16"/>
                <w:szCs w:val="16"/>
              </w:rPr>
            </w:pPr>
            <w:r w:rsidRPr="00113825">
              <w:rPr>
                <w:rFonts w:cstheme="majorHAnsi"/>
                <w:sz w:val="16"/>
                <w:szCs w:val="16"/>
              </w:rPr>
              <w:t>Theoretical Potential</w:t>
            </w:r>
          </w:p>
        </w:tc>
        <w:tc>
          <w:tcPr>
            <w:tcW w:w="6093" w:type="dxa"/>
            <w:vAlign w:val="center"/>
          </w:tcPr>
          <w:p w14:paraId="637B366E" w14:textId="77777777" w:rsidR="008C7B26" w:rsidRPr="00113825" w:rsidRDefault="008C7B26" w:rsidP="008C7B26">
            <w:pPr>
              <w:jc w:val="both"/>
              <w:rPr>
                <w:rFonts w:cstheme="majorHAnsi"/>
                <w:sz w:val="16"/>
                <w:szCs w:val="16"/>
              </w:rPr>
            </w:pPr>
            <w:r w:rsidRPr="00113825">
              <w:rPr>
                <w:rFonts w:cstheme="majorHAnsi"/>
                <w:sz w:val="16"/>
                <w:szCs w:val="16"/>
              </w:rPr>
              <w:t>This refers to the maximum energy potential that can be harvested from a resource, given its physical constraints.</w:t>
            </w:r>
          </w:p>
        </w:tc>
        <w:tc>
          <w:tcPr>
            <w:tcW w:w="1058" w:type="dxa"/>
            <w:vAlign w:val="center"/>
          </w:tcPr>
          <w:p w14:paraId="08E41320" w14:textId="038A1AF6"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{"citationItems":[{"id":"ITEM-1","itemData":{"DOI":"10.1016/j.enpol.2008.06.029","ISSN":"03014215","abstract":"Renewable energies (RE) represent a cornerstone to steer our energy system in the direction of sustainability and supply security. Generating electricity, heat or biofuels from renewable energy sources has become a high priority in the energy policy strategies at national level as well as at a global scale. Challenging goals for these \"new\" supply options to meet our energy demands have been set, e.g. at European level by the commitment of meeting 20% of the overall energy demand from renewable energy sources by 2020. A broad set of different RE technologies and resources exist today. Obviously, for a comprehensive investigation of the future RE development it is of crucial importance to provide a detailed investigation of the country-or region-specific situation-e.g. with respect to the potential of the certain RE's in general as well as the part that can be realised in the near future. It is the core objective of this paper to fulfil above-mentioned constraints, aiming to present an overview on the RE potentials and prospects globally-but based on region- and/or country-specific assessments of the resource conditions, the overall energy system boundaries and the related energy policy framework. Thus, a topical focus is put on both the near to mid future up to 2020 and the long-term perspective, indicating besides theoretical and technical potentials also the realisable mid- and long-term potentials referring to the time-horizon between 2030 and 2050 and prospects for the various renewable energy options. Future prospects are discussed by means of analysing energy policy scenarios as conducted for the International Energy Agency (IEA)'s \"World Energy Outlook\"-series. In this context, emphasis is given on the illustration of the possible contribution of renewable energies to power supply. © 2008 Elsevier Ltd. All rights reserved.","author":[{"dropping-particle":"","family":"Resch","given":"Gustav","non-dropping-particle":"","parse-names":false,"suffix":""},{"dropping-particle":"","family":"Held","given":"Anne","non-dropping-particle":"","parse-names":false,"suffix":""},{"dropping-particle":"","family":"Faber","given":"Thomas","non-dropping-particle":"","parse-names":false,"suffix":""},{"dropping-particle":"","family":"Panzer","given":"Christian","non-dropping-particle":"","parse-names":false,"suffix":""},{"dropping-particle":"","family":"Toro","given":"Felipe","non-dropping-particle":"","parse-names":false,"suffix":""},{"dropping-particle":"","family":"Haas","given":"Reinhard","non-dropping-particle":"","parse-names":false,"suffix":""}],"container-title":"Energy Policy","id":"ITEM-1","issue":"11","issued":{"date-parts":[["2008"]]},"page":"4048-4056","title":"Potentials and prospects for renewable energies at global scale","type":"article-journal","volume":"36"},"uris":["http://www.mendeley.com/documents/?uuid=de6d83ad-08fb-49fb-9368-1f5b22b86f2b"]}],"mendeley":{"formattedCitation":"[42]","plainTextFormattedCitation":"[42]","previouslyFormattedCitation":"(Resch &lt;i&gt;et al.&lt;/i&gt;, 2008)"},"properties":{"noteIndex":0},"schema":"https://github.com/citation-style-language/schema/raw/master/csl-citation.json"}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[42]</w:t>
            </w:r>
            <w:r w:rsidRPr="00113825">
              <w:rPr>
                <w:rFonts w:cstheme="majorHAnsi"/>
                <w:sz w:val="16"/>
                <w:szCs w:val="16"/>
              </w:rPr>
              <w:fldChar w:fldCharType="end"/>
            </w:r>
          </w:p>
        </w:tc>
      </w:tr>
      <w:tr w:rsidR="00DE6E0A" w:rsidRPr="00113825" w14:paraId="78BE74AE" w14:textId="77777777" w:rsidTr="00C53CF3">
        <w:trPr>
          <w:jc w:val="center"/>
        </w:trPr>
        <w:tc>
          <w:tcPr>
            <w:tcW w:w="1911" w:type="dxa"/>
            <w:gridSpan w:val="2"/>
            <w:vAlign w:val="center"/>
          </w:tcPr>
          <w:p w14:paraId="11B93822" w14:textId="77777777" w:rsidR="008C7B26" w:rsidRPr="00113825" w:rsidRDefault="008C7B26" w:rsidP="008C7B26">
            <w:pPr>
              <w:jc w:val="both"/>
              <w:rPr>
                <w:rFonts w:cstheme="majorHAnsi"/>
                <w:sz w:val="16"/>
                <w:szCs w:val="16"/>
              </w:rPr>
            </w:pPr>
            <w:r w:rsidRPr="00113825">
              <w:rPr>
                <w:rFonts w:cstheme="majorHAnsi"/>
                <w:sz w:val="16"/>
                <w:szCs w:val="16"/>
              </w:rPr>
              <w:t>Technical Potential</w:t>
            </w:r>
          </w:p>
        </w:tc>
        <w:tc>
          <w:tcPr>
            <w:tcW w:w="6093" w:type="dxa"/>
            <w:vAlign w:val="center"/>
          </w:tcPr>
          <w:p w14:paraId="09AB1B5D" w14:textId="77777777" w:rsidR="008C7B26" w:rsidRPr="00113825" w:rsidRDefault="008C7B26" w:rsidP="008C7B26">
            <w:pPr>
              <w:jc w:val="both"/>
              <w:rPr>
                <w:rFonts w:cstheme="majorHAnsi"/>
                <w:sz w:val="16"/>
                <w:szCs w:val="16"/>
              </w:rPr>
            </w:pPr>
            <w:r w:rsidRPr="00113825">
              <w:rPr>
                <w:rFonts w:cstheme="majorHAnsi"/>
                <w:sz w:val="16"/>
                <w:szCs w:val="16"/>
              </w:rPr>
              <w:t>It is the share of the theoretical potential that can be harvested taking into account current harvesting technologies performance and other possible constraints not fully associated with the physical limiting factor of the targeted source.</w:t>
            </w:r>
          </w:p>
        </w:tc>
        <w:tc>
          <w:tcPr>
            <w:tcW w:w="1058" w:type="dxa"/>
            <w:vAlign w:val="center"/>
          </w:tcPr>
          <w:p w14:paraId="04457C4E" w14:textId="261BD2A8"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{"citationItems":[{"id":"ITEM-1","itemData":{"DOI":"10.1016/j.enpol.2008.06.029","ISSN":"03014215","abstract":"Renewable energies (RE) represent a cornerstone to steer our energy system in the direction of sustainability and supply security. Generating electricity, heat or biofuels from renewable energy sources has become a high priority in the energy policy strategies at national level as well as at a global scale. Challenging goals for these \"new\" supply options to meet our energy demands have been set, e.g. at European level by the commitment of meeting 20% of the overall energy demand from renewable energy sources by 2020. A broad set of different RE technologies and resources exist today. Obviously, for a comprehensive investigation of the future RE development it is of crucial importance to provide a detailed investigation of the country-or region-specific situation-e.g. with respect to the potential of the certain RE's in general as well as the part that can be realised in the near future. It is the core objective of this paper to fulfil above-mentioned constraints, aiming to present an overview on the RE potentials and prospects globally-but based on region- and/or country-specific assessments of the resource conditions, the overall energy system boundaries and the related energy policy framework. Thus, a topical focus is put on both the near to mid future up to 2020 and the long-term perspective, indicating besides theoretical and technical potentials also the realisable mid- and long-term potentials referring to the time-horizon between 2030 and 2050 and prospects for the various renewable energy options. Future prospects are discussed by means of analysing energy policy scenarios as conducted for the International Energy Agency (IEA)'s \"World Energy Outlook\"-series. In this context, emphasis is given on the illustration of the possible contribution of renewable energies to power supply. © 2008 Elsevier Ltd. All rights reserved.","author":[{"dropping-particle":"","family":"Resch","given":"Gustav","non-dropping-particle":"","parse-names":false,"suffix":""},{"dropping-particle":"","family":"Held","given":"Anne","non-dropping-particle":"","parse-names":false,"suffix":""},{"dropping-particle":"","family":"Faber","given":"Thomas","non-dropping-particle":"","parse-names":false,"suffix":""},{"dropping-particle":"","family":"Panzer","given":"Christian","non-dropping-particle":"","parse-names":false,"suffix":""},{"dropping-particle":"","family":"Toro","given":"Felipe","non-dropping-particle":"","parse-names":false,"suffix":""},{"dropping-particle":"","family":"Haas","given":"Reinhard","non-dropping-particle":"","parse-names":false,"suffix":""}],"container-title":"Energy Policy","id":"ITEM-1","issue":"11","issued":{"date-parts":[["2008"]]},"page":"4048-4056","title":"Potentials and prospects for renewable energies at global scale","type":"article-journal","volume":"36"},"uris":["http://www.mendeley.com/documents/?uuid=de6d83ad-08fb-49fb-9368-1f5b22b86f2b"]}],"mendeley":{"formattedCitation":"[42]","plainTextFormattedCitation":"[42]","previouslyFormattedCitation":"(Resch &lt;i&gt;et al.&lt;/i&gt;, 2008)"},"properties":{"noteIndex":0},"schema":"https://github.com/citation-style-language/schema/raw/master/csl-citation.json"}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[42]</w:t>
            </w:r>
            <w:r w:rsidRPr="00113825">
              <w:rPr>
                <w:rFonts w:cstheme="majorHAnsi"/>
                <w:sz w:val="16"/>
                <w:szCs w:val="16"/>
              </w:rPr>
              <w:fldChar w:fldCharType="end"/>
            </w:r>
          </w:p>
        </w:tc>
      </w:tr>
      <w:tr w:rsidR="00DE6E0A" w:rsidRPr="00113825" w14:paraId="346985B1" w14:textId="77777777" w:rsidTr="00C53CF3">
        <w:trPr>
          <w:jc w:val="center"/>
        </w:trPr>
        <w:tc>
          <w:tcPr>
            <w:tcW w:w="1911" w:type="dxa"/>
            <w:gridSpan w:val="2"/>
            <w:vAlign w:val="center"/>
          </w:tcPr>
          <w:p w14:paraId="3D8F27D4" w14:textId="77777777" w:rsidR="008C7B26" w:rsidRPr="00113825" w:rsidRDefault="008C7B26" w:rsidP="008C7B26">
            <w:pPr>
              <w:jc w:val="both"/>
              <w:rPr>
                <w:rFonts w:cstheme="majorHAnsi"/>
                <w:sz w:val="16"/>
                <w:szCs w:val="16"/>
              </w:rPr>
            </w:pPr>
            <w:r w:rsidRPr="00113825">
              <w:rPr>
                <w:rFonts w:cstheme="majorHAnsi"/>
                <w:sz w:val="16"/>
                <w:szCs w:val="16"/>
              </w:rPr>
              <w:t xml:space="preserve">Uncertainty </w:t>
            </w:r>
          </w:p>
          <w:p w14:paraId="37F7CA28" w14:textId="77777777" w:rsidR="008C7B26" w:rsidRPr="00113825" w:rsidRDefault="008C7B26" w:rsidP="008C7B26">
            <w:pPr>
              <w:jc w:val="both"/>
              <w:rPr>
                <w:rFonts w:cstheme="majorHAnsi"/>
                <w:sz w:val="16"/>
                <w:szCs w:val="16"/>
              </w:rPr>
            </w:pPr>
            <w:r w:rsidRPr="00113825">
              <w:rPr>
                <w:rFonts w:cstheme="majorHAnsi"/>
                <w:sz w:val="16"/>
                <w:szCs w:val="16"/>
              </w:rPr>
              <w:t>(of measurement)</w:t>
            </w:r>
          </w:p>
        </w:tc>
        <w:tc>
          <w:tcPr>
            <w:tcW w:w="6093" w:type="dxa"/>
            <w:vAlign w:val="center"/>
          </w:tcPr>
          <w:p w14:paraId="381327B7" w14:textId="77777777" w:rsidR="008C7B26" w:rsidRPr="00113825" w:rsidRDefault="008C7B26" w:rsidP="008C7B26">
            <w:pPr>
              <w:jc w:val="both"/>
              <w:rPr>
                <w:rFonts w:cstheme="majorHAnsi"/>
                <w:sz w:val="16"/>
                <w:szCs w:val="16"/>
              </w:rPr>
            </w:pPr>
            <w:r w:rsidRPr="00113825">
              <w:rPr>
                <w:rFonts w:cstheme="majorHAnsi"/>
                <w:sz w:val="16"/>
                <w:szCs w:val="16"/>
              </w:rPr>
              <w:t xml:space="preserve">A parameter, associated with the result of a measurement that characterizes the dispersion of the values that could reasonably be attributed to the </w:t>
            </w:r>
            <w:proofErr w:type="spellStart"/>
            <w:r w:rsidRPr="00113825">
              <w:rPr>
                <w:rFonts w:cstheme="majorHAnsi"/>
                <w:sz w:val="16"/>
                <w:szCs w:val="16"/>
              </w:rPr>
              <w:t>measurand</w:t>
            </w:r>
            <w:proofErr w:type="spellEnd"/>
            <w:r w:rsidRPr="00113825">
              <w:rPr>
                <w:rFonts w:cstheme="majorHAnsi"/>
                <w:sz w:val="16"/>
                <w:szCs w:val="16"/>
              </w:rPr>
              <w:t>.</w:t>
            </w:r>
          </w:p>
        </w:tc>
        <w:tc>
          <w:tcPr>
            <w:tcW w:w="1058" w:type="dxa"/>
            <w:vAlign w:val="center"/>
          </w:tcPr>
          <w:p w14:paraId="51E76063" w14:textId="3ED99FA9"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measurement","type":"article-journal","volume":"50"},"uris":["http://www.mendeley.com/documents/?uuid=2470a84b-6509-45c2-abeb-1778e917d47b"]}],"mendeley":{"formattedCitation":"[43]","plainTextFormattedCitation":"[43]","previouslyFormattedCitation":"(Joint Committee For Guides In, 2008)"},"properties":{"noteIndex":0},"schema":"https://github.com/citation-style-language/schema/raw/master/csl-citation.json"}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[43]</w:t>
            </w:r>
            <w:r w:rsidRPr="00113825">
              <w:rPr>
                <w:rFonts w:cstheme="majorHAnsi"/>
                <w:sz w:val="16"/>
                <w:szCs w:val="16"/>
              </w:rPr>
              <w:fldChar w:fldCharType="end"/>
            </w:r>
          </w:p>
        </w:tc>
      </w:tr>
      <w:tr w:rsidR="008C7B26" w:rsidRPr="00113825" w14:paraId="154D0511" w14:textId="77777777" w:rsidTr="00C53CF3">
        <w:trPr>
          <w:jc w:val="center"/>
        </w:trPr>
        <w:tc>
          <w:tcPr>
            <w:tcW w:w="1911" w:type="dxa"/>
            <w:gridSpan w:val="2"/>
            <w:vAlign w:val="center"/>
          </w:tcPr>
          <w:p w14:paraId="4F3A94F7" w14:textId="77777777" w:rsidR="008C7B26" w:rsidRPr="00113825" w:rsidRDefault="008C7B26" w:rsidP="008C7B26">
            <w:pPr>
              <w:jc w:val="both"/>
              <w:rPr>
                <w:rFonts w:cstheme="majorHAnsi"/>
                <w:sz w:val="16"/>
                <w:szCs w:val="16"/>
              </w:rPr>
            </w:pPr>
            <w:r w:rsidRPr="00113825">
              <w:rPr>
                <w:rFonts w:cstheme="majorHAnsi"/>
                <w:sz w:val="16"/>
                <w:szCs w:val="16"/>
              </w:rPr>
              <w:t>Vector data</w:t>
            </w:r>
          </w:p>
        </w:tc>
        <w:tc>
          <w:tcPr>
            <w:tcW w:w="6093" w:type="dxa"/>
            <w:vAlign w:val="center"/>
          </w:tcPr>
          <w:p w14:paraId="1571B461" w14:textId="77777777" w:rsidR="008C7B26" w:rsidRPr="00113825" w:rsidRDefault="008C7B26" w:rsidP="008C7B26">
            <w:pPr>
              <w:jc w:val="both"/>
              <w:rPr>
                <w:rFonts w:cstheme="majorHAnsi"/>
                <w:sz w:val="16"/>
                <w:szCs w:val="16"/>
              </w:rPr>
            </w:pPr>
            <w:r w:rsidRPr="00113825">
              <w:rPr>
                <w:rFonts w:cstheme="majorHAnsi"/>
                <w:sz w:val="16"/>
                <w:szCs w:val="16"/>
              </w:rPr>
              <w:t>Vector data consists of location, shape, and attributes of geographic features. It is stored as a set of related files and contains one feature class. Vector data often contain large features with a lot of associated data.</w:t>
            </w:r>
          </w:p>
        </w:tc>
        <w:tc>
          <w:tcPr>
            <w:tcW w:w="1058" w:type="dxa"/>
            <w:vAlign w:val="center"/>
          </w:tcPr>
          <w:p w14:paraId="4621AF40" w14:textId="55E2638A" w:rsidR="008C7B26" w:rsidRPr="00113825" w:rsidRDefault="008C7B26" w:rsidP="0089363E">
            <w:pPr>
              <w:jc w:val="both"/>
              <w:rPr>
                <w:rFonts w:cstheme="majorHAnsi"/>
                <w:sz w:val="16"/>
                <w:szCs w:val="16"/>
              </w:rPr>
            </w:pPr>
            <w:r w:rsidRPr="00113825">
              <w:rPr>
                <w:rFonts w:cstheme="majorHAnsi"/>
                <w:sz w:val="16"/>
                <w:szCs w:val="16"/>
              </w:rPr>
              <w:fldChar w:fldCharType="begin" w:fldLock="1"/>
            </w:r>
            <w:r w:rsidR="0089363E" w:rsidRPr="00113825">
              <w:rPr>
                <w:rFonts w:cstheme="majorHAnsi"/>
                <w:sz w:val="16"/>
                <w:szCs w:val="16"/>
              </w:rPr>
              <w:instrText>ADDIN CSL_CITATION {"citationItems":[{"id":"ITEM-1","itemData":{"URL":"https://doc.arcgis.com/en/arcgis-online/reference/shapefiles.htm","accessed":{"date-parts":[["2019","9","6"]]},"id":"ITEM-1","issued":{"date-parts":[["0"]]},"title":"Shapefiles—ArcGIS Online Help | ArcGIS","type":"webpage"},"uris":["http://www.mendeley.com/documents/?uuid=01d9b524-64ee-3d68-9d62-6e0a0d02605c"]}],"mendeley":{"formattedCitation":"[44]","plainTextFormattedCitation":"[44]","previouslyFormattedCitation":"(&lt;i&gt;Shapefiles—ArcGIS Online Help | ArcGIS&lt;/i&gt;, no date)"},"properties":{"noteIndex":0},"schema":"https://github.com/citation-style-language/schema/raw/master/csl-citation.json"}</w:instrText>
            </w:r>
            <w:r w:rsidRPr="00113825">
              <w:rPr>
                <w:rFonts w:cstheme="majorHAnsi"/>
                <w:sz w:val="16"/>
                <w:szCs w:val="16"/>
              </w:rPr>
              <w:fldChar w:fldCharType="separate"/>
            </w:r>
            <w:r w:rsidR="0089363E" w:rsidRPr="00113825">
              <w:rPr>
                <w:rFonts w:cstheme="majorHAnsi"/>
                <w:noProof/>
                <w:sz w:val="16"/>
                <w:szCs w:val="16"/>
              </w:rPr>
              <w:t>[44]</w:t>
            </w:r>
            <w:r w:rsidRPr="00113825">
              <w:rPr>
                <w:rFonts w:cstheme="majorHAnsi"/>
                <w:sz w:val="16"/>
                <w:szCs w:val="16"/>
              </w:rPr>
              <w:fldChar w:fldCharType="end"/>
            </w:r>
          </w:p>
        </w:tc>
      </w:tr>
    </w:tbl>
    <w:p w14:paraId="5B44F4B7" w14:textId="6BF69188" w:rsidR="008C7B26" w:rsidRPr="00113825" w:rsidRDefault="008C7B26">
      <w:pPr>
        <w:rPr>
          <w:rFonts w:eastAsiaTheme="majorEastAsia" w:cstheme="majorHAnsi"/>
          <w:b/>
          <w:sz w:val="16"/>
          <w:szCs w:val="16"/>
        </w:rPr>
      </w:pPr>
    </w:p>
    <w:p w14:paraId="6B614B43" w14:textId="38576D5D" w:rsidR="00107E1D" w:rsidRPr="00113825" w:rsidRDefault="00107E1D" w:rsidP="0048432B">
      <w:pPr>
        <w:pStyle w:val="Heading1"/>
      </w:pPr>
      <w:r w:rsidRPr="00113825">
        <w:t>3. Method</w:t>
      </w:r>
      <w:r w:rsidR="007604E0" w:rsidRPr="00113825">
        <w:t>:</w:t>
      </w:r>
    </w:p>
    <w:p w14:paraId="30AF67DC" w14:textId="367F7343" w:rsidR="00EB7D59" w:rsidRPr="00113825" w:rsidRDefault="00EB7D59" w:rsidP="007304A1">
      <w:pPr>
        <w:pStyle w:val="Heading2"/>
      </w:pPr>
      <w:bookmarkStart w:id="3" w:name="_Ref21599332"/>
      <w:r w:rsidRPr="00113825">
        <w:t>3.1 Generic Process</w:t>
      </w:r>
      <w:bookmarkEnd w:id="3"/>
    </w:p>
    <w:p w14:paraId="18FDFC2F" w14:textId="0FC516E0" w:rsidR="008C37C3" w:rsidRPr="00113825" w:rsidRDefault="008C7B26" w:rsidP="00C607AE">
      <w:pPr>
        <w:jc w:val="both"/>
        <w:rPr>
          <w:szCs w:val="20"/>
        </w:rPr>
      </w:pPr>
      <w:r w:rsidRPr="00113825">
        <w:rPr>
          <w:i/>
          <w:szCs w:val="20"/>
        </w:rPr>
        <w:fldChar w:fldCharType="begin"/>
      </w:r>
      <w:r w:rsidRPr="00113825">
        <w:rPr>
          <w:i/>
          <w:szCs w:val="20"/>
        </w:rPr>
        <w:instrText xml:space="preserve"> REF _Ref26794270 \h  \* MERGEFORMAT </w:instrText>
      </w:r>
      <w:r w:rsidRPr="00113825">
        <w:rPr>
          <w:i/>
          <w:szCs w:val="20"/>
        </w:rPr>
      </w:r>
      <w:r w:rsidRPr="00113825">
        <w:rPr>
          <w:i/>
          <w:szCs w:val="20"/>
        </w:rPr>
        <w:fldChar w:fldCharType="separate"/>
      </w:r>
      <w:r w:rsidR="00113825" w:rsidRPr="00113825">
        <w:rPr>
          <w:i/>
          <w:iCs/>
          <w:sz w:val="18"/>
          <w:szCs w:val="18"/>
        </w:rPr>
        <w:t xml:space="preserve">Table </w:t>
      </w:r>
      <w:r w:rsidR="00113825" w:rsidRPr="00113825">
        <w:rPr>
          <w:i/>
          <w:iCs/>
          <w:noProof/>
          <w:sz w:val="18"/>
          <w:szCs w:val="18"/>
        </w:rPr>
        <w:t>1</w:t>
      </w:r>
      <w:r w:rsidRPr="00113825">
        <w:rPr>
          <w:i/>
          <w:szCs w:val="20"/>
        </w:rPr>
        <w:fldChar w:fldCharType="end"/>
      </w:r>
      <w:r w:rsidRPr="00113825">
        <w:rPr>
          <w:szCs w:val="20"/>
        </w:rPr>
        <w:t xml:space="preserve"> </w:t>
      </w:r>
      <w:r w:rsidR="008F3319" w:rsidRPr="00113825">
        <w:rPr>
          <w:szCs w:val="20"/>
        </w:rPr>
        <w:t>highlighted that efforts have already been undertaken to</w:t>
      </w:r>
      <w:r w:rsidR="00464A9B" w:rsidRPr="00113825">
        <w:rPr>
          <w:szCs w:val="20"/>
        </w:rPr>
        <w:t xml:space="preserve"> develop methodologies to spatially estimate </w:t>
      </w:r>
      <w:r w:rsidR="00BE313E" w:rsidRPr="00113825">
        <w:rPr>
          <w:szCs w:val="20"/>
        </w:rPr>
        <w:t xml:space="preserve">the </w:t>
      </w:r>
      <w:r w:rsidR="00464A9B" w:rsidRPr="00113825">
        <w:rPr>
          <w:szCs w:val="20"/>
        </w:rPr>
        <w:t>PFR</w:t>
      </w:r>
      <w:r w:rsidR="00BE313E" w:rsidRPr="00113825">
        <w:rPr>
          <w:szCs w:val="20"/>
        </w:rPr>
        <w:t>s</w:t>
      </w:r>
      <w:r w:rsidR="00464A9B" w:rsidRPr="00113825">
        <w:rPr>
          <w:szCs w:val="20"/>
        </w:rPr>
        <w:t>. The approach used here is to build upon the exis</w:t>
      </w:r>
      <w:r w:rsidR="00C607AE" w:rsidRPr="00113825">
        <w:rPr>
          <w:szCs w:val="20"/>
        </w:rPr>
        <w:t>ting efforts, and in particular</w:t>
      </w:r>
      <w:r w:rsidR="00BE313E" w:rsidRPr="00113825">
        <w:rPr>
          <w:szCs w:val="20"/>
        </w:rPr>
        <w:t>,</w:t>
      </w:r>
      <w:r w:rsidR="00C607AE" w:rsidRPr="00113825">
        <w:rPr>
          <w:szCs w:val="20"/>
        </w:rPr>
        <w:t xml:space="preserve"> upon </w:t>
      </w:r>
      <w:r w:rsidR="00803F68" w:rsidRPr="00113825">
        <w:rPr>
          <w:szCs w:val="20"/>
        </w:rPr>
        <w:t xml:space="preserve">the </w:t>
      </w:r>
      <w:r w:rsidR="00630690" w:rsidRPr="00113825">
        <w:rPr>
          <w:szCs w:val="20"/>
        </w:rPr>
        <w:t xml:space="preserve">landmark </w:t>
      </w:r>
      <w:r w:rsidR="00803F68" w:rsidRPr="00113825">
        <w:rPr>
          <w:szCs w:val="20"/>
        </w:rPr>
        <w:t xml:space="preserve">BEE </w:t>
      </w:r>
      <w:r w:rsidR="00C607AE" w:rsidRPr="00113825">
        <w:rPr>
          <w:szCs w:val="20"/>
        </w:rPr>
        <w:t>handbook</w:t>
      </w:r>
      <w:r w:rsidR="00BE313E" w:rsidRPr="00113825">
        <w:rPr>
          <w:szCs w:val="20"/>
        </w:rPr>
        <w:t xml:space="preserve"> technique</w:t>
      </w:r>
      <w:r w:rsidR="00630690" w:rsidRPr="00113825">
        <w:rPr>
          <w:szCs w:val="20"/>
        </w:rPr>
        <w:t xml:space="preserve"> presented in Vis </w:t>
      </w:r>
      <w:r w:rsidRPr="00113825">
        <w:rPr>
          <w:szCs w:val="20"/>
        </w:rPr>
        <w:t>and Van den Berg</w:t>
      </w:r>
      <w:r w:rsidR="009C32B2" w:rsidRPr="00113825">
        <w:rPr>
          <w:szCs w:val="20"/>
        </w:rPr>
        <w:t xml:space="preserve"> </w:t>
      </w:r>
      <w:r w:rsidR="00630690"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00630690" w:rsidRPr="00113825">
        <w:rPr>
          <w:szCs w:val="20"/>
        </w:rPr>
        <w:fldChar w:fldCharType="separate"/>
      </w:r>
      <w:r w:rsidR="0089363E" w:rsidRPr="00113825">
        <w:rPr>
          <w:noProof/>
          <w:szCs w:val="20"/>
        </w:rPr>
        <w:t>[29]</w:t>
      </w:r>
      <w:r w:rsidR="00630690" w:rsidRPr="00113825">
        <w:rPr>
          <w:szCs w:val="20"/>
        </w:rPr>
        <w:fldChar w:fldCharType="end"/>
      </w:r>
      <w:r w:rsidR="00C607AE" w:rsidRPr="00113825">
        <w:rPr>
          <w:szCs w:val="20"/>
        </w:rPr>
        <w:t>, also used as an underlying framework for many of the studies carried out post 2010 (</w:t>
      </w:r>
      <w:r w:rsidR="00D05877" w:rsidRPr="00113825">
        <w:rPr>
          <w:rFonts w:cstheme="majorHAnsi"/>
          <w:szCs w:val="20"/>
        </w:rPr>
        <w:fldChar w:fldCharType="begin"/>
      </w:r>
      <w:r w:rsidR="00D05877" w:rsidRPr="00113825">
        <w:rPr>
          <w:rFonts w:cstheme="majorHAnsi"/>
          <w:szCs w:val="20"/>
        </w:rPr>
        <w:instrText xml:space="preserve"> REF _Ref26794270 \h  \* MERGEFORMAT </w:instrText>
      </w:r>
      <w:r w:rsidR="00D05877" w:rsidRPr="00113825">
        <w:rPr>
          <w:rFonts w:cstheme="majorHAnsi"/>
          <w:szCs w:val="20"/>
        </w:rPr>
      </w:r>
      <w:r w:rsidR="00D05877" w:rsidRPr="00113825">
        <w:rPr>
          <w:rFonts w:cstheme="majorHAnsi"/>
          <w:szCs w:val="20"/>
        </w:rPr>
        <w:fldChar w:fldCharType="separate"/>
      </w:r>
      <w:r w:rsidR="00113825" w:rsidRPr="00113825">
        <w:rPr>
          <w:rFonts w:cstheme="majorHAnsi"/>
          <w:i/>
          <w:iCs/>
          <w:szCs w:val="20"/>
        </w:rPr>
        <w:t xml:space="preserve">Table </w:t>
      </w:r>
      <w:r w:rsidR="00113825" w:rsidRPr="00113825">
        <w:rPr>
          <w:rFonts w:cstheme="majorHAnsi"/>
          <w:i/>
          <w:iCs/>
          <w:noProof/>
          <w:szCs w:val="20"/>
        </w:rPr>
        <w:t>1</w:t>
      </w:r>
      <w:r w:rsidR="00D05877" w:rsidRPr="00113825">
        <w:rPr>
          <w:rFonts w:cstheme="majorHAnsi"/>
          <w:szCs w:val="20"/>
        </w:rPr>
        <w:fldChar w:fldCharType="end"/>
      </w:r>
      <w:r w:rsidR="00C607AE" w:rsidRPr="00113825">
        <w:rPr>
          <w:szCs w:val="20"/>
        </w:rPr>
        <w:t>)</w:t>
      </w:r>
      <w:r w:rsidR="008C37C3" w:rsidRPr="00113825">
        <w:rPr>
          <w:szCs w:val="20"/>
        </w:rPr>
        <w:t xml:space="preserve">. </w:t>
      </w:r>
    </w:p>
    <w:p w14:paraId="69CA5291" w14:textId="4540155A" w:rsidR="008C7B26" w:rsidRPr="00113825" w:rsidRDefault="008C37C3" w:rsidP="00102264">
      <w:pPr>
        <w:keepNext/>
        <w:jc w:val="both"/>
        <w:rPr>
          <w:szCs w:val="20"/>
        </w:rPr>
      </w:pPr>
      <w:r w:rsidRPr="00113825">
        <w:rPr>
          <w:szCs w:val="20"/>
        </w:rPr>
        <w:t>However, u</w:t>
      </w:r>
      <w:r w:rsidR="00630690" w:rsidRPr="00113825">
        <w:rPr>
          <w:szCs w:val="20"/>
        </w:rPr>
        <w:t xml:space="preserve">nlike </w:t>
      </w:r>
      <w:r w:rsidR="00630690"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00630690" w:rsidRPr="00113825">
        <w:rPr>
          <w:szCs w:val="20"/>
        </w:rPr>
        <w:fldChar w:fldCharType="separate"/>
      </w:r>
      <w:r w:rsidR="0089363E" w:rsidRPr="00113825">
        <w:rPr>
          <w:noProof/>
          <w:szCs w:val="20"/>
        </w:rPr>
        <w:t>[29]</w:t>
      </w:r>
      <w:r w:rsidR="00630690" w:rsidRPr="00113825">
        <w:rPr>
          <w:szCs w:val="20"/>
        </w:rPr>
        <w:fldChar w:fldCharType="end"/>
      </w:r>
      <w:r w:rsidR="00630690" w:rsidRPr="00113825">
        <w:rPr>
          <w:szCs w:val="20"/>
        </w:rPr>
        <w:t>,</w:t>
      </w:r>
      <w:r w:rsidR="00D24408" w:rsidRPr="00113825">
        <w:rPr>
          <w:szCs w:val="20"/>
        </w:rPr>
        <w:t xml:space="preserve"> </w:t>
      </w:r>
      <w:r w:rsidR="00ED1C50" w:rsidRPr="00113825">
        <w:rPr>
          <w:szCs w:val="20"/>
        </w:rPr>
        <w:t xml:space="preserve">an in-depth focus on the specific PFR stream and on high spatial resolution is made, </w:t>
      </w:r>
      <w:r w:rsidR="00630690" w:rsidRPr="00113825">
        <w:rPr>
          <w:szCs w:val="20"/>
        </w:rPr>
        <w:t xml:space="preserve">data </w:t>
      </w:r>
      <w:r w:rsidR="00D24408" w:rsidRPr="00113825">
        <w:rPr>
          <w:szCs w:val="20"/>
        </w:rPr>
        <w:t xml:space="preserve">uncertainty </w:t>
      </w:r>
      <w:r w:rsidR="00343CEA" w:rsidRPr="00113825">
        <w:rPr>
          <w:szCs w:val="20"/>
        </w:rPr>
        <w:t>and its propagation throughout the calculation process</w:t>
      </w:r>
      <w:r w:rsidRPr="00113825">
        <w:rPr>
          <w:szCs w:val="20"/>
        </w:rPr>
        <w:t xml:space="preserve"> are incorporated</w:t>
      </w:r>
      <w:r w:rsidR="00ED1C50" w:rsidRPr="00113825">
        <w:rPr>
          <w:szCs w:val="20"/>
        </w:rPr>
        <w:t>, and the use of the methodology is exemplified via a national case study</w:t>
      </w:r>
      <w:r w:rsidR="00343CEA" w:rsidRPr="00113825">
        <w:rPr>
          <w:szCs w:val="20"/>
        </w:rPr>
        <w:t>.</w:t>
      </w:r>
      <w:r w:rsidR="00630690" w:rsidRPr="00113825">
        <w:rPr>
          <w:szCs w:val="20"/>
        </w:rPr>
        <w:t xml:space="preserve"> Th</w:t>
      </w:r>
      <w:r w:rsidR="00ED1C50" w:rsidRPr="00113825">
        <w:rPr>
          <w:szCs w:val="20"/>
        </w:rPr>
        <w:t>is translates into a</w:t>
      </w:r>
      <w:r w:rsidR="00630690" w:rsidRPr="00113825">
        <w:rPr>
          <w:szCs w:val="20"/>
        </w:rPr>
        <w:t xml:space="preserve"> 4-step methodology </w:t>
      </w:r>
      <w:r w:rsidR="00ED1C50" w:rsidRPr="00113825">
        <w:rPr>
          <w:szCs w:val="20"/>
        </w:rPr>
        <w:t>we here</w:t>
      </w:r>
      <w:r w:rsidR="00630690" w:rsidRPr="00113825">
        <w:rPr>
          <w:szCs w:val="20"/>
        </w:rPr>
        <w:t xml:space="preserve"> refer to as the </w:t>
      </w:r>
      <w:proofErr w:type="spellStart"/>
      <w:r w:rsidR="00630690" w:rsidRPr="00113825">
        <w:rPr>
          <w:szCs w:val="20"/>
        </w:rPr>
        <w:t>C</w:t>
      </w:r>
      <w:r w:rsidR="005457A2" w:rsidRPr="00113825">
        <w:rPr>
          <w:szCs w:val="20"/>
        </w:rPr>
        <w:t>am</w:t>
      </w:r>
      <w:r w:rsidR="00630690" w:rsidRPr="00113825">
        <w:rPr>
          <w:szCs w:val="20"/>
        </w:rPr>
        <w:t>BEE</w:t>
      </w:r>
      <w:proofErr w:type="spellEnd"/>
      <w:r w:rsidR="00630690" w:rsidRPr="00113825">
        <w:rPr>
          <w:szCs w:val="20"/>
        </w:rPr>
        <w:t xml:space="preserve"> method for </w:t>
      </w:r>
      <w:r w:rsidR="00523AB3" w:rsidRPr="00113825">
        <w:rPr>
          <w:szCs w:val="20"/>
        </w:rPr>
        <w:t xml:space="preserve">spatial quantification of </w:t>
      </w:r>
      <w:r w:rsidR="00630690" w:rsidRPr="00113825">
        <w:rPr>
          <w:szCs w:val="20"/>
        </w:rPr>
        <w:t>PFRs</w:t>
      </w:r>
      <w:r w:rsidR="00ED1C50" w:rsidRPr="00113825">
        <w:rPr>
          <w:szCs w:val="20"/>
        </w:rPr>
        <w:t xml:space="preserve"> (</w:t>
      </w:r>
      <w:r w:rsidR="008C7B26" w:rsidRPr="00113825">
        <w:rPr>
          <w:i/>
          <w:szCs w:val="20"/>
        </w:rPr>
        <w:fldChar w:fldCharType="begin"/>
      </w:r>
      <w:r w:rsidR="008C7B26" w:rsidRPr="00113825">
        <w:rPr>
          <w:i/>
          <w:szCs w:val="20"/>
        </w:rPr>
        <w:instrText xml:space="preserve"> REF _Ref26797487 \h  \* MERGEFORMAT </w:instrText>
      </w:r>
      <w:r w:rsidR="008C7B26" w:rsidRPr="00113825">
        <w:rPr>
          <w:i/>
          <w:szCs w:val="20"/>
        </w:rPr>
      </w:r>
      <w:r w:rsidR="008C7B26" w:rsidRPr="00113825">
        <w:rPr>
          <w:i/>
          <w:szCs w:val="20"/>
        </w:rPr>
        <w:fldChar w:fldCharType="separate"/>
      </w:r>
      <w:r w:rsidR="00113825" w:rsidRPr="00113825">
        <w:rPr>
          <w:i/>
        </w:rPr>
        <w:t xml:space="preserve">Figure </w:t>
      </w:r>
      <w:r w:rsidR="00113825" w:rsidRPr="00113825">
        <w:rPr>
          <w:i/>
          <w:noProof/>
        </w:rPr>
        <w:t>2</w:t>
      </w:r>
      <w:r w:rsidR="008C7B26" w:rsidRPr="00113825">
        <w:rPr>
          <w:i/>
          <w:szCs w:val="20"/>
        </w:rPr>
        <w:fldChar w:fldCharType="end"/>
      </w:r>
      <w:r w:rsidR="00ED1C50" w:rsidRPr="00113825">
        <w:rPr>
          <w:szCs w:val="20"/>
        </w:rPr>
        <w:t>)</w:t>
      </w:r>
      <w:r w:rsidR="005457A2" w:rsidRPr="00113825">
        <w:rPr>
          <w:szCs w:val="20"/>
        </w:rPr>
        <w:t>.</w:t>
      </w:r>
    </w:p>
    <w:p w14:paraId="1E9C5332" w14:textId="77777777" w:rsidR="00BE313E" w:rsidRPr="00113825" w:rsidRDefault="00BE313E" w:rsidP="00BE313E">
      <w:pPr>
        <w:jc w:val="both"/>
        <w:rPr>
          <w:szCs w:val="20"/>
        </w:rPr>
      </w:pPr>
    </w:p>
    <w:p w14:paraId="6E306719" w14:textId="77777777" w:rsidR="00BE313E" w:rsidRPr="00113825" w:rsidRDefault="00BE313E" w:rsidP="00C53CF3">
      <w:pPr>
        <w:pStyle w:val="Caption"/>
        <w:spacing w:after="120"/>
        <w:jc w:val="center"/>
        <w:rPr>
          <w:color w:val="auto"/>
        </w:rPr>
      </w:pPr>
      <w:bookmarkStart w:id="4" w:name="_Ref19553640"/>
      <w:r w:rsidRPr="00113825">
        <w:rPr>
          <w:noProof/>
          <w:color w:val="auto"/>
        </w:rPr>
        <w:lastRenderedPageBreak/>
        <w:drawing>
          <wp:inline distT="0" distB="0" distL="0" distR="0" wp14:anchorId="04AD0E9E" wp14:editId="45C46FE6">
            <wp:extent cx="5684808" cy="5620385"/>
            <wp:effectExtent l="57150" t="57150" r="106680" b="1136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685252" cy="56208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
    </w:p>
    <w:p w14:paraId="51F0244A" w14:textId="579BB96A" w:rsidR="00BE313E" w:rsidRPr="00113825" w:rsidRDefault="00BE313E" w:rsidP="00C53CF3">
      <w:pPr>
        <w:pStyle w:val="Caption"/>
        <w:jc w:val="center"/>
        <w:rPr>
          <w:color w:val="auto"/>
          <w:sz w:val="20"/>
        </w:rPr>
      </w:pPr>
      <w:bookmarkStart w:id="5" w:name="_Ref26797487"/>
      <w:bookmarkStart w:id="6" w:name="_Ref26797482"/>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2</w:t>
      </w:r>
      <w:r w:rsidRPr="00113825">
        <w:rPr>
          <w:color w:val="auto"/>
          <w:sz w:val="20"/>
        </w:rPr>
        <w:fldChar w:fldCharType="end"/>
      </w:r>
      <w:bookmarkEnd w:id="5"/>
      <w:r w:rsidRPr="00113825">
        <w:rPr>
          <w:color w:val="auto"/>
          <w:sz w:val="20"/>
        </w:rPr>
        <w:t xml:space="preserve">: Generic </w:t>
      </w:r>
      <w:proofErr w:type="spellStart"/>
      <w:r w:rsidRPr="00113825">
        <w:rPr>
          <w:color w:val="auto"/>
          <w:sz w:val="20"/>
        </w:rPr>
        <w:t>CamBEE</w:t>
      </w:r>
      <w:proofErr w:type="spellEnd"/>
      <w:r w:rsidRPr="00113825">
        <w:rPr>
          <w:color w:val="auto"/>
          <w:sz w:val="20"/>
        </w:rPr>
        <w:t xml:space="preserve"> stepwise framework for estimation of primary forestry residues with uncertainty quantification</w:t>
      </w:r>
      <w:bookmarkEnd w:id="6"/>
    </w:p>
    <w:p w14:paraId="7861A00F" w14:textId="77777777" w:rsidR="00BE313E" w:rsidRPr="00113825" w:rsidRDefault="00BE313E" w:rsidP="00BE313E">
      <w:pPr>
        <w:jc w:val="both"/>
        <w:rPr>
          <w:szCs w:val="20"/>
        </w:rPr>
      </w:pPr>
      <w:r w:rsidRPr="00113825">
        <w:rPr>
          <w:szCs w:val="20"/>
        </w:rPr>
        <w:t>Step 1: Forest map and increment statistics</w:t>
      </w:r>
    </w:p>
    <w:p w14:paraId="54466738" w14:textId="7797FEFC" w:rsidR="00BE313E" w:rsidRPr="00113825" w:rsidRDefault="00BE313E" w:rsidP="00BE313E">
      <w:pPr>
        <w:jc w:val="both"/>
        <w:rPr>
          <w:szCs w:val="20"/>
        </w:rPr>
      </w:pPr>
      <w:r w:rsidRPr="00113825">
        <w:rPr>
          <w:szCs w:val="20"/>
        </w:rPr>
        <w:t xml:space="preserve">The first step in the spatial quantification of PFRs involves the estimation of the NAI, which is one of the key input parameters. The NAI provides an indication of the average biomass growth and productivity in a forest. NAI is mathematically defined as the average </w:t>
      </w:r>
      <w:r w:rsidR="00EA7E92" w:rsidRPr="00113825">
        <w:rPr>
          <w:szCs w:val="20"/>
        </w:rPr>
        <w:t>annual</w:t>
      </w:r>
      <w:r w:rsidRPr="00113825">
        <w:rPr>
          <w:szCs w:val="20"/>
        </w:rPr>
        <w:t xml:space="preserve"> volume gained over the given reference period, also referred to as Gross Annual Increment (GAI), minus the natural losses (NL) on all trees (see definitions of</w:t>
      </w:r>
      <w:r w:rsidR="00652149" w:rsidRPr="00113825">
        <w:rPr>
          <w:szCs w:val="20"/>
        </w:rPr>
        <w:t xml:space="preserve"> Table 2</w:t>
      </w:r>
      <w:r w:rsidRPr="00113825">
        <w:rPr>
          <w:szCs w:val="20"/>
        </w:rPr>
        <w:t>), as shown in Eq. (1):</w:t>
      </w:r>
    </w:p>
    <w:p w14:paraId="2BF2AE48" w14:textId="77777777" w:rsidR="00BE313E" w:rsidRPr="00113825" w:rsidRDefault="00BE313E" w:rsidP="00BE313E">
      <w:pPr>
        <w:jc w:val="right"/>
        <w:rPr>
          <w:szCs w:val="20"/>
        </w:rPr>
      </w:pPr>
      <w:r w:rsidRPr="00113825">
        <w:rPr>
          <w:rFonts w:ascii="Cambria Math" w:hAnsi="Cambria Math"/>
          <w:i/>
          <w:szCs w:val="20"/>
          <w:lang w:val="fr-FR"/>
        </w:rPr>
        <w:t xml:space="preserve">NAI_reg = </w:t>
      </w:r>
      <w:proofErr w:type="spellStart"/>
      <w:r w:rsidRPr="00113825">
        <w:rPr>
          <w:rFonts w:ascii="Cambria Math" w:hAnsi="Cambria Math"/>
          <w:i/>
          <w:szCs w:val="20"/>
          <w:lang w:val="fr-FR"/>
        </w:rPr>
        <w:t>GAI_reg</w:t>
      </w:r>
      <w:proofErr w:type="spellEnd"/>
      <w:r w:rsidRPr="00113825">
        <w:rPr>
          <w:rFonts w:ascii="Cambria Math" w:hAnsi="Cambria Math"/>
          <w:i/>
          <w:szCs w:val="20"/>
          <w:lang w:val="fr-FR"/>
        </w:rPr>
        <w:t xml:space="preserve"> </w:t>
      </w:r>
      <w:r w:rsidRPr="00113825">
        <w:rPr>
          <w:rFonts w:ascii="Cambria Math" w:hAnsi="Cambria Math" w:hint="eastAsia"/>
          <w:i/>
          <w:szCs w:val="20"/>
          <w:lang w:val="fr-FR"/>
        </w:rPr>
        <w:t>–</w:t>
      </w:r>
      <w:r w:rsidRPr="00113825">
        <w:rPr>
          <w:rFonts w:ascii="Cambria Math" w:hAnsi="Cambria Math"/>
          <w:i/>
          <w:szCs w:val="20"/>
          <w:lang w:val="fr-FR"/>
        </w:rPr>
        <w:t xml:space="preserve"> </w:t>
      </w:r>
      <w:proofErr w:type="spellStart"/>
      <w:r w:rsidRPr="00113825">
        <w:rPr>
          <w:rFonts w:ascii="Cambria Math" w:hAnsi="Cambria Math"/>
          <w:i/>
          <w:szCs w:val="20"/>
          <w:lang w:val="fr-FR"/>
        </w:rPr>
        <w:t>NL_reg</w:t>
      </w:r>
      <w:proofErr w:type="spellEnd"/>
      <w:r w:rsidRPr="00113825">
        <w:rPr>
          <w:szCs w:val="20"/>
          <w:lang w:val="fr-FR"/>
        </w:rPr>
        <w:t xml:space="preserve"> </w:t>
      </w:r>
      <w:r w:rsidRPr="00113825">
        <w:rPr>
          <w:szCs w:val="20"/>
          <w:lang w:val="fr-FR"/>
        </w:rPr>
        <w:tab/>
      </w:r>
      <w:r w:rsidRPr="00113825">
        <w:rPr>
          <w:szCs w:val="20"/>
          <w:lang w:val="fr-FR"/>
        </w:rPr>
        <w:tab/>
      </w:r>
      <w:r w:rsidRPr="00113825">
        <w:rPr>
          <w:szCs w:val="20"/>
          <w:lang w:val="fr-FR"/>
        </w:rPr>
        <w:tab/>
      </w:r>
      <w:r w:rsidRPr="00113825">
        <w:rPr>
          <w:szCs w:val="20"/>
          <w:lang w:val="fr-FR"/>
        </w:rPr>
        <w:tab/>
      </w:r>
      <w:proofErr w:type="spellStart"/>
      <w:r w:rsidRPr="00113825">
        <w:rPr>
          <w:szCs w:val="20"/>
          <w:lang w:val="fr-FR"/>
        </w:rPr>
        <w:t>Eq</w:t>
      </w:r>
      <w:proofErr w:type="spellEnd"/>
      <w:r w:rsidRPr="00113825">
        <w:rPr>
          <w:szCs w:val="20"/>
          <w:lang w:val="fr-FR"/>
        </w:rPr>
        <w:t xml:space="preserve">. </w:t>
      </w:r>
      <w:r w:rsidRPr="00113825">
        <w:rPr>
          <w:szCs w:val="20"/>
        </w:rPr>
        <w:t>(1)</w:t>
      </w:r>
    </w:p>
    <w:p w14:paraId="1814B8F4" w14:textId="3E698A32" w:rsidR="00BE313E" w:rsidRPr="00113825" w:rsidRDefault="00BE313E" w:rsidP="00BE313E">
      <w:pPr>
        <w:jc w:val="both"/>
        <w:rPr>
          <w:szCs w:val="20"/>
        </w:rPr>
      </w:pPr>
      <w:r w:rsidRPr="00113825">
        <w:rPr>
          <w:szCs w:val="20"/>
        </w:rPr>
        <w:t xml:space="preserve">Where: </w:t>
      </w:r>
      <w:r w:rsidRPr="00113825">
        <w:rPr>
          <w:i/>
          <w:szCs w:val="20"/>
        </w:rPr>
        <w:t>NAI_reg</w:t>
      </w:r>
      <w:r w:rsidRPr="00113825">
        <w:rPr>
          <w:szCs w:val="20"/>
        </w:rPr>
        <w:t xml:space="preserve"> is the average stemwood NAI per region based on inventory statistics (m</w:t>
      </w:r>
      <w:r w:rsidRPr="00113825">
        <w:rPr>
          <w:szCs w:val="20"/>
          <w:vertAlign w:val="superscript"/>
        </w:rPr>
        <w:t>3</w:t>
      </w:r>
      <w:r w:rsidRPr="00113825">
        <w:rPr>
          <w:szCs w:val="20"/>
        </w:rPr>
        <w:t xml:space="preserve"> ha</w:t>
      </w:r>
      <w:r w:rsidRPr="00113825">
        <w:rPr>
          <w:szCs w:val="20"/>
          <w:vertAlign w:val="superscript"/>
        </w:rPr>
        <w:t>-1</w:t>
      </w:r>
      <w:r w:rsidRPr="00113825">
        <w:rPr>
          <w:szCs w:val="20"/>
        </w:rPr>
        <w:t xml:space="preserve"> year</w:t>
      </w:r>
      <w:r w:rsidRPr="00113825">
        <w:rPr>
          <w:szCs w:val="20"/>
          <w:vertAlign w:val="superscript"/>
        </w:rPr>
        <w:t>-1</w:t>
      </w:r>
      <w:r w:rsidRPr="00113825">
        <w:rPr>
          <w:szCs w:val="20"/>
        </w:rPr>
        <w:t xml:space="preserve">), </w:t>
      </w:r>
      <w:proofErr w:type="spellStart"/>
      <w:r w:rsidRPr="00113825">
        <w:rPr>
          <w:i/>
          <w:szCs w:val="20"/>
        </w:rPr>
        <w:t>GAI_reg</w:t>
      </w:r>
      <w:proofErr w:type="spellEnd"/>
      <w:r w:rsidRPr="00113825">
        <w:rPr>
          <w:i/>
          <w:szCs w:val="20"/>
        </w:rPr>
        <w:t xml:space="preserve"> </w:t>
      </w:r>
      <w:r w:rsidRPr="00113825">
        <w:rPr>
          <w:szCs w:val="20"/>
        </w:rPr>
        <w:t>is the average regional stemwood GAI (m</w:t>
      </w:r>
      <w:r w:rsidRPr="00113825">
        <w:rPr>
          <w:szCs w:val="20"/>
          <w:vertAlign w:val="superscript"/>
        </w:rPr>
        <w:t>3</w:t>
      </w:r>
      <w:r w:rsidRPr="00113825">
        <w:rPr>
          <w:szCs w:val="20"/>
        </w:rPr>
        <w:t xml:space="preserve"> ha</w:t>
      </w:r>
      <w:r w:rsidRPr="00113825">
        <w:rPr>
          <w:szCs w:val="20"/>
          <w:vertAlign w:val="superscript"/>
        </w:rPr>
        <w:t>-1</w:t>
      </w:r>
      <w:r w:rsidRPr="00113825">
        <w:rPr>
          <w:szCs w:val="20"/>
        </w:rPr>
        <w:t xml:space="preserve"> year</w:t>
      </w:r>
      <w:r w:rsidRPr="00113825">
        <w:rPr>
          <w:szCs w:val="20"/>
          <w:vertAlign w:val="superscript"/>
        </w:rPr>
        <w:t>-1</w:t>
      </w:r>
      <w:r w:rsidRPr="00113825">
        <w:rPr>
          <w:szCs w:val="20"/>
        </w:rPr>
        <w:t xml:space="preserve">) and </w:t>
      </w:r>
      <w:proofErr w:type="spellStart"/>
      <w:r w:rsidRPr="00113825">
        <w:rPr>
          <w:i/>
          <w:szCs w:val="20"/>
        </w:rPr>
        <w:t>NL_reg</w:t>
      </w:r>
      <w:proofErr w:type="spellEnd"/>
      <w:r w:rsidRPr="00113825">
        <w:rPr>
          <w:szCs w:val="20"/>
        </w:rPr>
        <w:t xml:space="preserve"> is the average stemwood NL (m</w:t>
      </w:r>
      <w:r w:rsidRPr="00113825">
        <w:rPr>
          <w:szCs w:val="20"/>
          <w:vertAlign w:val="superscript"/>
        </w:rPr>
        <w:t>3</w:t>
      </w:r>
      <w:r w:rsidRPr="00113825">
        <w:rPr>
          <w:szCs w:val="20"/>
        </w:rPr>
        <w:t xml:space="preserve"> ha</w:t>
      </w:r>
      <w:r w:rsidRPr="00113825">
        <w:rPr>
          <w:szCs w:val="20"/>
          <w:vertAlign w:val="superscript"/>
        </w:rPr>
        <w:t>-1</w:t>
      </w:r>
      <w:r w:rsidRPr="00113825">
        <w:rPr>
          <w:szCs w:val="20"/>
        </w:rPr>
        <w:t xml:space="preserve"> year</w:t>
      </w:r>
      <w:r w:rsidRPr="00113825">
        <w:rPr>
          <w:szCs w:val="20"/>
          <w:vertAlign w:val="superscript"/>
        </w:rPr>
        <w:t>-1</w:t>
      </w:r>
      <w:r w:rsidRPr="00113825">
        <w:rPr>
          <w:szCs w:val="20"/>
        </w:rPr>
        <w:t xml:space="preserve">) per region based on inventory statistics. It should be noted that in an endeavor of harmonization, these notations are kept exactly as they appear in the BEE method </w:t>
      </w:r>
      <w:r w:rsidR="00EA7E92"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00EA7E92" w:rsidRPr="00113825">
        <w:rPr>
          <w:szCs w:val="20"/>
        </w:rPr>
        <w:fldChar w:fldCharType="separate"/>
      </w:r>
      <w:r w:rsidR="0089363E" w:rsidRPr="00113825">
        <w:rPr>
          <w:noProof/>
          <w:szCs w:val="20"/>
        </w:rPr>
        <w:t>[29]</w:t>
      </w:r>
      <w:r w:rsidR="00EA7E92" w:rsidRPr="00113825">
        <w:rPr>
          <w:szCs w:val="20"/>
        </w:rPr>
        <w:fldChar w:fldCharType="end"/>
      </w:r>
      <w:r w:rsidRPr="00113825">
        <w:rPr>
          <w:szCs w:val="20"/>
        </w:rPr>
        <w:t xml:space="preserve">. </w:t>
      </w:r>
    </w:p>
    <w:p w14:paraId="6E083657" w14:textId="7717A285" w:rsidR="00BE313E" w:rsidRPr="00113825" w:rsidRDefault="00BE313E" w:rsidP="00BE313E">
      <w:pPr>
        <w:jc w:val="both"/>
        <w:rPr>
          <w:szCs w:val="20"/>
        </w:rPr>
      </w:pPr>
      <w:r w:rsidRPr="00113825">
        <w:rPr>
          <w:szCs w:val="20"/>
        </w:rPr>
        <w:lastRenderedPageBreak/>
        <w:t xml:space="preserve">The values of GAI and NL can be retrieved from forestry statistical data, e.g., from NFIs which is compulsory in the EU </w:t>
      </w:r>
      <w:r w:rsidRPr="00113825">
        <w:rPr>
          <w:szCs w:val="20"/>
        </w:rPr>
        <w:fldChar w:fldCharType="begin" w:fldLock="1"/>
      </w:r>
      <w:r w:rsidR="0089363E" w:rsidRPr="00113825">
        <w:rPr>
          <w:szCs w:val="20"/>
        </w:rPr>
        <w:instrText>ADDIN CSL_CITATION {"citationItems":[{"id":"ITEM-1","itemData":{"author":[{"dropping-particle":"","family":"Commission","given":"EC-Euripean","non-dropping-particle":"","parse-names":false,"suffix":""}],"container-title":"Communication from the Commission to the European Parliament, the Councis, the European Economic and Social Committee and the Committee of the Regions, Brussels.","id":"ITEM-1","issued":{"date-parts":[["2013","12","25"]]},"title":"A new EU Forest Strategy: For forests and the forest-based sector.","type":"article-journal"},"uris":["http://www.mendeley.com/documents/?uuid=e98b8257-0d99-4c03-9599-572f6f277045"]}],"mendeley":{"formattedCitation":"[45]","plainTextFormattedCitation":"[45]","previouslyFormattedCitation":"(Commission, 2013)"},"properties":{"noteIndex":0},"schema":"https://github.com/citation-style-language/schema/raw/master/csl-citation.json"}</w:instrText>
      </w:r>
      <w:r w:rsidRPr="00113825">
        <w:rPr>
          <w:szCs w:val="20"/>
        </w:rPr>
        <w:fldChar w:fldCharType="separate"/>
      </w:r>
      <w:r w:rsidR="0089363E" w:rsidRPr="00113825">
        <w:rPr>
          <w:noProof/>
          <w:szCs w:val="20"/>
        </w:rPr>
        <w:t>[45]</w:t>
      </w:r>
      <w:r w:rsidRPr="00113825">
        <w:rPr>
          <w:szCs w:val="20"/>
        </w:rPr>
        <w:fldChar w:fldCharType="end"/>
      </w:r>
      <w:r w:rsidRPr="00113825">
        <w:rPr>
          <w:szCs w:val="20"/>
        </w:rPr>
        <w:t xml:space="preserve">. Furthermore, all ‘Annex 1’ countries </w:t>
      </w:r>
      <w:r w:rsidRPr="00113825">
        <w:rPr>
          <w:szCs w:val="20"/>
        </w:rPr>
        <w:fldChar w:fldCharType="begin" w:fldLock="1"/>
      </w:r>
      <w:r w:rsidR="0089363E" w:rsidRPr="00113825">
        <w:rPr>
          <w:szCs w:val="20"/>
        </w:rPr>
        <w:instrText>ADDIN CSL_CITATION {"citationItems":[{"id":"ITEM-1","itemData":{"URL":"http://www.oecd.org/env/cc/listofannexicountries.htm","accessed":{"date-parts":[["2019","9","23"]]},"id":"ITEM-1","issued":{"date-parts":[["0"]]},"title":"List of Annex I Countries - OECD","type":"webpage"},"uris":["http://www.mendeley.com/documents/?uuid=f6f179e4-668b-3d10-96c3-4270d63c31f6"]}],"mendeley":{"formattedCitation":"[46]","plainTextFormattedCitation":"[46]","previouslyFormattedCitation":"(&lt;i&gt;List of Annex I Countries - OECD&lt;/i&gt;, no date)"},"properties":{"noteIndex":0},"schema":"https://github.com/citation-style-language/schema/raw/master/csl-citation.json"}</w:instrText>
      </w:r>
      <w:r w:rsidRPr="00113825">
        <w:rPr>
          <w:szCs w:val="20"/>
        </w:rPr>
        <w:fldChar w:fldCharType="separate"/>
      </w:r>
      <w:r w:rsidR="0089363E" w:rsidRPr="00113825">
        <w:rPr>
          <w:noProof/>
          <w:szCs w:val="20"/>
        </w:rPr>
        <w:t>[46]</w:t>
      </w:r>
      <w:r w:rsidRPr="00113825">
        <w:rPr>
          <w:szCs w:val="20"/>
        </w:rPr>
        <w:fldChar w:fldCharType="end"/>
      </w:r>
      <w:r w:rsidRPr="00113825">
        <w:rPr>
          <w:szCs w:val="20"/>
        </w:rPr>
        <w:t xml:space="preserve"> (36 in to</w:t>
      </w:r>
      <w:r w:rsidR="00EA7E92" w:rsidRPr="00113825">
        <w:rPr>
          <w:szCs w:val="20"/>
        </w:rPr>
        <w:t>tal, as per the Kyoto protocol)</w:t>
      </w:r>
      <w:r w:rsidRPr="00113825">
        <w:rPr>
          <w:szCs w:val="20"/>
        </w:rPr>
        <w:t xml:space="preserve"> are mandated, </w:t>
      </w:r>
      <w:r w:rsidR="00EA7E92" w:rsidRPr="00113825">
        <w:rPr>
          <w:szCs w:val="20"/>
        </w:rPr>
        <w:t>since 2000</w:t>
      </w:r>
      <w:r w:rsidRPr="00113825">
        <w:rPr>
          <w:szCs w:val="20"/>
        </w:rPr>
        <w:t xml:space="preserve">, to publish their annual inventory record online consisting of the national inventory report </w:t>
      </w:r>
      <w:r w:rsidRPr="00113825">
        <w:rPr>
          <w:szCs w:val="20"/>
        </w:rPr>
        <w:fldChar w:fldCharType="begin" w:fldLock="1"/>
      </w:r>
      <w:r w:rsidR="0089363E" w:rsidRPr="00113825">
        <w:rPr>
          <w:szCs w:val="20"/>
        </w:rPr>
        <w:instrText>ADDIN CSL_CITATION {"citationItems":[{"id":"ITEM-1","itemData":{"URL":"https://unfccc.int/process-and-meetings/transparency-and-reporting/reporting-and-review-under-the-convention/greenhouse-gas-inventories-annex-i-parties/inventory-review-reports/inventory-review-reports-2019","accessed":{"date-parts":[["2019","9","23"]]},"id":"ITEM-1","issued":{"date-parts":[["0"]]},"title":"Inventory Review Reports 2019 | UNFCCC","type":"webpage"},"uris":["http://www.mendeley.com/documents/?uuid=1c6ac5c9-52b1-357d-b26d-a2d3b0b6748e"]}],"mendeley":{"formattedCitation":"[47]","plainTextFormattedCitation":"[47]","previouslyFormattedCitation":"(&lt;i&gt;Inventory Review Reports 2019 | UNFCCC&lt;/i&gt;, no date)"},"properties":{"noteIndex":0},"schema":"https://github.com/citation-style-language/schema/raw/master/csl-citation.json"}</w:instrText>
      </w:r>
      <w:r w:rsidRPr="00113825">
        <w:rPr>
          <w:szCs w:val="20"/>
        </w:rPr>
        <w:fldChar w:fldCharType="separate"/>
      </w:r>
      <w:r w:rsidR="0089363E" w:rsidRPr="00113825">
        <w:rPr>
          <w:noProof/>
          <w:szCs w:val="20"/>
        </w:rPr>
        <w:t>[47]</w:t>
      </w:r>
      <w:r w:rsidRPr="00113825">
        <w:rPr>
          <w:szCs w:val="20"/>
        </w:rPr>
        <w:fldChar w:fldCharType="end"/>
      </w:r>
      <w:r w:rsidRPr="00113825">
        <w:rPr>
          <w:szCs w:val="20"/>
        </w:rPr>
        <w:t xml:space="preserve">, from which GAI and NL can also be retrieved (at best) or else extrapolated. Alternatively, in regions where these data are not available, the value of NAI can be estimated from Net Primary Productivity (NPP) maps derived from satellite observations </w:t>
      </w:r>
      <w:r w:rsidRPr="00113825">
        <w:rPr>
          <w:szCs w:val="20"/>
        </w:rPr>
        <w:fldChar w:fldCharType="begin" w:fldLock="1"/>
      </w:r>
      <w:r w:rsidR="0089363E" w:rsidRPr="00113825">
        <w:rPr>
          <w:szCs w:val="20"/>
        </w:rPr>
        <w:instrText>ADDIN CSL_CITATION {"citationItems":[{"id":"ITEM-1","itemData":{"ISSN":"00375330","abstract":"Currently, information on forest biomass is available from a mixture of sources, including in-situ measurements, national forest inventories, administrative-level statistics, model outputs and regional satellite products. These data tend to be regional or national, based on different methodologies and not easily accessible. One of the few maps available is the Global Forest Resources Assessment (FRA) produced by the Food and Agriculture Organization of the United Nations (FAO 2005) which contains aggregated country-level information about the growing stock, biomass and carbon stock in forests for 229 countries and territories. This paper presents a technique to downscale the aggregated results of the FRA2005 from the country level to a half degree global spatial dataset containing forest growing stock; above/belowground biomass, dead wood and total forest biomass; and above-ground, below-ground, dead wood, litter and soil carbon. In all cases, the number of countries providing data is incomplete. For those countries with missing data, values were estimated using regression equations based on a downscaling model. The downscaling method is derived using a relationship between net primary productivity (NPP) and biomass and the relationship between human impact and biomass assuming a decrease in biomass with an increased level of human activity. The results, presented here, represent one of the first attempts to produce a consistent global spatial database at half degree resolution containing forest growing stock, biomass and carbon stock values. All results from the methodology described in this paper are available online at www.iiasa.ac.at/Research/FOR/.","author":[{"dropping-particle":"","family":"Kindermann","given":"Georg E.","non-dropping-particle":"","parse-names":false,"suffix":""},{"dropping-particle":"","family":"McCallum","given":"Ian","non-dropping-particle":"","parse-names":false,"suffix":""},{"dropping-particle":"","family":"Fritz","given":"Steffen","non-dropping-particle":"","parse-names":false,"suffix":""},{"dropping-particle":"","family":"Obersteiner","given":"Michael","non-dropping-particle":"","parse-names":false,"suffix":""}],"container-title":"Silva Fennica","id":"ITEM-1","issue":"3","issued":{"date-parts":[["2008"]]},"page":"387-396","title":"A global forest growing stock, biomass and carbon map based on FAO statistics","type":"article-journal","volume":"42"},"uris":["http://www.mendeley.com/documents/?uuid=4f785884-5a81-4ceb-b0ac-95c8c730acb7"]},{"id":"ITEM-2","itemData":{"author":[{"dropping-particle":"","family":"Vis","given":"M W","non-dropping-particle":"","parse-names":false,"suffix":""},{"dropping-particle":"","family":"Berg","given":"D","non-dropping-particle":"van den","parse-names":false,"suffix":""},{"dropping-particle":"","family":"Al.","given":"Et","non-dropping-particle":"","parse-names":false,"suffix":""}],"id":"ITEM-2","issued":{"date-parts":[["2010"]]},"page":"1-220","title":"Best Practices and Methods Handbook","type":"article-journal","volume":"D 5.3"},"uris":["http://www.mendeley.com/documents/?uuid=2bc8964b-0187-4f6d-a6f9-71cb259307fa"]}],"mendeley":{"formattedCitation":"[29], [48]","plainTextFormattedCitation":"[29], [48]","previouslyFormattedCitation":"(Kindermann &lt;i&gt;et al.&lt;/i&gt;, 2008; Vis, van den Berg and Al., 2010)"},"properties":{"noteIndex":0},"schema":"https://github.com/citation-style-language/schema/raw/master/csl-citation.json"}</w:instrText>
      </w:r>
      <w:r w:rsidRPr="00113825">
        <w:rPr>
          <w:szCs w:val="20"/>
        </w:rPr>
        <w:fldChar w:fldCharType="separate"/>
      </w:r>
      <w:r w:rsidR="0089363E" w:rsidRPr="00113825">
        <w:rPr>
          <w:noProof/>
          <w:szCs w:val="20"/>
        </w:rPr>
        <w:t>[29], [48]</w:t>
      </w:r>
      <w:r w:rsidRPr="00113825">
        <w:rPr>
          <w:szCs w:val="20"/>
        </w:rPr>
        <w:fldChar w:fldCharType="end"/>
      </w:r>
      <w:r w:rsidRPr="00113825">
        <w:rPr>
          <w:szCs w:val="20"/>
        </w:rPr>
        <w:t xml:space="preserve">. </w:t>
      </w:r>
    </w:p>
    <w:p w14:paraId="65EE915B" w14:textId="1084E127" w:rsidR="008C7B26" w:rsidRPr="00113825" w:rsidRDefault="00BE313E" w:rsidP="008F004E">
      <w:pPr>
        <w:jc w:val="both"/>
      </w:pPr>
      <w:r w:rsidRPr="00113825">
        <w:rPr>
          <w:szCs w:val="20"/>
        </w:rPr>
        <w:t xml:space="preserve">Since the NAI value is a statistical parameter of forest productivity per region that is usually contained as an attribute of a polygon or shapefile, it should be converted to a raster format. Care should be taken in the conversion process and the parameters (cell size and the projection system) should be the same as the forest map raster. The cell size represents the spatial resolution of the raster dataset and ideally, the cell size should be consistent with the spatial resolution of other datasets like the forest map. </w:t>
      </w:r>
    </w:p>
    <w:p w14:paraId="7BD4302E" w14:textId="6B58E4CA" w:rsidR="00A81364" w:rsidRPr="00113825" w:rsidRDefault="00A81364" w:rsidP="00D202AB">
      <w:pPr>
        <w:jc w:val="both"/>
        <w:rPr>
          <w:szCs w:val="20"/>
        </w:rPr>
      </w:pPr>
      <w:r w:rsidRPr="00113825">
        <w:rPr>
          <w:szCs w:val="20"/>
        </w:rPr>
        <w:t>Step 2:</w:t>
      </w:r>
      <w:r w:rsidR="00047703" w:rsidRPr="00113825">
        <w:rPr>
          <w:szCs w:val="20"/>
        </w:rPr>
        <w:t xml:space="preserve"> Fusion of NAI and forest map</w:t>
      </w:r>
    </w:p>
    <w:p w14:paraId="3D2AB9DC" w14:textId="39E06C52" w:rsidR="007F553D" w:rsidRPr="00113825" w:rsidRDefault="007F553D" w:rsidP="007F553D">
      <w:pPr>
        <w:jc w:val="both"/>
        <w:rPr>
          <w:szCs w:val="20"/>
        </w:rPr>
      </w:pPr>
      <w:r w:rsidRPr="00113825">
        <w:rPr>
          <w:szCs w:val="20"/>
        </w:rPr>
        <w:t xml:space="preserve">In the second step </w:t>
      </w:r>
      <w:r w:rsidR="00A30790" w:rsidRPr="00113825">
        <w:rPr>
          <w:szCs w:val="20"/>
        </w:rPr>
        <w:t>(</w:t>
      </w:r>
      <w:r w:rsidR="00EA7E92" w:rsidRPr="00113825">
        <w:rPr>
          <w:i/>
          <w:szCs w:val="20"/>
        </w:rPr>
        <w:fldChar w:fldCharType="begin"/>
      </w:r>
      <w:r w:rsidR="00EA7E92" w:rsidRPr="00113825">
        <w:rPr>
          <w:i/>
          <w:szCs w:val="20"/>
        </w:rPr>
        <w:instrText xml:space="preserve"> REF _Ref26797487 \h </w:instrText>
      </w:r>
      <w:r w:rsidR="000F1FBF" w:rsidRPr="00113825">
        <w:rPr>
          <w:i/>
          <w:szCs w:val="20"/>
        </w:rPr>
        <w:instrText xml:space="preserve"> \* MERGEFORMAT </w:instrText>
      </w:r>
      <w:r w:rsidR="00EA7E92" w:rsidRPr="00113825">
        <w:rPr>
          <w:i/>
          <w:szCs w:val="20"/>
        </w:rPr>
      </w:r>
      <w:r w:rsidR="00EA7E92" w:rsidRPr="00113825">
        <w:rPr>
          <w:i/>
          <w:szCs w:val="20"/>
        </w:rPr>
        <w:fldChar w:fldCharType="separate"/>
      </w:r>
      <w:r w:rsidR="00113825" w:rsidRPr="00113825">
        <w:rPr>
          <w:i/>
        </w:rPr>
        <w:t xml:space="preserve">Figure </w:t>
      </w:r>
      <w:r w:rsidR="00113825" w:rsidRPr="00113825">
        <w:rPr>
          <w:i/>
          <w:noProof/>
        </w:rPr>
        <w:t>2</w:t>
      </w:r>
      <w:r w:rsidR="00EA7E92" w:rsidRPr="00113825">
        <w:rPr>
          <w:i/>
          <w:szCs w:val="20"/>
        </w:rPr>
        <w:fldChar w:fldCharType="end"/>
      </w:r>
      <w:r w:rsidR="00A30790" w:rsidRPr="00113825">
        <w:rPr>
          <w:szCs w:val="20"/>
        </w:rPr>
        <w:t>)</w:t>
      </w:r>
      <w:r w:rsidRPr="00113825">
        <w:rPr>
          <w:szCs w:val="20"/>
        </w:rPr>
        <w:t>, the forest map raster</w:t>
      </w:r>
      <w:r w:rsidR="00A94B8C" w:rsidRPr="00113825">
        <w:rPr>
          <w:szCs w:val="20"/>
        </w:rPr>
        <w:t xml:space="preserve"> is fused with the average stem</w:t>
      </w:r>
      <w:r w:rsidRPr="00113825">
        <w:rPr>
          <w:szCs w:val="20"/>
        </w:rPr>
        <w:t>wood NAI per region to get the ave</w:t>
      </w:r>
      <w:r w:rsidR="00A94B8C" w:rsidRPr="00113825">
        <w:rPr>
          <w:szCs w:val="20"/>
        </w:rPr>
        <w:t>rage stem</w:t>
      </w:r>
      <w:r w:rsidRPr="00113825">
        <w:rPr>
          <w:szCs w:val="20"/>
        </w:rPr>
        <w:t>wood NAI per pixel. The calculation is made as per Eq. (2);</w:t>
      </w:r>
    </w:p>
    <w:p w14:paraId="2B28F60E" w14:textId="77777777" w:rsidR="007F553D" w:rsidRPr="00113825" w:rsidRDefault="007F553D" w:rsidP="007F553D">
      <w:pPr>
        <w:jc w:val="right"/>
        <w:rPr>
          <w:rFonts w:cstheme="majorHAnsi"/>
          <w:szCs w:val="20"/>
        </w:rPr>
      </w:pPr>
      <w:r w:rsidRPr="00113825">
        <w:rPr>
          <w:rFonts w:ascii="Cambria Math" w:hAnsi="Cambria Math"/>
          <w:i/>
          <w:szCs w:val="20"/>
          <w:lang w:val="fr-FR"/>
        </w:rPr>
        <w:t xml:space="preserve">SW_NAI = FA </w:t>
      </w:r>
      <w:r w:rsidRPr="00113825">
        <w:rPr>
          <w:rFonts w:ascii="Cambria Math" w:hAnsi="Cambria Math" w:hint="eastAsia"/>
          <w:i/>
          <w:szCs w:val="20"/>
          <w:lang w:val="fr-FR"/>
        </w:rPr>
        <w:t>×</w:t>
      </w:r>
      <w:r w:rsidRPr="00113825">
        <w:rPr>
          <w:rFonts w:ascii="Cambria Math" w:hAnsi="Cambria Math"/>
          <w:i/>
          <w:szCs w:val="20"/>
          <w:lang w:val="fr-FR"/>
        </w:rPr>
        <w:t xml:space="preserve"> NAI_reg</w:t>
      </w:r>
      <w:r w:rsidRPr="00113825">
        <w:rPr>
          <w:rFonts w:cstheme="majorHAnsi"/>
          <w:i/>
          <w:szCs w:val="20"/>
          <w:lang w:val="fr-FR"/>
        </w:rPr>
        <w:t xml:space="preserve"> </w:t>
      </w:r>
      <w:r w:rsidRPr="00113825">
        <w:rPr>
          <w:rFonts w:cstheme="majorHAnsi"/>
          <w:i/>
          <w:szCs w:val="20"/>
          <w:lang w:val="fr-FR"/>
        </w:rPr>
        <w:tab/>
      </w:r>
      <w:r w:rsidRPr="00113825">
        <w:rPr>
          <w:rFonts w:cstheme="majorHAnsi"/>
          <w:i/>
          <w:szCs w:val="20"/>
          <w:lang w:val="fr-FR"/>
        </w:rPr>
        <w:tab/>
      </w:r>
      <w:r w:rsidRPr="00113825">
        <w:rPr>
          <w:rFonts w:cstheme="majorHAnsi"/>
          <w:i/>
          <w:szCs w:val="20"/>
          <w:lang w:val="fr-FR"/>
        </w:rPr>
        <w:tab/>
      </w:r>
      <w:r w:rsidRPr="00113825">
        <w:rPr>
          <w:rFonts w:cstheme="majorHAnsi"/>
          <w:i/>
          <w:szCs w:val="20"/>
          <w:lang w:val="fr-FR"/>
        </w:rPr>
        <w:tab/>
      </w:r>
      <w:r w:rsidRPr="00113825">
        <w:rPr>
          <w:rFonts w:cstheme="majorHAnsi"/>
          <w:i/>
          <w:szCs w:val="20"/>
          <w:lang w:val="fr-FR"/>
        </w:rPr>
        <w:tab/>
      </w:r>
      <w:proofErr w:type="spellStart"/>
      <w:r w:rsidRPr="00113825">
        <w:rPr>
          <w:rFonts w:cstheme="majorHAnsi"/>
          <w:szCs w:val="20"/>
          <w:lang w:val="fr-FR"/>
        </w:rPr>
        <w:t>Eq</w:t>
      </w:r>
      <w:proofErr w:type="spellEnd"/>
      <w:r w:rsidRPr="00113825">
        <w:rPr>
          <w:rFonts w:cstheme="majorHAnsi"/>
          <w:szCs w:val="20"/>
          <w:lang w:val="fr-FR"/>
        </w:rPr>
        <w:t xml:space="preserve">. </w:t>
      </w:r>
      <w:r w:rsidRPr="00113825">
        <w:rPr>
          <w:rFonts w:cstheme="majorHAnsi"/>
          <w:szCs w:val="20"/>
        </w:rPr>
        <w:t>(2)</w:t>
      </w:r>
    </w:p>
    <w:p w14:paraId="57F7B9F2" w14:textId="3DB0C227" w:rsidR="00A95142" w:rsidRPr="00113825" w:rsidRDefault="007F553D" w:rsidP="009C4871">
      <w:pPr>
        <w:jc w:val="both"/>
        <w:rPr>
          <w:rFonts w:cstheme="majorHAnsi"/>
          <w:szCs w:val="20"/>
        </w:rPr>
      </w:pPr>
      <w:r w:rsidRPr="00113825">
        <w:rPr>
          <w:rFonts w:cstheme="majorHAnsi"/>
          <w:szCs w:val="20"/>
        </w:rPr>
        <w:t xml:space="preserve">Where, </w:t>
      </w:r>
      <w:r w:rsidRPr="00113825">
        <w:rPr>
          <w:rFonts w:cstheme="majorHAnsi"/>
          <w:i/>
          <w:szCs w:val="20"/>
        </w:rPr>
        <w:t xml:space="preserve">SW_NAI </w:t>
      </w:r>
      <w:r w:rsidRPr="00113825">
        <w:rPr>
          <w:rFonts w:cstheme="majorHAnsi"/>
          <w:szCs w:val="20"/>
        </w:rPr>
        <w:t>is the raster of average stemwood NAI per pixel (m</w:t>
      </w:r>
      <w:r w:rsidRPr="00113825">
        <w:rPr>
          <w:rFonts w:cstheme="majorHAnsi"/>
          <w:szCs w:val="20"/>
          <w:vertAlign w:val="superscript"/>
        </w:rPr>
        <w:t>3</w:t>
      </w:r>
      <w:r w:rsidRPr="00113825">
        <w:rPr>
          <w:rFonts w:cstheme="majorHAnsi"/>
          <w:szCs w:val="20"/>
        </w:rPr>
        <w:t xml:space="preserve"> </w:t>
      </w:r>
      <w:r w:rsidR="006167B1" w:rsidRPr="00113825">
        <w:rPr>
          <w:rFonts w:cstheme="majorHAnsi"/>
          <w:szCs w:val="20"/>
        </w:rPr>
        <w:t>year</w:t>
      </w:r>
      <w:r w:rsidRPr="00113825">
        <w:rPr>
          <w:rFonts w:cstheme="majorHAnsi"/>
          <w:szCs w:val="20"/>
          <w:vertAlign w:val="superscript"/>
        </w:rPr>
        <w:t>-1</w:t>
      </w:r>
      <w:r w:rsidRPr="00113825">
        <w:rPr>
          <w:rFonts w:cstheme="majorHAnsi"/>
          <w:szCs w:val="20"/>
        </w:rPr>
        <w:t>) and FA is raster of forest area (ha).</w:t>
      </w:r>
      <w:r w:rsidR="009C32B2" w:rsidRPr="00113825">
        <w:rPr>
          <w:rFonts w:cstheme="majorHAnsi"/>
          <w:szCs w:val="20"/>
        </w:rPr>
        <w:t xml:space="preserve"> </w:t>
      </w:r>
      <w:r w:rsidR="007A726B" w:rsidRPr="00113825">
        <w:rPr>
          <w:szCs w:val="20"/>
        </w:rPr>
        <w:t xml:space="preserve">The forest map of the area under assessment can be </w:t>
      </w:r>
      <w:r w:rsidR="00A30790" w:rsidRPr="00113825">
        <w:rPr>
          <w:szCs w:val="20"/>
        </w:rPr>
        <w:t>obtained</w:t>
      </w:r>
      <w:r w:rsidR="007A726B" w:rsidRPr="00113825">
        <w:rPr>
          <w:szCs w:val="20"/>
        </w:rPr>
        <w:t xml:space="preserve"> from land-cover data or </w:t>
      </w:r>
      <w:r w:rsidR="004C0363" w:rsidRPr="00113825">
        <w:rPr>
          <w:szCs w:val="20"/>
        </w:rPr>
        <w:t>NFI</w:t>
      </w:r>
      <w:r w:rsidR="00EA7E92" w:rsidRPr="00113825">
        <w:rPr>
          <w:szCs w:val="20"/>
        </w:rPr>
        <w:t>s</w:t>
      </w:r>
      <w:r w:rsidR="007A726B" w:rsidRPr="00113825">
        <w:rPr>
          <w:szCs w:val="20"/>
        </w:rPr>
        <w:t xml:space="preserve">, or earth observation data. The forest map provides an understanding of how many hectares of land </w:t>
      </w:r>
      <w:r w:rsidR="00FE761B" w:rsidRPr="00113825">
        <w:rPr>
          <w:szCs w:val="20"/>
        </w:rPr>
        <w:t>is</w:t>
      </w:r>
      <w:r w:rsidR="00A97F27" w:rsidRPr="00113825">
        <w:rPr>
          <w:szCs w:val="20"/>
        </w:rPr>
        <w:t xml:space="preserve"> under forest with </w:t>
      </w:r>
      <w:r w:rsidR="00A30790" w:rsidRPr="00113825">
        <w:rPr>
          <w:szCs w:val="20"/>
        </w:rPr>
        <w:t xml:space="preserve">their </w:t>
      </w:r>
      <w:r w:rsidR="00A97F27" w:rsidRPr="00113825">
        <w:rPr>
          <w:szCs w:val="20"/>
        </w:rPr>
        <w:t>exact location</w:t>
      </w:r>
      <w:r w:rsidR="007A726B" w:rsidRPr="00113825">
        <w:rPr>
          <w:szCs w:val="20"/>
        </w:rPr>
        <w:t xml:space="preserve">. </w:t>
      </w:r>
      <w:r w:rsidR="008D002D" w:rsidRPr="00113825">
        <w:rPr>
          <w:szCs w:val="20"/>
        </w:rPr>
        <w:t>Vis and Van den Berg</w:t>
      </w:r>
      <w:r w:rsidR="007A726B" w:rsidRPr="00113825">
        <w:rPr>
          <w:szCs w:val="20"/>
        </w:rPr>
        <w:t xml:space="preserve"> </w:t>
      </w:r>
      <w:r w:rsidR="007A726B" w:rsidRPr="00113825">
        <w:rPr>
          <w:szCs w:val="20"/>
        </w:rPr>
        <w:fldChar w:fldCharType="begin" w:fldLock="1"/>
      </w:r>
      <w:r w:rsidR="0089363E" w:rsidRPr="00113825">
        <w:rPr>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007A726B" w:rsidRPr="00113825">
        <w:rPr>
          <w:szCs w:val="20"/>
        </w:rPr>
        <w:fldChar w:fldCharType="separate"/>
      </w:r>
      <w:r w:rsidR="0089363E" w:rsidRPr="00113825">
        <w:rPr>
          <w:noProof/>
          <w:szCs w:val="20"/>
        </w:rPr>
        <w:t>[29]</w:t>
      </w:r>
      <w:r w:rsidR="007A726B" w:rsidRPr="00113825">
        <w:rPr>
          <w:szCs w:val="20"/>
        </w:rPr>
        <w:fldChar w:fldCharType="end"/>
      </w:r>
      <w:r w:rsidR="007A726B" w:rsidRPr="00113825">
        <w:rPr>
          <w:szCs w:val="20"/>
        </w:rPr>
        <w:t xml:space="preserve"> recommend using the forest data with the best possible spatial resolution to get the highest accuracy. Apart from NFIs</w:t>
      </w:r>
      <w:r w:rsidR="006138B6" w:rsidRPr="00113825">
        <w:rPr>
          <w:szCs w:val="20"/>
        </w:rPr>
        <w:t>,</w:t>
      </w:r>
      <w:r w:rsidR="007A726B" w:rsidRPr="00113825">
        <w:rPr>
          <w:szCs w:val="20"/>
        </w:rPr>
        <w:t xml:space="preserve"> this data can be derived from</w:t>
      </w:r>
      <w:r w:rsidR="00A94B8C" w:rsidRPr="00113825">
        <w:rPr>
          <w:szCs w:val="20"/>
        </w:rPr>
        <w:t xml:space="preserve"> other data </w:t>
      </w:r>
      <w:r w:rsidR="004C0363" w:rsidRPr="00113825">
        <w:rPr>
          <w:szCs w:val="20"/>
        </w:rPr>
        <w:t>platform</w:t>
      </w:r>
      <w:r w:rsidR="00FE761B" w:rsidRPr="00113825">
        <w:rPr>
          <w:szCs w:val="20"/>
        </w:rPr>
        <w:t>s</w:t>
      </w:r>
      <w:r w:rsidR="00A94B8C" w:rsidRPr="00113825">
        <w:rPr>
          <w:szCs w:val="20"/>
        </w:rPr>
        <w:t xml:space="preserve"> such as</w:t>
      </w:r>
      <w:r w:rsidR="007A726B" w:rsidRPr="00113825">
        <w:rPr>
          <w:szCs w:val="20"/>
        </w:rPr>
        <w:t xml:space="preserve"> Global Land Survey (GLS)</w:t>
      </w:r>
      <w:r w:rsidR="00C70E67" w:rsidRPr="00113825">
        <w:rPr>
          <w:szCs w:val="20"/>
        </w:rPr>
        <w:t xml:space="preserve"> </w:t>
      </w:r>
      <w:r w:rsidR="001D3150" w:rsidRPr="00113825">
        <w:rPr>
          <w:szCs w:val="20"/>
        </w:rPr>
        <w:fldChar w:fldCharType="begin" w:fldLock="1"/>
      </w:r>
      <w:r w:rsidR="0089363E" w:rsidRPr="00113825">
        <w:rPr>
          <w:szCs w:val="20"/>
        </w:rPr>
        <w:instrText>ADDIN CSL_CITATION {"citationItems":[{"id":"ITEM-1","itemData":{"DOI":"10.14358/PERS.81.2.131","ISSN":"00991112","abstract":"The Global Land Survey (GLS) 2000 data were generated from Geocover™ 2000 data with the aim of producing a global data set of accuracy better than 25 m Root Mean Square Error (RMSE). An assessment and validation of accuracy of GLS 2000 data set, and its co-registration with Geocover ™ 2000 data set is presented here. Since the availability of global data sets that have higher nominal accuracy than the GLS 2000 is a concern, the data sets were assessed in three tiers. In the first tier, the data were compared with the Geocover™ 2000 data. This comparison provided a means of localizing regions of higher differences. In the second tier, the GLS 2000 data were compared with systematically corrected Landsat-7 scenes that were obtained in a time period when the spacecraft pointing information was extremely accurate. These comparisons localize regions where the data are consistently off, which may indicate regions of higher errors. The third tier consisted of comparing the GLS 2000 data against higher accuracy reference data. The reference data were the Digital Ortho Quads over the United States, ortho-rectified SPOT data over Australia, and high accuracy check points obtained using triangulation bundle adjustment of Landsat-7 images over selected sites around the world. The study reveals that the geometric errors in Geocover™ 2000 data have been rectified in GLS 2000 data, and that the accuracy of GLS 2000 data can be expected to be better than 25 m RMSE for most of its constituent scenes.","author":[{"dropping-particle":"","family":"Rengarajan","given":"Rajagopalan","non-dropping-particle":"","parse-names":false,"suffix":""},{"dropping-particle":"","family":"Sampath","given":"Aparajithan","non-dropping-particle":"","parse-names":false,"suffix":""},{"dropping-particle":"","family":"Storey","given":"James","non-dropping-particle":"","parse-names":false,"suffix":""},{"dropping-particle":"","family":"Choate","given":"Michael","non-dropping-particle":"","parse-names":false,"suffix":""}],"container-title":"Photogrammetric Engineering and Remote Sensing","id":"ITEM-1","issue":"2","issued":{"date-parts":[["2015"]]},"page":"131-141","title":"Validation of geometric accuracy of global land survey (GLS) 2000 data","type":"article-journal","volume":"81"},"uris":["http://www.mendeley.com/documents/?uuid=d696cd87-9203-43c2-a4fb-bfb23e9f302f"]}],"mendeley":{"formattedCitation":"[49]","plainTextFormattedCitation":"[49]","previouslyFormattedCitation":"(Rengarajan &lt;i&gt;et al.&lt;/i&gt;, 2015)"},"properties":{"noteIndex":0},"schema":"https://github.com/citation-style-language/schema/raw/master/csl-citation.json"}</w:instrText>
      </w:r>
      <w:r w:rsidR="001D3150" w:rsidRPr="00113825">
        <w:rPr>
          <w:szCs w:val="20"/>
        </w:rPr>
        <w:fldChar w:fldCharType="separate"/>
      </w:r>
      <w:r w:rsidR="0089363E" w:rsidRPr="00113825">
        <w:rPr>
          <w:noProof/>
          <w:szCs w:val="20"/>
        </w:rPr>
        <w:t>[49]</w:t>
      </w:r>
      <w:r w:rsidR="001D3150" w:rsidRPr="00113825">
        <w:rPr>
          <w:szCs w:val="20"/>
        </w:rPr>
        <w:fldChar w:fldCharType="end"/>
      </w:r>
      <w:r w:rsidR="007A726B" w:rsidRPr="00113825">
        <w:rPr>
          <w:szCs w:val="20"/>
        </w:rPr>
        <w:t>, Climate Change Initiative (CCI) Land Cover V2</w:t>
      </w:r>
      <w:r w:rsidR="00C70E67" w:rsidRPr="00113825">
        <w:rPr>
          <w:szCs w:val="20"/>
        </w:rPr>
        <w:t xml:space="preserve"> </w:t>
      </w:r>
      <w:r w:rsidR="001D3150" w:rsidRPr="00113825">
        <w:rPr>
          <w:szCs w:val="20"/>
        </w:rPr>
        <w:fldChar w:fldCharType="begin" w:fldLock="1"/>
      </w:r>
      <w:r w:rsidR="0089363E" w:rsidRPr="00113825">
        <w:rPr>
          <w:szCs w:val="20"/>
        </w:rPr>
        <w:instrText>ADDIN CSL_CITATION {"citationItems":[{"id":"ITEM-1","itemData":{"URL":"https://www.esa-landcover-cci.org/?q=node/164","accessed":{"date-parts":[["2019","12","12"]]},"id":"ITEM-1","issued":{"date-parts":[["0"]]},"title":"Download CCI LC Products | ESA CCI Land cover website","type":"webpage"},"uris":["http://www.mendeley.com/documents/?uuid=abf4232e-f774-3c81-bfe2-c377eeb4ba70"]}],"mendeley":{"formattedCitation":"[50]","plainTextFormattedCitation":"[50]","previouslyFormattedCitation":"(&lt;i&gt;Download CCI LC Products | ESA CCI Land cover website&lt;/i&gt;, no date)"},"properties":{"noteIndex":0},"schema":"https://github.com/citation-style-language/schema/raw/master/csl-citation.json"}</w:instrText>
      </w:r>
      <w:r w:rsidR="001D3150" w:rsidRPr="00113825">
        <w:rPr>
          <w:szCs w:val="20"/>
        </w:rPr>
        <w:fldChar w:fldCharType="separate"/>
      </w:r>
      <w:r w:rsidR="0089363E" w:rsidRPr="00113825">
        <w:rPr>
          <w:noProof/>
          <w:szCs w:val="20"/>
        </w:rPr>
        <w:t>[50]</w:t>
      </w:r>
      <w:r w:rsidR="001D3150" w:rsidRPr="00113825">
        <w:rPr>
          <w:szCs w:val="20"/>
        </w:rPr>
        <w:fldChar w:fldCharType="end"/>
      </w:r>
      <w:r w:rsidR="007A726B" w:rsidRPr="00113825">
        <w:rPr>
          <w:szCs w:val="20"/>
        </w:rPr>
        <w:t>, GlobeLand30</w:t>
      </w:r>
      <w:r w:rsidR="00C70E67" w:rsidRPr="00113825">
        <w:rPr>
          <w:szCs w:val="20"/>
        </w:rPr>
        <w:t xml:space="preserve"> </w:t>
      </w:r>
      <w:r w:rsidR="00C70E67" w:rsidRPr="00113825">
        <w:rPr>
          <w:szCs w:val="20"/>
        </w:rPr>
        <w:fldChar w:fldCharType="begin" w:fldLock="1"/>
      </w:r>
      <w:r w:rsidR="0089363E" w:rsidRPr="00113825">
        <w:rPr>
          <w:szCs w:val="20"/>
        </w:rPr>
        <w:instrText>ADDIN CSL_CITATION {"citationItems":[{"id":"ITEM-1","itemData":{"DOI":"10.1038/514434c","ISSN":"1476-4687","author":[{"dropping-particle":"","family":"Jun","given":"Chen","non-dropping-particle":"","parse-names":false,"suffix":""},{"dropping-particle":"","family":"Ban","given":"Yifang","non-dropping-particle":"","parse-names":false,"suffix":""},{"dropping-particle":"","family":"Li","given":"Songnian","non-dropping-particle":"","parse-names":false,"suffix":""}],"container-title":"Nature","id":"ITEM-1","issue":"7523","issued":{"date-parts":[["2014"]]},"page":"434","title":"Open access to Earth land-cover map","type":"article-journal","volume":"514"},"uris":["http://www.mendeley.com/documents/?uuid=e19395d1-8e49-406a-bdca-1959ed5233e0"]}],"mendeley":{"formattedCitation":"[51]","plainTextFormattedCitation":"[51]","previouslyFormattedCitation":"(Jun, Ban and Li, 2014)"},"properties":{"noteIndex":0},"schema":"https://github.com/citation-style-language/schema/raw/master/csl-citation.json"}</w:instrText>
      </w:r>
      <w:r w:rsidR="00C70E67" w:rsidRPr="00113825">
        <w:rPr>
          <w:szCs w:val="20"/>
        </w:rPr>
        <w:fldChar w:fldCharType="separate"/>
      </w:r>
      <w:r w:rsidR="0089363E" w:rsidRPr="00113825">
        <w:rPr>
          <w:noProof/>
          <w:szCs w:val="20"/>
        </w:rPr>
        <w:t>[51]</w:t>
      </w:r>
      <w:r w:rsidR="00C70E67" w:rsidRPr="00113825">
        <w:rPr>
          <w:szCs w:val="20"/>
        </w:rPr>
        <w:fldChar w:fldCharType="end"/>
      </w:r>
      <w:r w:rsidR="007A726B" w:rsidRPr="00113825">
        <w:rPr>
          <w:szCs w:val="20"/>
        </w:rPr>
        <w:t>, CORINE Land Cover (CLC)</w:t>
      </w:r>
      <w:r w:rsidR="00C70E67" w:rsidRPr="00113825">
        <w:rPr>
          <w:szCs w:val="20"/>
        </w:rPr>
        <w:t xml:space="preserve"> </w:t>
      </w:r>
      <w:r w:rsidR="00C70E67" w:rsidRPr="00113825">
        <w:rPr>
          <w:szCs w:val="20"/>
        </w:rPr>
        <w:fldChar w:fldCharType="begin" w:fldLock="1"/>
      </w:r>
      <w:r w:rsidR="0089363E" w:rsidRPr="00113825">
        <w:rPr>
          <w:szCs w:val="20"/>
        </w:rPr>
        <w:instrText>ADDIN CSL_CITATION {"citationItems":[{"id":"ITEM-1","itemData":{"ISBN":"9291675113","author":[{"dropping-particle":"","family":"EEA","given":"","non-dropping-particle":"","parse-names":false,"suffix":""}],"container-title":"Technical report.","id":"ITEM-1","issued":{"date-parts":[["2002"]]},"number-of-pages":"1-56","title":"Corine land cover 2000. Technical guidelines.","type":"book"},"uris":["http://www.mendeley.com/documents/?uuid=1bc0318b-d38b-405c-a4be-3522f2fd33a5"]}],"mendeley":{"formattedCitation":"[52]","plainTextFormattedCitation":"[52]","previouslyFormattedCitation":"(EEA, 2002)"},"properties":{"noteIndex":0},"schema":"https://github.com/citation-style-language/schema/raw/master/csl-citation.json"}</w:instrText>
      </w:r>
      <w:r w:rsidR="00C70E67" w:rsidRPr="00113825">
        <w:rPr>
          <w:szCs w:val="20"/>
        </w:rPr>
        <w:fldChar w:fldCharType="separate"/>
      </w:r>
      <w:r w:rsidR="0089363E" w:rsidRPr="00113825">
        <w:rPr>
          <w:noProof/>
          <w:szCs w:val="20"/>
        </w:rPr>
        <w:t>[52]</w:t>
      </w:r>
      <w:r w:rsidR="00C70E67" w:rsidRPr="00113825">
        <w:rPr>
          <w:szCs w:val="20"/>
        </w:rPr>
        <w:fldChar w:fldCharType="end"/>
      </w:r>
      <w:r w:rsidR="007A726B" w:rsidRPr="00113825">
        <w:rPr>
          <w:szCs w:val="20"/>
        </w:rPr>
        <w:t xml:space="preserve">, etc., if no </w:t>
      </w:r>
      <w:r w:rsidR="00A94B8C" w:rsidRPr="00113825">
        <w:rPr>
          <w:szCs w:val="20"/>
        </w:rPr>
        <w:t xml:space="preserve">other </w:t>
      </w:r>
      <w:r w:rsidR="007A726B" w:rsidRPr="00113825">
        <w:rPr>
          <w:szCs w:val="20"/>
        </w:rPr>
        <w:t xml:space="preserve">finer regional data can be obtained. </w:t>
      </w:r>
      <w:r w:rsidR="0078256B" w:rsidRPr="00113825">
        <w:rPr>
          <w:rFonts w:cstheme="majorHAnsi"/>
          <w:szCs w:val="20"/>
        </w:rPr>
        <w:t xml:space="preserve">As expressed in step 1, </w:t>
      </w:r>
      <w:r w:rsidR="00D224B5" w:rsidRPr="00113825">
        <w:rPr>
          <w:rFonts w:cstheme="majorHAnsi"/>
          <w:szCs w:val="20"/>
        </w:rPr>
        <w:t>care should be taken</w:t>
      </w:r>
      <w:r w:rsidR="004C0363" w:rsidRPr="00113825">
        <w:rPr>
          <w:rFonts w:cstheme="majorHAnsi"/>
          <w:szCs w:val="20"/>
        </w:rPr>
        <w:t xml:space="preserve"> to ensure consistency in the choice of cell size.</w:t>
      </w:r>
      <w:r w:rsidR="00D224B5" w:rsidRPr="00113825">
        <w:rPr>
          <w:rFonts w:cstheme="majorHAnsi"/>
          <w:szCs w:val="20"/>
        </w:rPr>
        <w:t xml:space="preserve"> </w:t>
      </w:r>
    </w:p>
    <w:p w14:paraId="3A47E8E4" w14:textId="21EC5B8D" w:rsidR="0032488E" w:rsidRPr="00113825" w:rsidRDefault="0032488E" w:rsidP="002E100D">
      <w:pPr>
        <w:jc w:val="both"/>
        <w:rPr>
          <w:rFonts w:cstheme="majorHAnsi"/>
          <w:szCs w:val="20"/>
        </w:rPr>
      </w:pPr>
      <w:r w:rsidRPr="00113825">
        <w:rPr>
          <w:rFonts w:cstheme="majorHAnsi"/>
          <w:szCs w:val="20"/>
        </w:rPr>
        <w:t>Step 3:  Conversion from volume to mass</w:t>
      </w:r>
    </w:p>
    <w:p w14:paraId="0380F3BD" w14:textId="520CD207" w:rsidR="0032488E" w:rsidRPr="00113825" w:rsidRDefault="0032488E" w:rsidP="009C4871">
      <w:pPr>
        <w:jc w:val="both"/>
        <w:rPr>
          <w:rFonts w:cstheme="majorHAnsi"/>
          <w:szCs w:val="20"/>
        </w:rPr>
      </w:pPr>
      <w:r w:rsidRPr="00113825">
        <w:rPr>
          <w:rFonts w:cstheme="majorHAnsi"/>
          <w:szCs w:val="20"/>
        </w:rPr>
        <w:t xml:space="preserve">In </w:t>
      </w:r>
      <w:r w:rsidR="001C6E2F" w:rsidRPr="00113825">
        <w:rPr>
          <w:rFonts w:cstheme="majorHAnsi"/>
          <w:szCs w:val="20"/>
        </w:rPr>
        <w:t>the third</w:t>
      </w:r>
      <w:r w:rsidRPr="00113825">
        <w:rPr>
          <w:rFonts w:cstheme="majorHAnsi"/>
          <w:szCs w:val="20"/>
        </w:rPr>
        <w:t xml:space="preserve"> step, the increment information obtained from step 2 is converted to tonne dry matter</w:t>
      </w:r>
      <w:r w:rsidR="00EF060D" w:rsidRPr="00113825">
        <w:rPr>
          <w:rFonts w:cstheme="majorHAnsi"/>
          <w:szCs w:val="20"/>
        </w:rPr>
        <w:t xml:space="preserve"> (</w:t>
      </w:r>
      <w:proofErr w:type="spellStart"/>
      <w:r w:rsidR="00EF060D" w:rsidRPr="00113825">
        <w:rPr>
          <w:rFonts w:cstheme="majorHAnsi"/>
          <w:szCs w:val="20"/>
        </w:rPr>
        <w:t>megagram</w:t>
      </w:r>
      <w:proofErr w:type="spellEnd"/>
      <w:r w:rsidR="00EF060D" w:rsidRPr="00113825">
        <w:rPr>
          <w:rFonts w:cstheme="majorHAnsi"/>
          <w:szCs w:val="20"/>
        </w:rPr>
        <w:t xml:space="preserve"> dry matter: Mg</w:t>
      </w:r>
      <w:r w:rsidR="00EF060D" w:rsidRPr="00113825">
        <w:rPr>
          <w:rFonts w:cstheme="majorHAnsi"/>
          <w:szCs w:val="20"/>
          <w:vertAlign w:val="subscript"/>
        </w:rPr>
        <w:t xml:space="preserve">dry </w:t>
      </w:r>
      <w:r w:rsidR="00EF060D" w:rsidRPr="00113825">
        <w:rPr>
          <w:rFonts w:cstheme="majorHAnsi"/>
          <w:szCs w:val="20"/>
        </w:rPr>
        <w:softHyphen/>
      </w:r>
      <w:r w:rsidR="00EF060D" w:rsidRPr="00113825">
        <w:rPr>
          <w:rFonts w:cstheme="majorHAnsi"/>
          <w:szCs w:val="20"/>
        </w:rPr>
        <w:softHyphen/>
      </w:r>
      <w:r w:rsidR="00EF060D" w:rsidRPr="00113825">
        <w:rPr>
          <w:rFonts w:cstheme="majorHAnsi"/>
          <w:szCs w:val="20"/>
        </w:rPr>
        <w:softHyphen/>
      </w:r>
      <w:r w:rsidR="00EF060D" w:rsidRPr="00113825">
        <w:rPr>
          <w:rFonts w:cstheme="majorHAnsi"/>
          <w:szCs w:val="20"/>
          <w:vertAlign w:val="subscript"/>
        </w:rPr>
        <w:t>matter</w:t>
      </w:r>
      <w:r w:rsidR="00EF060D" w:rsidRPr="00113825">
        <w:rPr>
          <w:rFonts w:cstheme="majorHAnsi"/>
          <w:szCs w:val="20"/>
        </w:rPr>
        <w:t>)</w:t>
      </w:r>
      <w:r w:rsidR="00A0606F" w:rsidRPr="00113825">
        <w:rPr>
          <w:rFonts w:cstheme="majorHAnsi"/>
          <w:szCs w:val="20"/>
        </w:rPr>
        <w:t>, by multiplying the increment volume and the factor for basic wood density as per</w:t>
      </w:r>
      <w:r w:rsidRPr="00113825">
        <w:rPr>
          <w:rFonts w:cstheme="majorHAnsi"/>
          <w:szCs w:val="20"/>
        </w:rPr>
        <w:t xml:space="preserve"> Eq. (3);</w:t>
      </w:r>
    </w:p>
    <w:p w14:paraId="778707F8" w14:textId="73BEC0A5" w:rsidR="0032488E" w:rsidRPr="00113825" w:rsidRDefault="0032488E" w:rsidP="0032488E">
      <w:pPr>
        <w:jc w:val="right"/>
        <w:rPr>
          <w:rFonts w:cstheme="majorHAnsi"/>
          <w:szCs w:val="20"/>
        </w:rPr>
      </w:pPr>
      <w:r w:rsidRPr="00113825">
        <w:rPr>
          <w:rFonts w:ascii="Cambria Math" w:hAnsi="Cambria Math" w:cstheme="majorHAnsi"/>
          <w:i/>
          <w:szCs w:val="20"/>
          <w:lang w:val="fr-FR"/>
        </w:rPr>
        <w:t>SW_NAI_t = SW_NAI</w:t>
      </w:r>
      <w:r w:rsidRPr="00113825">
        <w:rPr>
          <w:rFonts w:ascii="Cambria Math" w:hAnsi="Cambria Math" w:hint="eastAsia"/>
          <w:i/>
          <w:szCs w:val="20"/>
          <w:lang w:val="fr-FR"/>
        </w:rPr>
        <w:t>×</w:t>
      </w:r>
      <w:r w:rsidRPr="00113825">
        <w:rPr>
          <w:rFonts w:ascii="Cambria Math" w:hAnsi="Cambria Math"/>
          <w:i/>
          <w:szCs w:val="20"/>
          <w:lang w:val="fr-FR"/>
        </w:rPr>
        <w:t xml:space="preserve"> D</w:t>
      </w:r>
      <w:r w:rsidRPr="00113825">
        <w:rPr>
          <w:rFonts w:cstheme="majorHAnsi"/>
          <w:szCs w:val="20"/>
          <w:lang w:val="fr-FR"/>
        </w:rPr>
        <w:t xml:space="preserve"> </w:t>
      </w:r>
      <w:r w:rsidRPr="00113825">
        <w:rPr>
          <w:rFonts w:cstheme="majorHAnsi"/>
          <w:szCs w:val="20"/>
          <w:lang w:val="fr-FR"/>
        </w:rPr>
        <w:tab/>
      </w:r>
      <w:r w:rsidRPr="00113825">
        <w:rPr>
          <w:rFonts w:cstheme="majorHAnsi"/>
          <w:szCs w:val="20"/>
          <w:lang w:val="fr-FR"/>
        </w:rPr>
        <w:tab/>
      </w:r>
      <w:r w:rsidRPr="00113825">
        <w:rPr>
          <w:rFonts w:cstheme="majorHAnsi"/>
          <w:szCs w:val="20"/>
          <w:lang w:val="fr-FR"/>
        </w:rPr>
        <w:tab/>
      </w:r>
      <w:r w:rsidRPr="00113825">
        <w:rPr>
          <w:rFonts w:cstheme="majorHAnsi"/>
          <w:szCs w:val="20"/>
          <w:lang w:val="fr-FR"/>
        </w:rPr>
        <w:tab/>
      </w:r>
      <w:r w:rsidRPr="00113825">
        <w:rPr>
          <w:rFonts w:cstheme="majorHAnsi"/>
          <w:szCs w:val="20"/>
          <w:lang w:val="fr-FR"/>
        </w:rPr>
        <w:tab/>
      </w:r>
      <w:proofErr w:type="spellStart"/>
      <w:r w:rsidRPr="00113825">
        <w:rPr>
          <w:rFonts w:cstheme="majorHAnsi"/>
          <w:szCs w:val="20"/>
          <w:lang w:val="fr-FR"/>
        </w:rPr>
        <w:t>Eq</w:t>
      </w:r>
      <w:proofErr w:type="spellEnd"/>
      <w:r w:rsidRPr="00113825">
        <w:rPr>
          <w:rFonts w:cstheme="majorHAnsi"/>
          <w:szCs w:val="20"/>
          <w:lang w:val="fr-FR"/>
        </w:rPr>
        <w:t xml:space="preserve">. </w:t>
      </w:r>
      <w:r w:rsidRPr="00113825">
        <w:rPr>
          <w:rFonts w:cstheme="majorHAnsi"/>
          <w:szCs w:val="20"/>
        </w:rPr>
        <w:t>(3)</w:t>
      </w:r>
    </w:p>
    <w:p w14:paraId="11856A18" w14:textId="73B4CD6D" w:rsidR="00D75C69" w:rsidRPr="00113825" w:rsidRDefault="0032488E" w:rsidP="00D202AB">
      <w:pPr>
        <w:jc w:val="both"/>
        <w:rPr>
          <w:rFonts w:cstheme="majorHAnsi"/>
          <w:szCs w:val="20"/>
        </w:rPr>
      </w:pPr>
      <w:r w:rsidRPr="00113825">
        <w:rPr>
          <w:rFonts w:cstheme="majorHAnsi"/>
          <w:szCs w:val="20"/>
        </w:rPr>
        <w:t xml:space="preserve">Where, </w:t>
      </w:r>
      <w:r w:rsidRPr="00113825">
        <w:rPr>
          <w:rFonts w:cstheme="majorHAnsi"/>
          <w:i/>
          <w:szCs w:val="20"/>
        </w:rPr>
        <w:t xml:space="preserve">SW_NAI_t </w:t>
      </w:r>
      <w:r w:rsidRPr="00113825">
        <w:rPr>
          <w:rFonts w:cstheme="majorHAnsi"/>
          <w:szCs w:val="20"/>
        </w:rPr>
        <w:t xml:space="preserve">is the raster of </w:t>
      </w:r>
      <w:r w:rsidR="00A92B1B" w:rsidRPr="00113825">
        <w:rPr>
          <w:rFonts w:cstheme="majorHAnsi"/>
          <w:szCs w:val="20"/>
        </w:rPr>
        <w:t xml:space="preserve">the </w:t>
      </w:r>
      <w:r w:rsidRPr="00113825">
        <w:rPr>
          <w:rFonts w:cstheme="majorHAnsi"/>
          <w:szCs w:val="20"/>
        </w:rPr>
        <w:t>average stemwood net annual increment (</w:t>
      </w:r>
      <w:r w:rsidR="00EF060D" w:rsidRPr="00113825">
        <w:rPr>
          <w:rFonts w:cstheme="majorHAnsi"/>
          <w:szCs w:val="20"/>
        </w:rPr>
        <w:t>Mg</w:t>
      </w:r>
      <w:r w:rsidR="00EF060D" w:rsidRPr="00113825">
        <w:rPr>
          <w:rFonts w:cstheme="majorHAnsi"/>
          <w:szCs w:val="20"/>
          <w:vertAlign w:val="subscript"/>
        </w:rPr>
        <w:t xml:space="preserve">dry </w:t>
      </w:r>
      <w:r w:rsidRPr="00113825">
        <w:rPr>
          <w:rFonts w:cstheme="majorHAnsi"/>
          <w:szCs w:val="20"/>
          <w:vertAlign w:val="subscript"/>
        </w:rPr>
        <w:t xml:space="preserve">matter </w:t>
      </w:r>
      <w:r w:rsidR="006167B1" w:rsidRPr="00113825">
        <w:rPr>
          <w:rFonts w:cstheme="majorHAnsi"/>
          <w:szCs w:val="20"/>
        </w:rPr>
        <w:t>year</w:t>
      </w:r>
      <w:r w:rsidRPr="00113825">
        <w:rPr>
          <w:rFonts w:cstheme="majorHAnsi"/>
          <w:szCs w:val="20"/>
          <w:vertAlign w:val="superscript"/>
        </w:rPr>
        <w:t>-1</w:t>
      </w:r>
      <w:r w:rsidRPr="00113825">
        <w:rPr>
          <w:rFonts w:cstheme="majorHAnsi"/>
          <w:szCs w:val="20"/>
        </w:rPr>
        <w:t xml:space="preserve">) and </w:t>
      </w:r>
      <w:r w:rsidRPr="00113825">
        <w:rPr>
          <w:rFonts w:cstheme="majorHAnsi"/>
          <w:i/>
          <w:szCs w:val="20"/>
        </w:rPr>
        <w:t>D</w:t>
      </w:r>
      <w:r w:rsidRPr="00113825">
        <w:rPr>
          <w:rFonts w:cstheme="majorHAnsi"/>
          <w:szCs w:val="20"/>
        </w:rPr>
        <w:t xml:space="preserve"> is the wood density (</w:t>
      </w:r>
      <w:r w:rsidR="00EF060D" w:rsidRPr="00113825">
        <w:rPr>
          <w:rFonts w:cstheme="majorHAnsi"/>
          <w:szCs w:val="20"/>
        </w:rPr>
        <w:t>Mg</w:t>
      </w:r>
      <w:r w:rsidR="00EF060D" w:rsidRPr="00113825">
        <w:rPr>
          <w:rFonts w:cstheme="majorHAnsi"/>
          <w:szCs w:val="20"/>
          <w:vertAlign w:val="subscript"/>
        </w:rPr>
        <w:t xml:space="preserve">dry </w:t>
      </w:r>
      <w:r w:rsidRPr="00113825">
        <w:rPr>
          <w:rFonts w:cstheme="majorHAnsi"/>
          <w:szCs w:val="20"/>
          <w:vertAlign w:val="subscript"/>
        </w:rPr>
        <w:t>matter</w:t>
      </w:r>
      <w:r w:rsidRPr="00113825">
        <w:rPr>
          <w:rFonts w:cstheme="majorHAnsi"/>
          <w:szCs w:val="20"/>
        </w:rPr>
        <w:t xml:space="preserve"> m</w:t>
      </w:r>
      <w:r w:rsidRPr="00113825">
        <w:rPr>
          <w:rFonts w:cstheme="majorHAnsi"/>
          <w:szCs w:val="20"/>
        </w:rPr>
        <w:softHyphen/>
      </w:r>
      <w:r w:rsidRPr="00113825">
        <w:rPr>
          <w:rFonts w:cstheme="majorHAnsi"/>
          <w:szCs w:val="20"/>
          <w:vertAlign w:val="superscript"/>
        </w:rPr>
        <w:t>-3</w:t>
      </w:r>
      <w:r w:rsidRPr="00113825">
        <w:rPr>
          <w:rFonts w:cstheme="majorHAnsi"/>
          <w:szCs w:val="20"/>
        </w:rPr>
        <w:t>). It should be noted that</w:t>
      </w:r>
      <w:r w:rsidR="002E100D" w:rsidRPr="00113825">
        <w:rPr>
          <w:rFonts w:cstheme="majorHAnsi"/>
          <w:szCs w:val="20"/>
        </w:rPr>
        <w:t xml:space="preserve"> the value of</w:t>
      </w:r>
      <w:r w:rsidRPr="00113825">
        <w:rPr>
          <w:rFonts w:cstheme="majorHAnsi"/>
          <w:szCs w:val="20"/>
        </w:rPr>
        <w:t xml:space="preserve"> </w:t>
      </w:r>
      <w:r w:rsidRPr="00113825">
        <w:rPr>
          <w:rFonts w:cstheme="majorHAnsi"/>
          <w:i/>
          <w:szCs w:val="20"/>
        </w:rPr>
        <w:t>D</w:t>
      </w:r>
      <w:r w:rsidRPr="00113825">
        <w:rPr>
          <w:rFonts w:cstheme="majorHAnsi"/>
          <w:szCs w:val="20"/>
        </w:rPr>
        <w:t xml:space="preserve"> is </w:t>
      </w:r>
      <w:r w:rsidR="002E100D" w:rsidRPr="00113825">
        <w:rPr>
          <w:rFonts w:cstheme="majorHAnsi"/>
          <w:szCs w:val="20"/>
        </w:rPr>
        <w:t xml:space="preserve">unique for every species. </w:t>
      </w:r>
      <w:r w:rsidR="003E699F" w:rsidRPr="00113825">
        <w:rPr>
          <w:rFonts w:cstheme="majorHAnsi"/>
          <w:szCs w:val="20"/>
        </w:rPr>
        <w:t>The IPCC</w:t>
      </w:r>
      <w:r w:rsidR="005D3FD8" w:rsidRPr="00113825">
        <w:rPr>
          <w:rFonts w:cstheme="majorHAnsi"/>
          <w:szCs w:val="20"/>
        </w:rPr>
        <w:t xml:space="preserve"> Good Practice Guidance handbook</w:t>
      </w:r>
      <w:r w:rsidR="003E699F" w:rsidRPr="00113825">
        <w:rPr>
          <w:rFonts w:cstheme="majorHAnsi"/>
          <w:szCs w:val="20"/>
        </w:rPr>
        <w:t xml:space="preserve"> </w:t>
      </w:r>
      <w:r w:rsidR="003E699F" w:rsidRPr="00113825">
        <w:rPr>
          <w:rFonts w:cstheme="majorHAnsi"/>
          <w:szCs w:val="20"/>
        </w:rPr>
        <w:fldChar w:fldCharType="begin" w:fldLock="1"/>
      </w:r>
      <w:r w:rsidR="0089363E" w:rsidRPr="00113825">
        <w:rPr>
          <w:rFonts w:cstheme="majorHAnsi"/>
          <w:szCs w:val="20"/>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003E699F" w:rsidRPr="00113825">
        <w:rPr>
          <w:rFonts w:cstheme="majorHAnsi"/>
          <w:szCs w:val="20"/>
        </w:rPr>
        <w:fldChar w:fldCharType="separate"/>
      </w:r>
      <w:r w:rsidR="0089363E" w:rsidRPr="00113825">
        <w:rPr>
          <w:rFonts w:cstheme="majorHAnsi"/>
          <w:noProof/>
          <w:szCs w:val="20"/>
        </w:rPr>
        <w:t>[53]</w:t>
      </w:r>
      <w:r w:rsidR="003E699F" w:rsidRPr="00113825">
        <w:rPr>
          <w:rFonts w:cstheme="majorHAnsi"/>
          <w:szCs w:val="20"/>
        </w:rPr>
        <w:fldChar w:fldCharType="end"/>
      </w:r>
      <w:r w:rsidR="005D3FD8" w:rsidRPr="00113825">
        <w:rPr>
          <w:rFonts w:cstheme="majorHAnsi"/>
          <w:szCs w:val="20"/>
        </w:rPr>
        <w:t xml:space="preserve">, provides the values for basic wood density for particular species of different forest types (Boreal, Temperate, Tropical) and </w:t>
      </w:r>
      <w:r w:rsidR="00F13CAB" w:rsidRPr="00113825">
        <w:rPr>
          <w:rFonts w:cstheme="majorHAnsi"/>
          <w:szCs w:val="20"/>
        </w:rPr>
        <w:t>specifies</w:t>
      </w:r>
      <w:r w:rsidR="005D3FD8" w:rsidRPr="00113825">
        <w:rPr>
          <w:rFonts w:cstheme="majorHAnsi"/>
          <w:szCs w:val="20"/>
        </w:rPr>
        <w:t xml:space="preserve"> the sources of these data. </w:t>
      </w:r>
      <w:r w:rsidR="00F13CAB" w:rsidRPr="00113825">
        <w:rPr>
          <w:rFonts w:cstheme="majorHAnsi"/>
          <w:szCs w:val="20"/>
        </w:rPr>
        <w:t>These values are usually an average of different observations for a particular species, usually withdrawn from a handbook or in some cases derived from regression equation</w:t>
      </w:r>
      <w:r w:rsidR="004C0363" w:rsidRPr="00113825">
        <w:rPr>
          <w:rFonts w:cstheme="majorHAnsi"/>
          <w:szCs w:val="20"/>
        </w:rPr>
        <w:t>s</w:t>
      </w:r>
      <w:r w:rsidR="00F13CAB" w:rsidRPr="00113825">
        <w:rPr>
          <w:rFonts w:cstheme="majorHAnsi"/>
          <w:szCs w:val="20"/>
        </w:rPr>
        <w:t xml:space="preserve"> </w:t>
      </w:r>
      <w:r w:rsidR="006A01C8" w:rsidRPr="00113825">
        <w:rPr>
          <w:rFonts w:cstheme="majorHAnsi"/>
          <w:szCs w:val="20"/>
        </w:rPr>
        <w:t>such as the on</w:t>
      </w:r>
      <w:r w:rsidR="00EA7E92" w:rsidRPr="00113825">
        <w:rPr>
          <w:rFonts w:cstheme="majorHAnsi"/>
          <w:szCs w:val="20"/>
        </w:rPr>
        <w:t>e</w:t>
      </w:r>
      <w:r w:rsidR="006A01C8" w:rsidRPr="00113825">
        <w:rPr>
          <w:rFonts w:cstheme="majorHAnsi"/>
          <w:szCs w:val="20"/>
        </w:rPr>
        <w:t xml:space="preserve"> in</w:t>
      </w:r>
      <w:r w:rsidR="00F13CAB" w:rsidRPr="00113825">
        <w:rPr>
          <w:rFonts w:cstheme="majorHAnsi"/>
          <w:szCs w:val="20"/>
        </w:rPr>
        <w:t xml:space="preserve"> Reyes et al. </w:t>
      </w:r>
      <w:r w:rsidR="00F13CAB" w:rsidRPr="00113825">
        <w:rPr>
          <w:rFonts w:cstheme="majorHAnsi"/>
          <w:szCs w:val="20"/>
        </w:rPr>
        <w:fldChar w:fldCharType="begin" w:fldLock="1"/>
      </w:r>
      <w:r w:rsidR="0089363E" w:rsidRPr="00113825">
        <w:rPr>
          <w:rFonts w:cstheme="majorHAnsi"/>
          <w:szCs w:val="20"/>
        </w:rPr>
        <w:instrText>ADDIN CSL_CITATION {"citationItems":[{"id":"ITEM-1","itemData":{"DOI":"10.2737/SO-GTR-88","author":[{"dropping-particle":"","family":"Reyes","given":"Gisel","non-dropping-particle":"","parse-names":false,"suffix":""},{"dropping-particle":"","family":"Brown","given":"Sandra","non-dropping-particle":"","parse-names":false,"suffix":""},{"dropping-particle":"","family":"Chapman","given":"Jonathan","non-dropping-particle":"","parse-names":false,"suffix":""},{"dropping-particle":"","family":"Lugo","given":"Ariel E.","non-dropping-particle":"","parse-names":false,"suffix":""}],"id":"ITEM-1","issued":{"date-parts":[["1992"]]},"title":"Wood Densities of Tropical Tree Species","type":"report"},"uris":["http://www.mendeley.com/documents/?uuid=b31def30-0d81-4374-8ecb-fdf92556158e"]}],"mendeley":{"formattedCitation":"[54]","plainTextFormattedCitation":"[54]","previouslyFormattedCitation":"(Reyes &lt;i&gt;et al.&lt;/i&gt;, 1992)"},"properties":{"noteIndex":0},"schema":"https://github.com/citation-style-language/schema/raw/master/csl-citation.json"}</w:instrText>
      </w:r>
      <w:r w:rsidR="00F13CAB" w:rsidRPr="00113825">
        <w:rPr>
          <w:rFonts w:cstheme="majorHAnsi"/>
          <w:szCs w:val="20"/>
        </w:rPr>
        <w:fldChar w:fldCharType="separate"/>
      </w:r>
      <w:r w:rsidR="0089363E" w:rsidRPr="00113825">
        <w:rPr>
          <w:rFonts w:cstheme="majorHAnsi"/>
          <w:noProof/>
          <w:szCs w:val="20"/>
        </w:rPr>
        <w:t>[54]</w:t>
      </w:r>
      <w:r w:rsidR="00F13CAB" w:rsidRPr="00113825">
        <w:rPr>
          <w:rFonts w:cstheme="majorHAnsi"/>
          <w:szCs w:val="20"/>
        </w:rPr>
        <w:fldChar w:fldCharType="end"/>
      </w:r>
      <w:r w:rsidR="00F13CAB" w:rsidRPr="00113825">
        <w:rPr>
          <w:rFonts w:cstheme="majorHAnsi"/>
          <w:szCs w:val="20"/>
        </w:rPr>
        <w:t xml:space="preserve">. </w:t>
      </w:r>
      <w:r w:rsidR="00585D3A" w:rsidRPr="00113825">
        <w:rPr>
          <w:rFonts w:cstheme="majorHAnsi"/>
          <w:szCs w:val="20"/>
        </w:rPr>
        <w:t>When</w:t>
      </w:r>
      <w:r w:rsidR="002E100D" w:rsidRPr="00113825">
        <w:rPr>
          <w:rFonts w:cstheme="majorHAnsi"/>
          <w:szCs w:val="20"/>
        </w:rPr>
        <w:t xml:space="preserve"> forest map</w:t>
      </w:r>
      <w:r w:rsidR="00585D3A" w:rsidRPr="00113825">
        <w:rPr>
          <w:rFonts w:cstheme="majorHAnsi"/>
          <w:szCs w:val="20"/>
        </w:rPr>
        <w:t>s</w:t>
      </w:r>
      <w:r w:rsidR="002E100D" w:rsidRPr="00113825">
        <w:rPr>
          <w:rFonts w:cstheme="majorHAnsi"/>
          <w:szCs w:val="20"/>
        </w:rPr>
        <w:t xml:space="preserve"> do not include details about the particular </w:t>
      </w:r>
      <w:r w:rsidR="00585D3A" w:rsidRPr="00113825">
        <w:rPr>
          <w:rFonts w:cstheme="majorHAnsi"/>
          <w:szCs w:val="20"/>
        </w:rPr>
        <w:t xml:space="preserve">tree </w:t>
      </w:r>
      <w:r w:rsidR="002E100D" w:rsidRPr="00113825">
        <w:rPr>
          <w:rFonts w:cstheme="majorHAnsi"/>
          <w:szCs w:val="20"/>
        </w:rPr>
        <w:t>species,</w:t>
      </w:r>
      <w:r w:rsidR="00585D3A" w:rsidRPr="00113825">
        <w:rPr>
          <w:rFonts w:cstheme="majorHAnsi"/>
          <w:szCs w:val="20"/>
        </w:rPr>
        <w:t xml:space="preserve"> the BEE method suggests </w:t>
      </w:r>
      <w:r w:rsidR="00FE761B" w:rsidRPr="00113825">
        <w:rPr>
          <w:rFonts w:cstheme="majorHAnsi"/>
          <w:szCs w:val="20"/>
        </w:rPr>
        <w:t>applying</w:t>
      </w:r>
      <w:r w:rsidR="002E100D" w:rsidRPr="00113825">
        <w:rPr>
          <w:rFonts w:cstheme="majorHAnsi"/>
          <w:szCs w:val="20"/>
        </w:rPr>
        <w:t xml:space="preserve"> average wood density factors at the regional level.</w:t>
      </w:r>
      <w:r w:rsidR="00D75C69" w:rsidRPr="00113825">
        <w:rPr>
          <w:rFonts w:cstheme="majorHAnsi"/>
          <w:szCs w:val="20"/>
        </w:rPr>
        <w:t xml:space="preserve"> </w:t>
      </w:r>
    </w:p>
    <w:p w14:paraId="6B775E6C" w14:textId="4F80C129" w:rsidR="002E100D" w:rsidRPr="00113825" w:rsidRDefault="002E100D" w:rsidP="00D202AB">
      <w:pPr>
        <w:jc w:val="both"/>
        <w:rPr>
          <w:rFonts w:cstheme="majorHAnsi"/>
          <w:szCs w:val="20"/>
        </w:rPr>
      </w:pPr>
      <w:r w:rsidRPr="00113825">
        <w:rPr>
          <w:rFonts w:cstheme="majorHAnsi"/>
          <w:szCs w:val="20"/>
        </w:rPr>
        <w:t xml:space="preserve">Step 4: </w:t>
      </w:r>
      <w:r w:rsidR="00086665" w:rsidRPr="00113825">
        <w:rPr>
          <w:rFonts w:cstheme="majorHAnsi"/>
          <w:szCs w:val="20"/>
        </w:rPr>
        <w:t>Above-ground</w:t>
      </w:r>
      <w:r w:rsidRPr="00113825">
        <w:rPr>
          <w:rFonts w:cstheme="majorHAnsi"/>
          <w:szCs w:val="20"/>
        </w:rPr>
        <w:t xml:space="preserve"> biomass</w:t>
      </w:r>
    </w:p>
    <w:p w14:paraId="0DC42715" w14:textId="5DEE3006" w:rsidR="003E728F" w:rsidRPr="00113825" w:rsidRDefault="00FC5E18" w:rsidP="00D202AB">
      <w:pPr>
        <w:jc w:val="both"/>
        <w:rPr>
          <w:szCs w:val="20"/>
        </w:rPr>
      </w:pPr>
      <w:r w:rsidRPr="00113825">
        <w:rPr>
          <w:szCs w:val="20"/>
        </w:rPr>
        <w:t>U</w:t>
      </w:r>
      <w:r w:rsidR="003A3DB1" w:rsidRPr="00113825">
        <w:rPr>
          <w:szCs w:val="20"/>
        </w:rPr>
        <w:t>sually</w:t>
      </w:r>
      <w:r w:rsidR="009C32B2" w:rsidRPr="00113825">
        <w:rPr>
          <w:szCs w:val="20"/>
        </w:rPr>
        <w:t>,</w:t>
      </w:r>
      <w:r w:rsidRPr="00113825">
        <w:rPr>
          <w:szCs w:val="20"/>
        </w:rPr>
        <w:t xml:space="preserve"> forest inventories do not measure </w:t>
      </w:r>
      <w:r w:rsidR="00A90D80" w:rsidRPr="00113825">
        <w:rPr>
          <w:szCs w:val="20"/>
        </w:rPr>
        <w:t>crown biomass (</w:t>
      </w:r>
      <w:r w:rsidRPr="00113825">
        <w:rPr>
          <w:szCs w:val="20"/>
        </w:rPr>
        <w:t>leaves</w:t>
      </w:r>
      <w:r w:rsidR="003A3DB1" w:rsidRPr="00113825">
        <w:rPr>
          <w:szCs w:val="20"/>
        </w:rPr>
        <w:t xml:space="preserve">, twigs, </w:t>
      </w:r>
      <w:r w:rsidR="00A90D80" w:rsidRPr="00113825">
        <w:rPr>
          <w:szCs w:val="20"/>
        </w:rPr>
        <w:t xml:space="preserve">needles, </w:t>
      </w:r>
      <w:r w:rsidR="003A3DB1" w:rsidRPr="00113825">
        <w:rPr>
          <w:szCs w:val="20"/>
        </w:rPr>
        <w:t>branches</w:t>
      </w:r>
      <w:r w:rsidR="00A90D80" w:rsidRPr="00113825">
        <w:rPr>
          <w:szCs w:val="20"/>
        </w:rPr>
        <w:t>)</w:t>
      </w:r>
      <w:r w:rsidR="00E013F4" w:rsidRPr="00113825">
        <w:rPr>
          <w:szCs w:val="20"/>
        </w:rPr>
        <w:t>, but rather the diameter</w:t>
      </w:r>
      <w:r w:rsidR="00430364" w:rsidRPr="00113825">
        <w:rPr>
          <w:szCs w:val="20"/>
        </w:rPr>
        <w:t xml:space="preserve"> (at breast height)</w:t>
      </w:r>
      <w:r w:rsidR="00F62EED" w:rsidRPr="00113825">
        <w:rPr>
          <w:szCs w:val="20"/>
        </w:rPr>
        <w:t xml:space="preserve"> </w:t>
      </w:r>
      <w:r w:rsidR="00E013F4" w:rsidRPr="00113825">
        <w:rPr>
          <w:szCs w:val="20"/>
        </w:rPr>
        <w:t>and height of trees, which is then translated into “</w:t>
      </w:r>
      <w:r w:rsidR="00F83ECA" w:rsidRPr="00113825">
        <w:rPr>
          <w:szCs w:val="20"/>
        </w:rPr>
        <w:t>stem</w:t>
      </w:r>
      <w:r w:rsidR="00E013F4" w:rsidRPr="00113825">
        <w:rPr>
          <w:szCs w:val="20"/>
        </w:rPr>
        <w:t>wood”</w:t>
      </w:r>
      <w:r w:rsidR="00CF50F8" w:rsidRPr="00113825">
        <w:rPr>
          <w:szCs w:val="20"/>
        </w:rPr>
        <w:t xml:space="preserve">, i.e. the round </w:t>
      </w:r>
      <w:r w:rsidR="00A90D80" w:rsidRPr="00113825">
        <w:rPr>
          <w:szCs w:val="20"/>
        </w:rPr>
        <w:t xml:space="preserve">wood that </w:t>
      </w:r>
      <w:r w:rsidR="00CF50F8" w:rsidRPr="00113825">
        <w:rPr>
          <w:szCs w:val="20"/>
        </w:rPr>
        <w:t>result</w:t>
      </w:r>
      <w:r w:rsidR="00A90D80" w:rsidRPr="00113825">
        <w:rPr>
          <w:szCs w:val="20"/>
        </w:rPr>
        <w:t>s</w:t>
      </w:r>
      <w:r w:rsidR="00CF50F8" w:rsidRPr="00113825">
        <w:rPr>
          <w:szCs w:val="20"/>
        </w:rPr>
        <w:t xml:space="preserve"> from harvesting</w:t>
      </w:r>
      <w:r w:rsidR="00E013F4" w:rsidRPr="00113825">
        <w:rPr>
          <w:szCs w:val="20"/>
        </w:rPr>
        <w:t>. A</w:t>
      </w:r>
      <w:r w:rsidR="003A3DB1" w:rsidRPr="00113825">
        <w:rPr>
          <w:szCs w:val="20"/>
        </w:rPr>
        <w:t>s a result, the</w:t>
      </w:r>
      <w:r w:rsidR="00CF50F8" w:rsidRPr="00113825">
        <w:rPr>
          <w:szCs w:val="20"/>
        </w:rPr>
        <w:t xml:space="preserve"> above-ground biomass produced above X</w:t>
      </w:r>
      <w:r w:rsidR="006A01C8" w:rsidRPr="00113825">
        <w:rPr>
          <w:szCs w:val="20"/>
        </w:rPr>
        <w:t>-</w:t>
      </w:r>
      <w:r w:rsidR="00CF50F8" w:rsidRPr="00113825">
        <w:rPr>
          <w:szCs w:val="20"/>
        </w:rPr>
        <w:t>m</w:t>
      </w:r>
      <w:r w:rsidR="006A01C8" w:rsidRPr="00113825">
        <w:rPr>
          <w:szCs w:val="20"/>
        </w:rPr>
        <w:t>eter</w:t>
      </w:r>
      <w:r w:rsidR="00CF50F8" w:rsidRPr="00113825">
        <w:rPr>
          <w:szCs w:val="20"/>
        </w:rPr>
        <w:t xml:space="preserve"> of height (in the form of leaves, twigs, needles, branches) is </w:t>
      </w:r>
      <w:r w:rsidR="00A90D80" w:rsidRPr="00113825">
        <w:rPr>
          <w:szCs w:val="20"/>
        </w:rPr>
        <w:t>seldom</w:t>
      </w:r>
      <w:r w:rsidR="002D1D05" w:rsidRPr="00113825">
        <w:rPr>
          <w:szCs w:val="20"/>
        </w:rPr>
        <w:t xml:space="preserve"> measured but estimated</w:t>
      </w:r>
      <w:r w:rsidR="00CF50F8" w:rsidRPr="00113825">
        <w:rPr>
          <w:szCs w:val="20"/>
        </w:rPr>
        <w:t xml:space="preserve">. This implies that the </w:t>
      </w:r>
      <w:r w:rsidR="003A3DB1" w:rsidRPr="00113825">
        <w:rPr>
          <w:szCs w:val="20"/>
        </w:rPr>
        <w:t>contribution</w:t>
      </w:r>
      <w:r w:rsidR="002D1D05" w:rsidRPr="00113825">
        <w:rPr>
          <w:szCs w:val="20"/>
        </w:rPr>
        <w:t xml:space="preserve"> of these above</w:t>
      </w:r>
      <w:r w:rsidR="00CF50F8" w:rsidRPr="00113825">
        <w:rPr>
          <w:szCs w:val="20"/>
        </w:rPr>
        <w:t>-ground residues</w:t>
      </w:r>
      <w:r w:rsidR="003A3DB1" w:rsidRPr="00113825">
        <w:rPr>
          <w:szCs w:val="20"/>
        </w:rPr>
        <w:t xml:space="preserve"> is not registered in the increment raster layer</w:t>
      </w:r>
      <w:r w:rsidR="00CF50F8" w:rsidRPr="00113825">
        <w:rPr>
          <w:szCs w:val="20"/>
        </w:rPr>
        <w:t xml:space="preserve"> defined in Eq. </w:t>
      </w:r>
      <w:r w:rsidR="00F62EED" w:rsidRPr="00113825">
        <w:rPr>
          <w:szCs w:val="20"/>
        </w:rPr>
        <w:t>(</w:t>
      </w:r>
      <w:r w:rsidR="00CF50F8" w:rsidRPr="00113825">
        <w:rPr>
          <w:szCs w:val="20"/>
        </w:rPr>
        <w:t>3</w:t>
      </w:r>
      <w:r w:rsidR="00F62EED" w:rsidRPr="00113825">
        <w:rPr>
          <w:szCs w:val="20"/>
        </w:rPr>
        <w:t>)</w:t>
      </w:r>
      <w:r w:rsidR="003A3DB1" w:rsidRPr="00113825">
        <w:rPr>
          <w:szCs w:val="20"/>
        </w:rPr>
        <w:t xml:space="preserve">. </w:t>
      </w:r>
      <w:r w:rsidR="00B53F2C" w:rsidRPr="00113825">
        <w:rPr>
          <w:szCs w:val="20"/>
        </w:rPr>
        <w:t>In inventories, t</w:t>
      </w:r>
      <w:r w:rsidR="003A3DB1" w:rsidRPr="00113825">
        <w:rPr>
          <w:szCs w:val="20"/>
        </w:rPr>
        <w:t>he biomass from leaves</w:t>
      </w:r>
      <w:r w:rsidR="00A90D80" w:rsidRPr="00113825">
        <w:rPr>
          <w:szCs w:val="20"/>
        </w:rPr>
        <w:t>/needles</w:t>
      </w:r>
      <w:r w:rsidR="003A3DB1" w:rsidRPr="00113825">
        <w:rPr>
          <w:szCs w:val="20"/>
        </w:rPr>
        <w:t>, twigs</w:t>
      </w:r>
      <w:r w:rsidR="002D1D05" w:rsidRPr="00113825">
        <w:rPr>
          <w:szCs w:val="20"/>
        </w:rPr>
        <w:t xml:space="preserve"> and </w:t>
      </w:r>
      <w:r w:rsidR="003A3DB1" w:rsidRPr="00113825">
        <w:rPr>
          <w:szCs w:val="20"/>
        </w:rPr>
        <w:t>branches</w:t>
      </w:r>
      <w:r w:rsidR="00585D3A" w:rsidRPr="00113825">
        <w:rPr>
          <w:rStyle w:val="CommentReference"/>
          <w:sz w:val="20"/>
          <w:szCs w:val="20"/>
        </w:rPr>
        <w:t xml:space="preserve"> is</w:t>
      </w:r>
      <w:r w:rsidR="009C32B2" w:rsidRPr="00113825">
        <w:rPr>
          <w:szCs w:val="20"/>
        </w:rPr>
        <w:t xml:space="preserve"> </w:t>
      </w:r>
      <w:r w:rsidR="00B53F2C" w:rsidRPr="00113825">
        <w:rPr>
          <w:szCs w:val="20"/>
        </w:rPr>
        <w:t xml:space="preserve">typically estimated from the NAI </w:t>
      </w:r>
      <w:r w:rsidR="00855816" w:rsidRPr="00113825">
        <w:rPr>
          <w:szCs w:val="20"/>
        </w:rPr>
        <w:t>with</w:t>
      </w:r>
      <w:r w:rsidR="00B53F2C" w:rsidRPr="00113825">
        <w:rPr>
          <w:szCs w:val="20"/>
        </w:rPr>
        <w:t xml:space="preserve"> </w:t>
      </w:r>
      <w:r w:rsidR="003A3DB1" w:rsidRPr="00113825">
        <w:rPr>
          <w:szCs w:val="20"/>
        </w:rPr>
        <w:t>Biomass Expansion Factor</w:t>
      </w:r>
      <w:r w:rsidR="00B53F2C" w:rsidRPr="00113825">
        <w:rPr>
          <w:szCs w:val="20"/>
        </w:rPr>
        <w:t>s</w:t>
      </w:r>
      <w:r w:rsidR="003A3DB1" w:rsidRPr="00113825">
        <w:rPr>
          <w:szCs w:val="20"/>
        </w:rPr>
        <w:t xml:space="preserve"> (BEF)</w:t>
      </w:r>
      <w:r w:rsidR="00B53F2C" w:rsidRPr="00113825">
        <w:rPr>
          <w:szCs w:val="20"/>
        </w:rPr>
        <w:t xml:space="preserve">. </w:t>
      </w:r>
      <w:r w:rsidR="0044501C" w:rsidRPr="00113825">
        <w:rPr>
          <w:szCs w:val="20"/>
        </w:rPr>
        <w:t>BEF expand</w:t>
      </w:r>
      <w:r w:rsidR="00A97F27" w:rsidRPr="00113825">
        <w:rPr>
          <w:szCs w:val="20"/>
        </w:rPr>
        <w:t>s</w:t>
      </w:r>
      <w:r w:rsidR="0044501C" w:rsidRPr="00113825">
        <w:rPr>
          <w:szCs w:val="20"/>
        </w:rPr>
        <w:t xml:space="preserve"> the dry-weight of the growing stock or net annual increment to include the non-</w:t>
      </w:r>
      <w:r w:rsidR="0049214E" w:rsidRPr="00113825">
        <w:rPr>
          <w:szCs w:val="20"/>
        </w:rPr>
        <w:t>merchantable</w:t>
      </w:r>
      <w:r w:rsidR="0044501C" w:rsidRPr="00113825">
        <w:rPr>
          <w:szCs w:val="20"/>
        </w:rPr>
        <w:t xml:space="preserve"> components of the tree, stand or forest</w:t>
      </w:r>
      <w:r w:rsidR="002B5F51" w:rsidRPr="00113825">
        <w:rPr>
          <w:szCs w:val="20"/>
        </w:rPr>
        <w:t xml:space="preserve"> </w:t>
      </w:r>
      <w:r w:rsidR="0044501C" w:rsidRPr="00113825">
        <w:rPr>
          <w:szCs w:val="20"/>
        </w:rPr>
        <w:fldChar w:fldCharType="begin" w:fldLock="1"/>
      </w:r>
      <w:r w:rsidR="0089363E" w:rsidRPr="00113825">
        <w:rPr>
          <w:szCs w:val="20"/>
        </w:rPr>
        <w:instrText>ADDIN CSL_CITATION {"citationItems":[{"id":"ITEM-1","itemData":{"abstract":"A potentially valuable data source for estimating forest biomass is forest volume inventory data that are widely collected and available throughout the world. In this paper we present a general methodology for using such data to reliably estimate aboveground biomass density (AGBD) and to develop expansion factors for converting volume directly to AGBD from USDA Forest Service Forest Inventory and Analysis (FIA) data. Growing stock volume inventory data and stand tables were combined with independently developed biomass regression equations to estimate AGBD and to calculate biomass expansion factors (BEF: factors that convert volume to mass, accounting for noncommercial components) for the extensive oak-hickory and maple-beech-birch forest types of the eastern United States. Estimated aboveground biomass for both forest types ranged between 28 and 200 Mg ha-1. Expansion factors decreased from more than 4.0 at low growing stock volume to nearly 1.0 when growing stock volume was as high as 190 m³ ha-1, consistent with theoretical expectations. In stands with low AGBD (&lt; 50 Mg ha-1), small diameter trees (&lt; 10 cm diameter) contained up to 75% of the AGBD in trees ≥ 10 cm diameter; this proportion dropped to &lt; 10% for stands with AGBD &gt; 175 Mg ha-1. The similarity of our results for two major forest types suggests that they may be generally applicable for estimating AGBD from inventory data for other temperate broadleaf forests. Further, the pattern between BEF and stand volume was similar to that obtained for tropical broadleaf forests, except that tropical forests generally had larger BEFs than temperate forests at a given volume. The implications of these results suggest that a recent assessment of forest biomass in developed countries is too low.","author":[{"dropping-particle":"","family":"Schroeder","given":"Paul","non-dropping-particle":"","parse-names":false,"suffix":""},{"dropping-particle":"","family":"Brown","given":"Sandra","non-dropping-particle":"","parse-names":false,"suffix":""},{"dropping-particle":"","family":"Mo","given":"Jiangming","non-dropping-particle":"","parse-names":false,"suffix":""},{"dropping-particle":"","family":"Birdsey","given":"Richard","non-dropping-particle":"","parse-names":false,"suffix":""},{"dropping-particle":"","family":"Cieszewski","given":"Chris","non-dropping-particle":"","parse-names":false,"suffix":""}],"container-title":"Forest Science","id":"ITEM-1","issue":"3","issued":{"date-parts":[["1997"]]},"page":"424-434","title":"Biomass Estimation for Temperate Broadleaf Forests of the United States Using Inventory Data","type":"article-journal","volume":"43"},"uris":["http://www.mendeley.com/documents/?uuid=44fb5ada-f687-4d7a-b319-aab6cff65564"]}],"mendeley":{"formattedCitation":"[55]","plainTextFormattedCitation":"[55]","previouslyFormattedCitation":"(Schroeder &lt;i&gt;et al.&lt;/i&gt;, 1997)"},"properties":{"noteIndex":0},"schema":"https://github.com/citation-style-language/schema/raw/master/csl-citation.json"}</w:instrText>
      </w:r>
      <w:r w:rsidR="0044501C" w:rsidRPr="00113825">
        <w:rPr>
          <w:szCs w:val="20"/>
        </w:rPr>
        <w:fldChar w:fldCharType="separate"/>
      </w:r>
      <w:r w:rsidR="0089363E" w:rsidRPr="00113825">
        <w:rPr>
          <w:noProof/>
          <w:szCs w:val="20"/>
        </w:rPr>
        <w:t>[55]</w:t>
      </w:r>
      <w:r w:rsidR="0044501C" w:rsidRPr="00113825">
        <w:rPr>
          <w:szCs w:val="20"/>
        </w:rPr>
        <w:fldChar w:fldCharType="end"/>
      </w:r>
      <w:r w:rsidR="0044501C" w:rsidRPr="00113825">
        <w:rPr>
          <w:szCs w:val="20"/>
        </w:rPr>
        <w:t xml:space="preserve">. </w:t>
      </w:r>
      <w:r w:rsidR="00037A5C" w:rsidRPr="00113825">
        <w:rPr>
          <w:szCs w:val="20"/>
        </w:rPr>
        <w:t xml:space="preserve">Usually, the BEF </w:t>
      </w:r>
      <w:r w:rsidR="00A97F27" w:rsidRPr="00113825">
        <w:rPr>
          <w:szCs w:val="20"/>
        </w:rPr>
        <w:t>is</w:t>
      </w:r>
      <w:r w:rsidR="00037A5C" w:rsidRPr="00113825">
        <w:rPr>
          <w:szCs w:val="20"/>
        </w:rPr>
        <w:t xml:space="preserve"> considered as constant or species/area</w:t>
      </w:r>
      <w:r w:rsidR="00A97F27" w:rsidRPr="00113825">
        <w:rPr>
          <w:szCs w:val="20"/>
        </w:rPr>
        <w:t>-</w:t>
      </w:r>
      <w:r w:rsidR="00037A5C" w:rsidRPr="00113825">
        <w:rPr>
          <w:szCs w:val="20"/>
        </w:rPr>
        <w:t>specific values, but in reality</w:t>
      </w:r>
      <w:r w:rsidR="006138B6" w:rsidRPr="00113825">
        <w:rPr>
          <w:szCs w:val="20"/>
        </w:rPr>
        <w:t>,</w:t>
      </w:r>
      <w:r w:rsidR="00037A5C" w:rsidRPr="00113825">
        <w:rPr>
          <w:szCs w:val="20"/>
        </w:rPr>
        <w:t xml:space="preserve"> they are variables</w:t>
      </w:r>
      <w:r w:rsidR="006A01C8" w:rsidRPr="00113825">
        <w:rPr>
          <w:szCs w:val="20"/>
        </w:rPr>
        <w:t xml:space="preserve"> </w:t>
      </w:r>
      <w:r w:rsidR="00037A5C" w:rsidRPr="00113825">
        <w:rPr>
          <w:szCs w:val="20"/>
        </w:rPr>
        <w:fldChar w:fldCharType="begin" w:fldLock="1"/>
      </w:r>
      <w:r w:rsidR="0089363E" w:rsidRPr="00113825">
        <w:rPr>
          <w:szCs w:val="20"/>
        </w:rPr>
        <w:instrText>ADDIN CSL_CITATION {"citationItems":[{"id":"ITEM-1","itemData":{"DOI":"10.1186/1750-0680-6-6","ISSN":"1750-0680","abstract":"The Biomass Expansion Factor (BEF) and the Root-to-Shoot Ratio (R) are variables used to quantify carbon stock in forests. They are often considered as constant or species/area specific values in most studies. This study aimed at showing tree size and age dependence upon BEF and R and proposed equations to improve forest biomass and carbon stock. Data from 70 sample Pinus spp. grown in southern Brazil trees in different diameter classes and ages were used to demonstrate the correlation between BEF and R, and forest inventory data, such as DBH, tree height and age. Total dry biomass, carbon stock and CO2 equivalent were simulated using the IPCC default values of BEF and R, corresponding average calculated from data used in this study, as well as the values estimated by regression equations. The mean values of BEF and R calculated in this study were 1.47 and 0.17, respectively. The relationship between BEF and R and the tree measurement variables were inversely related with negative exponential behavior. Simulations indicated that use of fixed values of BEF and R, either IPCC default or current average data, may lead to unreliable estimates of carbon stock inventories and CDM projects. It was concluded that accounting for the variations in BEF and R and using regression equations to relate them to DBH, tree height and age, is fundamental in obtaining reliable estimates of forest tree biomass, carbon sink and CO2 equivalent.","author":[{"dropping-particle":"","family":"Sanquetta","given":"Carlos R.","non-dropping-particle":"","parse-names":false,"suffix":""},{"dropping-particle":"","family":"Corte","given":"Ana P.D.","non-dropping-particle":"","parse-names":false,"suffix":""},{"dropping-particle":"","family":"Silva","given":"Fernando","non-dropping-particle":"da","parse-names":false,"suffix":""}],"container-title":"Carbon Balance and Management","id":"ITEM-1","issue":"1","issued":{"date-parts":[["2011","12","24"]]},"page":"6","title":"Biomass expansion factor and root-to-shoot ratio for Pinus in Brazil","type":"article-journal","volume":"6"},"uris":["http://www.mendeley.com/documents/?uuid=5ada53f7-3da3-4485-89d1-880622fe8f06"]}],"mendeley":{"formattedCitation":"[56]","plainTextFormattedCitation":"[56]","previouslyFormattedCitation":"(Sanquetta, Corte and da Silva, 2011)"},"properties":{"noteIndex":0},"schema":"https://github.com/citation-style-language/schema/raw/master/csl-citation.json"}</w:instrText>
      </w:r>
      <w:r w:rsidR="00037A5C" w:rsidRPr="00113825">
        <w:rPr>
          <w:szCs w:val="20"/>
        </w:rPr>
        <w:fldChar w:fldCharType="separate"/>
      </w:r>
      <w:r w:rsidR="0089363E" w:rsidRPr="00113825">
        <w:rPr>
          <w:noProof/>
          <w:szCs w:val="20"/>
        </w:rPr>
        <w:t>[56]</w:t>
      </w:r>
      <w:r w:rsidR="00037A5C" w:rsidRPr="00113825">
        <w:rPr>
          <w:szCs w:val="20"/>
        </w:rPr>
        <w:fldChar w:fldCharType="end"/>
      </w:r>
      <w:r w:rsidR="00037A5C" w:rsidRPr="00113825">
        <w:rPr>
          <w:szCs w:val="20"/>
        </w:rPr>
        <w:t xml:space="preserve">. </w:t>
      </w:r>
    </w:p>
    <w:p w14:paraId="24846742" w14:textId="407B4F79" w:rsidR="00A01148" w:rsidRPr="00113825" w:rsidRDefault="00F52DD0" w:rsidP="00D202AB">
      <w:pPr>
        <w:jc w:val="both"/>
        <w:rPr>
          <w:szCs w:val="20"/>
        </w:rPr>
      </w:pPr>
      <w:r w:rsidRPr="00113825">
        <w:rPr>
          <w:szCs w:val="20"/>
        </w:rPr>
        <w:lastRenderedPageBreak/>
        <w:t>Subsequently, in the final step for estimation of PFRs, t</w:t>
      </w:r>
      <w:r w:rsidR="00A01148" w:rsidRPr="00113825">
        <w:rPr>
          <w:szCs w:val="20"/>
        </w:rPr>
        <w:t xml:space="preserve">he raster of biomass increment in foliage and branches is created by </w:t>
      </w:r>
      <w:r w:rsidR="005F40D0" w:rsidRPr="00113825">
        <w:rPr>
          <w:szCs w:val="20"/>
        </w:rPr>
        <w:t>fusing the stemwood increment raster</w:t>
      </w:r>
      <w:r w:rsidR="003C182F" w:rsidRPr="00113825">
        <w:rPr>
          <w:szCs w:val="20"/>
        </w:rPr>
        <w:t xml:space="preserve"> (SW_NAI_t)</w:t>
      </w:r>
      <w:r w:rsidR="005F40D0" w:rsidRPr="00113825">
        <w:rPr>
          <w:szCs w:val="20"/>
        </w:rPr>
        <w:t xml:space="preserve"> with related BEF for above-ground biomass as per Eq. (4)</w:t>
      </w:r>
      <w:r w:rsidR="00727060" w:rsidRPr="00113825">
        <w:rPr>
          <w:szCs w:val="20"/>
        </w:rPr>
        <w:t>. In Eq. (4), the stemwood increment is subtracted from its product with BEF to produce a raster layer that only includes the information on above-ground forestry residues.</w:t>
      </w:r>
    </w:p>
    <w:p w14:paraId="6BD7157F" w14:textId="1A51498D" w:rsidR="00727060" w:rsidRPr="00113825" w:rsidRDefault="005F40D0" w:rsidP="002B5F51">
      <w:pPr>
        <w:jc w:val="right"/>
        <w:rPr>
          <w:rFonts w:cstheme="majorHAnsi"/>
          <w:szCs w:val="20"/>
        </w:rPr>
      </w:pPr>
      <w:r w:rsidRPr="00113825">
        <w:rPr>
          <w:rFonts w:ascii="Cambria Math" w:hAnsi="Cambria Math"/>
          <w:i/>
          <w:szCs w:val="20"/>
          <w:lang w:val="fr-FR"/>
        </w:rPr>
        <w:t xml:space="preserve">AGFR_AAI_t = (SW_NAI_t </w:t>
      </w:r>
      <w:r w:rsidRPr="00113825">
        <w:rPr>
          <w:rFonts w:ascii="Cambria Math" w:hAnsi="Cambria Math" w:hint="eastAsia"/>
          <w:i/>
          <w:szCs w:val="20"/>
          <w:lang w:val="fr-FR"/>
        </w:rPr>
        <w:t>×</w:t>
      </w:r>
      <w:r w:rsidRPr="00113825">
        <w:rPr>
          <w:rFonts w:ascii="Cambria Math" w:hAnsi="Cambria Math"/>
          <w:i/>
          <w:szCs w:val="20"/>
          <w:lang w:val="fr-FR"/>
        </w:rPr>
        <w:t xml:space="preserve"> BEF_Above) </w:t>
      </w:r>
      <w:r w:rsidRPr="00113825">
        <w:rPr>
          <w:rFonts w:ascii="Cambria Math" w:hAnsi="Cambria Math" w:hint="eastAsia"/>
          <w:i/>
          <w:szCs w:val="20"/>
          <w:lang w:val="fr-FR"/>
        </w:rPr>
        <w:t>–</w:t>
      </w:r>
      <w:r w:rsidRPr="00113825">
        <w:rPr>
          <w:rFonts w:ascii="Cambria Math" w:hAnsi="Cambria Math"/>
          <w:i/>
          <w:szCs w:val="20"/>
          <w:lang w:val="fr-FR"/>
        </w:rPr>
        <w:t xml:space="preserve"> SW_NAI_t</w:t>
      </w:r>
      <w:r w:rsidRPr="00113825">
        <w:rPr>
          <w:rFonts w:ascii="Cambria Math" w:hAnsi="Cambria Math"/>
          <w:i/>
          <w:szCs w:val="20"/>
          <w:lang w:val="fr-FR"/>
        </w:rPr>
        <w:tab/>
      </w:r>
      <w:r w:rsidRPr="00113825">
        <w:rPr>
          <w:rFonts w:ascii="Cambria Math" w:hAnsi="Cambria Math"/>
          <w:i/>
          <w:szCs w:val="20"/>
          <w:lang w:val="fr-FR"/>
        </w:rPr>
        <w:tab/>
      </w:r>
      <w:r w:rsidRPr="00113825">
        <w:rPr>
          <w:rFonts w:ascii="Cambria Math" w:hAnsi="Cambria Math"/>
          <w:szCs w:val="20"/>
          <w:lang w:val="fr-FR"/>
        </w:rPr>
        <w:t xml:space="preserve"> </w:t>
      </w:r>
      <w:proofErr w:type="spellStart"/>
      <w:r w:rsidRPr="00113825">
        <w:rPr>
          <w:rFonts w:cstheme="majorHAnsi"/>
          <w:szCs w:val="20"/>
          <w:lang w:val="fr-FR"/>
        </w:rPr>
        <w:t>Eq</w:t>
      </w:r>
      <w:proofErr w:type="spellEnd"/>
      <w:r w:rsidRPr="00113825">
        <w:rPr>
          <w:rFonts w:cstheme="majorHAnsi"/>
          <w:szCs w:val="20"/>
          <w:lang w:val="fr-FR"/>
        </w:rPr>
        <w:t xml:space="preserve">. </w:t>
      </w:r>
      <w:r w:rsidRPr="00113825">
        <w:rPr>
          <w:rFonts w:cstheme="majorHAnsi"/>
          <w:szCs w:val="20"/>
        </w:rPr>
        <w:t>(4)</w:t>
      </w:r>
    </w:p>
    <w:p w14:paraId="59A19532" w14:textId="6DEAFD32" w:rsidR="005F40D0" w:rsidRPr="00113825" w:rsidRDefault="005F40D0" w:rsidP="005F40D0">
      <w:pPr>
        <w:jc w:val="both"/>
        <w:rPr>
          <w:rFonts w:cstheme="majorHAnsi"/>
          <w:szCs w:val="20"/>
        </w:rPr>
      </w:pPr>
      <w:r w:rsidRPr="00113825">
        <w:rPr>
          <w:rFonts w:cstheme="majorHAnsi"/>
          <w:szCs w:val="20"/>
        </w:rPr>
        <w:t xml:space="preserve">Where, </w:t>
      </w:r>
      <w:r w:rsidRPr="00113825">
        <w:rPr>
          <w:rFonts w:cstheme="majorHAnsi"/>
          <w:i/>
          <w:szCs w:val="20"/>
        </w:rPr>
        <w:t>AGFR_AAI_t</w:t>
      </w:r>
      <w:r w:rsidRPr="00113825">
        <w:rPr>
          <w:rFonts w:cstheme="majorHAnsi"/>
          <w:szCs w:val="20"/>
        </w:rPr>
        <w:t xml:space="preserve"> is the raster of average annual increment in biomass from </w:t>
      </w:r>
      <w:r w:rsidR="00086665" w:rsidRPr="00113825">
        <w:rPr>
          <w:rFonts w:cstheme="majorHAnsi"/>
          <w:szCs w:val="20"/>
        </w:rPr>
        <w:t>above-ground</w:t>
      </w:r>
      <w:r w:rsidRPr="00113825">
        <w:rPr>
          <w:rFonts w:cstheme="majorHAnsi"/>
          <w:szCs w:val="20"/>
        </w:rPr>
        <w:t xml:space="preserve"> forestry residues (</w:t>
      </w:r>
      <w:r w:rsidR="006C1969" w:rsidRPr="00113825">
        <w:rPr>
          <w:rFonts w:cstheme="majorHAnsi"/>
          <w:szCs w:val="20"/>
        </w:rPr>
        <w:t>Mg</w:t>
      </w:r>
      <w:r w:rsidR="006C1969" w:rsidRPr="00113825">
        <w:rPr>
          <w:rFonts w:cstheme="majorHAnsi"/>
          <w:szCs w:val="20"/>
          <w:vertAlign w:val="subscript"/>
        </w:rPr>
        <w:t xml:space="preserve">dry </w:t>
      </w:r>
      <w:r w:rsidRPr="00113825">
        <w:rPr>
          <w:rFonts w:cstheme="majorHAnsi"/>
          <w:szCs w:val="20"/>
          <w:vertAlign w:val="subscript"/>
        </w:rPr>
        <w:t>matter</w:t>
      </w:r>
      <w:r w:rsidRPr="00113825">
        <w:rPr>
          <w:rFonts w:cstheme="majorHAnsi"/>
          <w:szCs w:val="20"/>
        </w:rPr>
        <w:t xml:space="preserve"> </w:t>
      </w:r>
      <w:r w:rsidR="006E3DB2" w:rsidRPr="00113825">
        <w:rPr>
          <w:rFonts w:cstheme="majorHAnsi"/>
          <w:szCs w:val="20"/>
        </w:rPr>
        <w:t>y</w:t>
      </w:r>
      <w:r w:rsidRPr="00113825">
        <w:rPr>
          <w:rFonts w:cstheme="majorHAnsi"/>
          <w:szCs w:val="20"/>
          <w:vertAlign w:val="superscript"/>
        </w:rPr>
        <w:t>-1</w:t>
      </w:r>
      <w:r w:rsidR="006A5A46" w:rsidRPr="00113825">
        <w:rPr>
          <w:rFonts w:cstheme="majorHAnsi"/>
          <w:szCs w:val="20"/>
        </w:rPr>
        <w:t xml:space="preserve">), </w:t>
      </w:r>
      <w:r w:rsidR="001D0A0F" w:rsidRPr="00113825">
        <w:rPr>
          <w:rFonts w:cstheme="majorHAnsi"/>
          <w:szCs w:val="20"/>
        </w:rPr>
        <w:t xml:space="preserve">and </w:t>
      </w:r>
      <w:r w:rsidR="006A5A46" w:rsidRPr="00113825">
        <w:rPr>
          <w:rFonts w:cstheme="majorHAnsi"/>
          <w:i/>
          <w:szCs w:val="20"/>
        </w:rPr>
        <w:t>BEF_</w:t>
      </w:r>
      <w:r w:rsidR="00CD7A10" w:rsidRPr="00113825">
        <w:rPr>
          <w:rFonts w:cstheme="majorHAnsi"/>
          <w:i/>
          <w:szCs w:val="20"/>
        </w:rPr>
        <w:t>A</w:t>
      </w:r>
      <w:r w:rsidRPr="00113825">
        <w:rPr>
          <w:rFonts w:cstheme="majorHAnsi"/>
          <w:i/>
          <w:szCs w:val="20"/>
        </w:rPr>
        <w:t>bove</w:t>
      </w:r>
      <w:r w:rsidRPr="00113825">
        <w:rPr>
          <w:rFonts w:cstheme="majorHAnsi"/>
          <w:szCs w:val="20"/>
        </w:rPr>
        <w:t xml:space="preserve"> is the average biomass expansion factor for conversion of annual net increment to </w:t>
      </w:r>
      <w:r w:rsidR="00086665" w:rsidRPr="00113825">
        <w:rPr>
          <w:rFonts w:cstheme="majorHAnsi"/>
          <w:szCs w:val="20"/>
        </w:rPr>
        <w:t>above-ground</w:t>
      </w:r>
      <w:r w:rsidRPr="00113825">
        <w:rPr>
          <w:rFonts w:cstheme="majorHAnsi"/>
          <w:szCs w:val="20"/>
        </w:rPr>
        <w:t xml:space="preserve"> tree biomass increment.</w:t>
      </w:r>
      <w:r w:rsidR="00FC30D9" w:rsidRPr="00113825">
        <w:rPr>
          <w:rFonts w:cstheme="majorHAnsi"/>
          <w:szCs w:val="20"/>
        </w:rPr>
        <w:t xml:space="preserve"> </w:t>
      </w:r>
      <w:r w:rsidR="00037A5C" w:rsidRPr="00113825">
        <w:rPr>
          <w:rFonts w:cstheme="majorHAnsi"/>
          <w:szCs w:val="20"/>
        </w:rPr>
        <w:t>Here, the nota</w:t>
      </w:r>
      <w:r w:rsidR="00F62EED" w:rsidRPr="00113825">
        <w:rPr>
          <w:rFonts w:cstheme="majorHAnsi"/>
          <w:szCs w:val="20"/>
        </w:rPr>
        <w:t>tion BEF_Above is simply used in</w:t>
      </w:r>
      <w:r w:rsidR="00037A5C" w:rsidRPr="00113825">
        <w:rPr>
          <w:rFonts w:cstheme="majorHAnsi"/>
          <w:szCs w:val="20"/>
        </w:rPr>
        <w:t xml:space="preserve"> conformity with the notation used in </w:t>
      </w:r>
      <w:r w:rsidR="006138B6" w:rsidRPr="00113825">
        <w:rPr>
          <w:rFonts w:cstheme="majorHAnsi"/>
          <w:szCs w:val="20"/>
        </w:rPr>
        <w:t xml:space="preserve">the </w:t>
      </w:r>
      <w:r w:rsidR="006A01C8" w:rsidRPr="00113825">
        <w:rPr>
          <w:rFonts w:cstheme="majorHAnsi"/>
          <w:szCs w:val="20"/>
        </w:rPr>
        <w:t xml:space="preserve">BEE technique by </w:t>
      </w:r>
      <w:r w:rsidR="008D002D" w:rsidRPr="00113825">
        <w:rPr>
          <w:szCs w:val="20"/>
        </w:rPr>
        <w:t xml:space="preserve">Vis and Van den Berg </w:t>
      </w:r>
      <w:r w:rsidR="00037A5C" w:rsidRPr="00113825">
        <w:rPr>
          <w:rFonts w:cstheme="majorHAnsi"/>
          <w:szCs w:val="20"/>
        </w:rPr>
        <w:fldChar w:fldCharType="begin" w:fldLock="1"/>
      </w:r>
      <w:r w:rsidR="0089363E" w:rsidRPr="00113825">
        <w:rPr>
          <w:rFonts w:cstheme="majorHAnsi"/>
          <w:szCs w:val="20"/>
        </w:rPr>
        <w:instrText>ADDIN CSL_CITATION {"citationItems":[{"id":"ITEM-1","itemData":{"author":[{"dropping-particle":"","family":"Vis","given":"M W","non-dropping-particle":"","parse-names":false,"suffix":""},{"dropping-particle":"","family":"Berg","given":"D","non-dropping-particle":"van den","parse-names":false,"suffix":""},{"dropping-particle":"","family":"Al.","given":"Et","non-dropping-particle":"","parse-names":false,"suffix":""}],"id":"ITEM-1","issued":{"date-parts":[["2010"]]},"page":"1-220","title":"Best Practices and Methods Handbook","type":"article-journal","volume":"D 5.3"},"uris":["http://www.mendeley.com/documents/?uuid=2bc8964b-0187-4f6d-a6f9-71cb259307fa"]}],"mendeley":{"formattedCitation":"[29]","plainTextFormattedCitation":"[29]","previouslyFormattedCitation":"(Vis, van den Berg and Al., 2010)"},"properties":{"noteIndex":0},"schema":"https://github.com/citation-style-language/schema/raw/master/csl-citation.json"}</w:instrText>
      </w:r>
      <w:r w:rsidR="00037A5C" w:rsidRPr="00113825">
        <w:rPr>
          <w:rFonts w:cstheme="majorHAnsi"/>
          <w:szCs w:val="20"/>
        </w:rPr>
        <w:fldChar w:fldCharType="separate"/>
      </w:r>
      <w:r w:rsidR="0089363E" w:rsidRPr="00113825">
        <w:rPr>
          <w:rFonts w:cstheme="majorHAnsi"/>
          <w:noProof/>
          <w:szCs w:val="20"/>
        </w:rPr>
        <w:t>[29]</w:t>
      </w:r>
      <w:r w:rsidR="00037A5C" w:rsidRPr="00113825">
        <w:rPr>
          <w:rFonts w:cstheme="majorHAnsi"/>
          <w:szCs w:val="20"/>
        </w:rPr>
        <w:fldChar w:fldCharType="end"/>
      </w:r>
      <w:r w:rsidR="00037A5C" w:rsidRPr="00113825">
        <w:rPr>
          <w:rFonts w:cstheme="majorHAnsi"/>
          <w:szCs w:val="20"/>
        </w:rPr>
        <w:t xml:space="preserve">. </w:t>
      </w:r>
      <w:r w:rsidR="00FC30D9" w:rsidRPr="00113825">
        <w:rPr>
          <w:rFonts w:cstheme="majorHAnsi"/>
          <w:szCs w:val="20"/>
        </w:rPr>
        <w:t xml:space="preserve">According to </w:t>
      </w:r>
      <w:proofErr w:type="spellStart"/>
      <w:r w:rsidR="00FC30D9" w:rsidRPr="00113825">
        <w:rPr>
          <w:rFonts w:cstheme="majorHAnsi"/>
          <w:szCs w:val="20"/>
        </w:rPr>
        <w:t>Schoene</w:t>
      </w:r>
      <w:proofErr w:type="spellEnd"/>
      <w:r w:rsidR="00FC30D9" w:rsidRPr="00113825">
        <w:rPr>
          <w:rFonts w:cstheme="majorHAnsi"/>
          <w:szCs w:val="20"/>
        </w:rPr>
        <w:t xml:space="preserve"> et al. </w:t>
      </w:r>
      <w:r w:rsidR="00E0670D" w:rsidRPr="00113825">
        <w:rPr>
          <w:rFonts w:cstheme="majorHAnsi"/>
          <w:szCs w:val="20"/>
        </w:rPr>
        <w:fldChar w:fldCharType="begin" w:fldLock="1"/>
      </w:r>
      <w:r w:rsidR="0089363E" w:rsidRPr="00113825">
        <w:rPr>
          <w:rFonts w:cstheme="majorHAnsi"/>
          <w:szCs w:val="20"/>
        </w:rPr>
        <w:instrText>ADDIN CSL_CITATION {"citationItems":[{"id":"ITEM-1","itemData":{"ISSN":"07173202","abstract":"The United Nations Framework Convention on Climate Change and the Kyoto Protocol explicitly recognize the important role of forests in global climate change and, therefore, commit all Parties to protect them and manage them sustainably. After all, the natural growth and expansion of forests buffer the Earths atmosphere almost as effectively as do the oceans against ever steeper leaps in CO2 concentrations from our emissions. At present, forests still offer the only practicable means of removing some excess carbon from the atmosphere, an ability reflected simply and convincingly in the famous saw-tooth curve of CO2 concentrations from Mauna Loa. According to FAOs most recent Global Forest Resource Assessment, FRA 2005, forests safeguard more carbon, in biomass and soils, than the entire Earths atmosphere. However, this carbon store is dwindling. During the closing decade of the last millennium, roughly13 Mha of forests disappeared annually. Sooner or later, most of the carbon, an average of roughly 100 t/ha, which is presently tucked away safely in trees and soils, will find its way into the atmosphere, thereby enhancing global warming. Deforestation thus contributes about one quarter of all anthropogenic carbon emissions. Deforestation continues to haunt mankind. In spite of some twenty years of worldwide activism against deforestation, we are presently at bay. Finally, the global community has come to see this old acquaintance in new light; we cannot succeed in abating climate change without seriously tackling deforestation. As countries debate and negotiate commitments, measures and incentives for the next commitment periods, reducing emissions from deforestation in developing countries is one of the principal challenges. But what exactly do we mean by deforestation? Which forests are considered? Is deforestation the issue, or is it net forest area loss? Could countries offset some deforestation by afforestation? Surely, emissions from attrition of growing- and carbon stocks within forests by unsustainable use, at present practically unknown, can be as harmful and perhaps as plentiful as those from some forest conversions? Can we afford to ignore them in the climate change context? How do we deal with accrual of carbon stocks in remaining forests through natural growth, through silvicultural enhancement or even through CO2 enrichment of the air? It is admittedly a wide leap from the broad issue of global deforestations impacts on climates to hairsplit…","author":[{"dropping-particle":"","family":"Schoene","given":"D.","non-dropping-particle":"","parse-names":false,"suffix":""},{"dropping-particle":"","family":"Killmann","given":"W.","non-dropping-particle":"","parse-names":false,"suffix":""},{"dropping-particle":"","family":"Lupke","given":"H.","non-dropping-particle":"Von","parse-names":false,"suffix":""},{"dropping-particle":"","family":"LoycheWilkie","given":"M.","non-dropping-particle":"","parse-names":false,"suffix":""}],"container-title":"FAO report","id":"ITEM-1","issue":"5","issued":{"date-parts":[["2007"]]},"page":"1-26","title":"Definitional issues related to reducing emission from deforestation in developing countries","type":"article-journal"},"uris":["http://www.mendeley.com/documents/?uuid=51cd3ce6-6993-498d-a672-55553ee3f966"]}],"mendeley":{"formattedCitation":"[57]","plainTextFormattedCitation":"[57]","previouslyFormattedCitation":"(Schoene &lt;i&gt;et al.&lt;/i&gt;, 2007)"},"properties":{"noteIndex":0},"schema":"https://github.com/citation-style-language/schema/raw/master/csl-citation.json"}</w:instrText>
      </w:r>
      <w:r w:rsidR="00E0670D" w:rsidRPr="00113825">
        <w:rPr>
          <w:rFonts w:cstheme="majorHAnsi"/>
          <w:szCs w:val="20"/>
        </w:rPr>
        <w:fldChar w:fldCharType="separate"/>
      </w:r>
      <w:r w:rsidR="0089363E" w:rsidRPr="00113825">
        <w:rPr>
          <w:rFonts w:cstheme="majorHAnsi"/>
          <w:noProof/>
          <w:szCs w:val="20"/>
        </w:rPr>
        <w:t>[57]</w:t>
      </w:r>
      <w:r w:rsidR="00E0670D" w:rsidRPr="00113825">
        <w:rPr>
          <w:rFonts w:cstheme="majorHAnsi"/>
          <w:szCs w:val="20"/>
        </w:rPr>
        <w:fldChar w:fldCharType="end"/>
      </w:r>
      <w:r w:rsidR="00FC30D9" w:rsidRPr="00113825">
        <w:rPr>
          <w:rFonts w:cstheme="majorHAnsi"/>
          <w:szCs w:val="20"/>
        </w:rPr>
        <w:t>,</w:t>
      </w:r>
      <w:r w:rsidR="006A01C8" w:rsidRPr="00113825">
        <w:rPr>
          <w:rFonts w:cstheme="majorHAnsi"/>
          <w:szCs w:val="20"/>
        </w:rPr>
        <w:t xml:space="preserve"> </w:t>
      </w:r>
      <w:r w:rsidR="00FC30D9" w:rsidRPr="00113825">
        <w:rPr>
          <w:rFonts w:cstheme="majorHAnsi"/>
          <w:szCs w:val="20"/>
        </w:rPr>
        <w:t>BEF, as withdrawn from the IPCC 2006 guideline</w:t>
      </w:r>
      <w:r w:rsidR="007B5708" w:rsidRPr="00113825">
        <w:rPr>
          <w:rFonts w:cstheme="majorHAnsi"/>
          <w:szCs w:val="20"/>
        </w:rPr>
        <w:t xml:space="preserve"> (Specifically, Table 3A.1.10) is for estimating the</w:t>
      </w:r>
      <w:r w:rsidR="00FC30D9" w:rsidRPr="00113825">
        <w:rPr>
          <w:rFonts w:cstheme="majorHAnsi"/>
          <w:szCs w:val="20"/>
        </w:rPr>
        <w:t xml:space="preserve"> whole tree above-ground biomass only.</w:t>
      </w:r>
      <w:r w:rsidRPr="00113825">
        <w:rPr>
          <w:rFonts w:cstheme="majorHAnsi"/>
          <w:szCs w:val="20"/>
        </w:rPr>
        <w:t xml:space="preserve"> </w:t>
      </w:r>
      <w:r w:rsidR="00037A5C" w:rsidRPr="00113825">
        <w:rPr>
          <w:rFonts w:cstheme="majorHAnsi"/>
          <w:szCs w:val="20"/>
        </w:rPr>
        <w:t xml:space="preserve">The values for BEF represent averages for average annual increment or age </w:t>
      </w:r>
      <w:r w:rsidR="00770798" w:rsidRPr="00113825">
        <w:rPr>
          <w:rFonts w:cstheme="majorHAnsi"/>
          <w:szCs w:val="20"/>
        </w:rPr>
        <w:t xml:space="preserve">and is provided as a constant parameter with </w:t>
      </w:r>
      <w:r w:rsidR="00037A5C" w:rsidRPr="00113825">
        <w:rPr>
          <w:rFonts w:cstheme="majorHAnsi"/>
          <w:szCs w:val="20"/>
        </w:rPr>
        <w:t xml:space="preserve">ranges. The young forest with low growing stock is represented in the upper limit of the range and the lower limit of the range approximates the mature forest with high growing stock. </w:t>
      </w:r>
    </w:p>
    <w:p w14:paraId="2F7879B8" w14:textId="4C79ED17" w:rsidR="008574A9" w:rsidRPr="00113825" w:rsidRDefault="0008046E" w:rsidP="007304A1">
      <w:pPr>
        <w:pStyle w:val="Heading2"/>
      </w:pPr>
      <w:r w:rsidRPr="00113825">
        <w:t>3.</w:t>
      </w:r>
      <w:r w:rsidR="00C64797" w:rsidRPr="00113825">
        <w:t>2</w:t>
      </w:r>
      <w:r w:rsidR="008574A9" w:rsidRPr="00113825">
        <w:t xml:space="preserve"> Uncertainty assessment and propagation:</w:t>
      </w:r>
    </w:p>
    <w:p w14:paraId="2CE402E8" w14:textId="0BC74B72" w:rsidR="00AE1667" w:rsidRPr="00113825" w:rsidRDefault="00454A32" w:rsidP="008574A9">
      <w:pPr>
        <w:jc w:val="both"/>
        <w:rPr>
          <w:szCs w:val="20"/>
        </w:rPr>
      </w:pPr>
      <w:r w:rsidRPr="00113825">
        <w:rPr>
          <w:szCs w:val="20"/>
        </w:rPr>
        <w:t>Usually, environmental data for large geographical scale</w:t>
      </w:r>
      <w:r w:rsidR="001D0A0F" w:rsidRPr="00113825">
        <w:rPr>
          <w:szCs w:val="20"/>
        </w:rPr>
        <w:t>s</w:t>
      </w:r>
      <w:r w:rsidRPr="00113825">
        <w:rPr>
          <w:szCs w:val="20"/>
        </w:rPr>
        <w:t xml:space="preserve"> are assessed by sample-based techniques, as </w:t>
      </w:r>
      <w:r w:rsidR="00A97F27" w:rsidRPr="00113825">
        <w:rPr>
          <w:szCs w:val="20"/>
        </w:rPr>
        <w:t xml:space="preserve">the </w:t>
      </w:r>
      <w:r w:rsidRPr="00113825">
        <w:rPr>
          <w:szCs w:val="20"/>
        </w:rPr>
        <w:t xml:space="preserve">accounting </w:t>
      </w:r>
      <w:r w:rsidR="006929E2" w:rsidRPr="00113825">
        <w:rPr>
          <w:szCs w:val="20"/>
        </w:rPr>
        <w:t>of each</w:t>
      </w:r>
      <w:r w:rsidR="00A97F27" w:rsidRPr="00113825">
        <w:rPr>
          <w:szCs w:val="20"/>
        </w:rPr>
        <w:t xml:space="preserve"> </w:t>
      </w:r>
      <w:r w:rsidRPr="00113825">
        <w:rPr>
          <w:szCs w:val="20"/>
        </w:rPr>
        <w:t xml:space="preserve">individual </w:t>
      </w:r>
      <w:r w:rsidR="006929E2" w:rsidRPr="00113825">
        <w:rPr>
          <w:szCs w:val="20"/>
        </w:rPr>
        <w:t xml:space="preserve">tree </w:t>
      </w:r>
      <w:r w:rsidRPr="00113825">
        <w:rPr>
          <w:szCs w:val="20"/>
        </w:rPr>
        <w:t xml:space="preserve">population is not </w:t>
      </w:r>
      <w:r w:rsidR="006929E2" w:rsidRPr="00113825">
        <w:rPr>
          <w:szCs w:val="20"/>
        </w:rPr>
        <w:t xml:space="preserve">economical or technically </w:t>
      </w:r>
      <w:r w:rsidRPr="00113825">
        <w:rPr>
          <w:szCs w:val="20"/>
        </w:rPr>
        <w:t>feasible. Statistically, in a sample-based survey</w:t>
      </w:r>
      <w:r w:rsidR="006138B6" w:rsidRPr="00113825">
        <w:rPr>
          <w:szCs w:val="20"/>
        </w:rPr>
        <w:t>,</w:t>
      </w:r>
      <w:r w:rsidRPr="00113825">
        <w:rPr>
          <w:szCs w:val="20"/>
        </w:rPr>
        <w:t xml:space="preserve"> a subset of sample</w:t>
      </w:r>
      <w:r w:rsidR="006929E2" w:rsidRPr="00113825">
        <w:rPr>
          <w:szCs w:val="20"/>
        </w:rPr>
        <w:t>s</w:t>
      </w:r>
      <w:r w:rsidRPr="00113825">
        <w:rPr>
          <w:szCs w:val="20"/>
        </w:rPr>
        <w:t xml:space="preserve"> from the population is used to estimate the population parameters based on probability theory. These estimated parameters may differ from the true values as they might be </w:t>
      </w:r>
      <w:r w:rsidR="006929E2" w:rsidRPr="00113825">
        <w:rPr>
          <w:szCs w:val="20"/>
        </w:rPr>
        <w:t xml:space="preserve">affected by </w:t>
      </w:r>
      <w:r w:rsidRPr="00113825">
        <w:rPr>
          <w:szCs w:val="20"/>
        </w:rPr>
        <w:t xml:space="preserve">errors such as; </w:t>
      </w:r>
      <w:r w:rsidRPr="00113825">
        <w:rPr>
          <w:i/>
          <w:szCs w:val="20"/>
        </w:rPr>
        <w:t xml:space="preserve">sampling errors, assessment errors including classification and measurement errors, prediction errors induced by models, and non-statistical errors </w:t>
      </w:r>
      <w:r w:rsidRPr="00113825">
        <w:rPr>
          <w:i/>
          <w:szCs w:val="20"/>
        </w:rPr>
        <w:fldChar w:fldCharType="begin" w:fldLock="1"/>
      </w:r>
      <w:r w:rsidR="0089363E" w:rsidRPr="00113825">
        <w:rPr>
          <w:i/>
          <w:szCs w:val="20"/>
        </w:rPr>
        <w:instrText>ADDIN CSL_CITATION {"citationItems":[{"id":"ITEM-1","itemData":{"ISBN":"9211167353","abstract":"The Report Forest Resources of Europe, CIS, North America, Australia, Japan and New Zealand (TBFRA-2000) presents the most recent and the best possible information on the forest resources of the fifty-five industralized temperate/boreal countries, covering practically all aspects and functions of the forest. It presents validated national statistical data, adjusted to the TBFRA standards, graphs, tabular and textual information and analysis in the following specific thematic areas: areas of forest and other wooded land, ownership and management status, wood supply and carbon sequestration, biological diversity and environmental protection, forest condition and damage, and protective and socioeconomic functions. It also includes a section with an analysis of the reliability and comparability of the TBFRA data, an Executive Summary, as well as the methodological components of the study, including the enquiry, and terms and definitions. ECE","author":[{"dropping-particle":"","family":"FAO","given":"","non-dropping-particle":"","parse-names":false,"suffix":""}],"container-title":"Geneva Timber and Forest Study Papers","id":"ITEM-1","issue":"17","issued":{"date-parts":[["2000"]]},"number-of-pages":"467","title":"Forest Resources of Europe, CIS, North America, Australia, Japan and New Zealand (TBFRA-2000)","type":"book","volume":"81"},"uris":["http://www.mendeley.com/documents/?uuid=172ba3ad-2daa-459d-ab02-6bca9dcfdfe3"]}],"mendeley":{"formattedCitation":"[58]","plainTextFormattedCitation":"[58]","previouslyFormattedCitation":"(FAO, 2000)"},"properties":{"noteIndex":0},"schema":"https://github.com/citation-style-language/schema/raw/master/csl-citation.json"}</w:instrText>
      </w:r>
      <w:r w:rsidRPr="00113825">
        <w:rPr>
          <w:i/>
          <w:szCs w:val="20"/>
        </w:rPr>
        <w:fldChar w:fldCharType="separate"/>
      </w:r>
      <w:r w:rsidR="0089363E" w:rsidRPr="00113825">
        <w:rPr>
          <w:noProof/>
          <w:szCs w:val="20"/>
        </w:rPr>
        <w:t>[58]</w:t>
      </w:r>
      <w:r w:rsidRPr="00113825">
        <w:rPr>
          <w:i/>
          <w:szCs w:val="20"/>
        </w:rPr>
        <w:fldChar w:fldCharType="end"/>
      </w:r>
      <w:r w:rsidRPr="00113825">
        <w:rPr>
          <w:i/>
          <w:szCs w:val="20"/>
        </w:rPr>
        <w:t>.</w:t>
      </w:r>
      <w:r w:rsidRPr="00113825">
        <w:rPr>
          <w:szCs w:val="20"/>
        </w:rPr>
        <w:t xml:space="preserve"> Such errors are common to all assessment</w:t>
      </w:r>
      <w:r w:rsidR="006A01C8" w:rsidRPr="00113825">
        <w:rPr>
          <w:szCs w:val="20"/>
        </w:rPr>
        <w:t>s</w:t>
      </w:r>
      <w:r w:rsidRPr="00113825">
        <w:rPr>
          <w:szCs w:val="20"/>
        </w:rPr>
        <w:t xml:space="preserve"> and monitoring programs</w:t>
      </w:r>
      <w:r w:rsidR="006A01C8" w:rsidRPr="00113825">
        <w:rPr>
          <w:szCs w:val="20"/>
        </w:rPr>
        <w:t>,</w:t>
      </w:r>
      <w:r w:rsidRPr="00113825">
        <w:rPr>
          <w:szCs w:val="20"/>
        </w:rPr>
        <w:t xml:space="preserve"> and </w:t>
      </w:r>
      <w:r w:rsidR="006A01C8" w:rsidRPr="00113825">
        <w:rPr>
          <w:szCs w:val="20"/>
        </w:rPr>
        <w:t xml:space="preserve">these errors </w:t>
      </w:r>
      <w:r w:rsidRPr="00113825">
        <w:rPr>
          <w:szCs w:val="20"/>
        </w:rPr>
        <w:t xml:space="preserve">have been examined exhaustively in different studies </w:t>
      </w:r>
      <w:r w:rsidRPr="00113825">
        <w:rPr>
          <w:szCs w:val="20"/>
        </w:rPr>
        <w:fldChar w:fldCharType="begin" w:fldLock="1"/>
      </w:r>
      <w:r w:rsidR="0089363E" w:rsidRPr="00113825">
        <w:rPr>
          <w:szCs w:val="20"/>
        </w:rPr>
        <w:instrText xml:space="preserve">ADDIN CSL_CITATION {"citationItems":[{"id":"ITEM-1","itemData":{"DOI":"10.1139/cjfr-2019-0034","ISSN":"0045-5067","author":[{"dropping-particle":"","family":"Qin","given":"Lihou","non-dropping-particle":"","parse-names":false,"suffix":""},{"dropping-particle":"","family":"Liu","given":"Qijing","non-dropping-particle":"","parse-names":false,"suffix":""},{"dropping-particle":"","family":"Zhang","given":"Maozhen","non-dropping-particle":"","parse-names":false,"suffix":""},{"dropping-particle":"","family":"Saeed","given":"Sajjad","non-dropping-particle":"","parse-names":false,"suffix":""}],"container-title":"Canadian Journal of Forest Research","id":"ITEM-1","issue":"11","issued":{"date-parts":[["2019","11"]]},"page":"1371-1378","publisher":"Taylor and Francis, New York, NY","title":"Effect of measurement errors on the estimation of tree biomass","type":"article-journal","volume":"49"},"uris":["http://www.mendeley.com/documents/?uuid=a3a0f304-f61b-4c85-b9a7-16f2f67443b3"]},{"id":"ITEM-2","itemData":{"DOI":"10.1093/forestry/cpw064","ISBN":"1610557425","ISSN":"0015-752X","abstract":"© Published by Oxford University Press on behalf of Institute of Chartered Foresters 2017. This work is written by (a) US Government employee(s) and is in the public domain in the US. Assessment of pre-harvest stand conditions after unplanned tree removals often requires reconstruction of the stand based on stump information. Prediction of diameter at breast height (d.b.h.) from stump measurements is a common practice because d.b.h. is usually a necessary precursor for estimating diameter distributions and predicting tree volume. Although not a widespread exercise, tree volumes are sometimes predicted directly from stump dimensions. Regardless of the approach taken, statistical models are invariably used in some manner and the model predictions are erroneously assumed to be without error. In this study, several methods for tree volume prediction arising from stump information were evaluated for the contribution of model-related uncertainty to the error in population estimates of total volume. When the entire population was enumerated, the model-related uncertainty was 1-2 per cent of the estimate depending on the volume estimation method. Sampling approaches based on individual stumps and 0.042 ha plots were evaluated, where the total uncertainty due to both model and sampling error was considerably larger when using the plot-based method. Generally, the smallest amount of error was present when predicting d.b.h. and then estimating tree volume from d.b.h. The uncertainty was largest for estimation of tree volume directly from stump dimensions when sampling proportions were </w:instrText>
      </w:r>
      <w:r w:rsidR="0089363E" w:rsidRPr="00113825">
        <w:rPr>
          <w:rFonts w:ascii="Cambria Math" w:hAnsi="Cambria Math" w:cs="Cambria Math"/>
          <w:szCs w:val="20"/>
        </w:rPr>
        <w:instrText>∼</w:instrText>
      </w:r>
      <w:r w:rsidR="0089363E" w:rsidRPr="00113825">
        <w:rPr>
          <w:szCs w:val="20"/>
        </w:rPr>
        <w:instrText>0.35 or smaller; otherwise, the largest uncertainty resulted from prediction of d.b.h. and merchantable height which were both used as predictor variables in the volume model.","author":[{"dropping-particle":"","family":"Westfall","given":"James A.","non-dropping-particle":"","parse-names":false,"suffix":""},{"dropping-particle":"","family":"McRoberts","given":"Ronald E.","non-dropping-particle":"","parse-names":false,"suffix":""}],"container-title":"Forestry","id":"ITEM-2","issue":"3","issued":{"date-parts":[["2017","1","26"]]},"page":"404-412","title":"An assessment of uncertainty in volume estimates for stands reconstructed from tree stump information","type":"article-journal","volume":"90"},"uris":["http://www.mendeley.com/documents/?uuid=3f7700ca-9be4-4603-a806-a4181111fa57"]},{"id":"ITEM-3","itemData":{"DOI":"10.1007/s13595-015-0473-x","ISSN":"1297966X","abstract":"© 2015, INRA and Springer-Verlag France. Key message: The effects on large-area volume estimates of uncertainty in individual tree volume model predictions were negligible when using simple random sampling estimators for large-area estimation, but non-negligible when using stratified estimators which reduced the effects of sampling variability. Context: Forest inventory estimates of tree volume for large areas are typically calculated by adding model predictions of volumes for individual trees at the plot level and calculating the per unit area mean over plots. The uncertainty in the model predictions is generally ignored with the result that the precision of the large-area volume estimate is optimistic. Aims: The primary objective was to estimate the effects on large-area volume estimates of volume model prediction uncertainty due to diameter and height measurement error, parameter uncertainty, and model residual variance. Methods: Monte Carlo simulation approaches were used because of the complexities associated with multiple sources of uncertainty, the non-linear nature of the models, and heteroskedasticity. Results: The effects of model prediction uncertainty on large-area volume estimates of growing stock volume were negligible when using simple random sampling estimators. However, with stratified estimators that reduce the effects of sampling variability, the effects of model prediction uncertainty were not necessarily negligible. The adverse effects of parameter uncertainty and residual variance were greater than the effects of diameter and height measurement errors. Conclusion: The uncertainty of large-area volume estimates that do not account for model prediction uncertainty should be regarded with caution.","author":[{"dropping-particle":"","family":"McRoberts","given":"Ronald E.","non-dropping-particle":"","parse-names":false,"suffix":""},{"dropping-particle":"","family":"Westfall","given":"James A.","non-dropping-particle":"","parse-names":false,"suffix":""}],"container-title":"Annals of Forest Science","id":"ITEM-3","issue":"3","issued":{"date-parts":[["2016"]]},"page":"625-633","publisher":"Annals of Forest Science","title":"Propagating uncertainty through individual tree volume model predictions to large-area volume estimates","type":"article-journal","volume":"73"},"uris":["http://www.mendeley.com/documents/?uuid=6b415260-5d4e-4435-ba77-30c07ea4e0ad"]},{"id":"ITEM-4","itemData":{"DOI":"10.1007/s13595-016-0559-0","ISSN":"1297966X","abstract":"Context An increasing intensity of forest resource use re- quires more accurate, detailed and reliable information, not only on forest area and growing stock but also on forest stand productivity, wood increment and its components. Aims The main objectives were to assess the capacities of forest inventories, the methods used for estimation of gross increment and its components and their accuracy and to dem- onstrate an effective method for estimation of increment when direct inventory methods are not available. Methods Data about national forest inventory methods were obtained from 30 responses to a questionnaire, distributed amongst national correspondents of all European countries; reports of COST Actions E43 and FP 1001, databases of Temperate and Boreal Forest Resource Assessment (TBFRA) 2000 and State of Europe ’ s Forests (SoEF) 2011 were used as well. Analysis and comparison of results from different forest inventories were used for evaluation of data reliability. Relationships between growing stock and gross increment in European forests were also analysed, and corre- sponding models were proposed. Results Seventy-nine percent of European forest area is covered by national forest inventories (NFIs) based on sampling methods and the rest on stand-level inventory and other inventory methods. Data obtained by aggregating standwise data usually underesti- mate growing stock by 15 – 20 % and gross increment even more. Almost half of the European forest area (47 %) is monitored using permanent plots, measured twice or more, allowing the estimation of gross increment and its components to be made directly. Conclusion Implementation of NFIs based on sampling methods, especially with permanent plots, resulted in an im- provement of data quality and in most cases an increase of growing stock and gross increment. The estimation of natural losses is the weakest link in today ’ s NFIs and in the current assessment of European forest resources. The proposed de- fault values for gross increment and its components is an op- tion to be used in countries not having NFI at all or those which have started it only recently.","author":[{"dropping-particle":"","family":"Kuliešis","given":"Andrius","non-dropping-particle":"","parse-names":false,"suffix":""},{"dropping-particle":"","family":"Tomter","given":"Stein M.","non-dropping-particle":"","parse-names":false,"suffix":""},{"dropping-particle":"","family":"Vidal","given":"Claude","non-dropping-particle":"","parse-names":false,"suffix":""},{"dropping-particle":"","family":"Lanz","given":"Adrian","non-dropping-particle":"","parse-names":false,"suffix":""}],"container-title":"Annals of Forest Science","id":"ITEM-4","issue":"4","issued":{"date-parts":[["2016"]]},"page":"857-869","title":"Estimates of stem wood increments in forest resources: comparison of different approaches in forest inventory: consequences for international reporting: case studyof European forests","type":"article-journal","volume":"73"},"uris":["http://www.mendeley.com/documents/?uuid=a3782c92-b693-4037-af19-0f56f41358fd"]}],"mendeley":{"formattedCitation":"[39], [59]–[61]","plainTextFormattedCitation":"[39], [59]–[61]","previouslyFormattedCitation":"(Kuliešis &lt;i&gt;et al.&lt;/i&gt;, 2016; McRoberts and Westfall, 2016; Westfall and McRoberts, 2017; Qin &lt;i&gt;et al.&lt;/i&gt;, 2019)"},"properties":{"noteIndex":0},"schema":"https://github.com/citation-style-language/schema/raw/master/csl-citation.json"}</w:instrText>
      </w:r>
      <w:r w:rsidRPr="00113825">
        <w:rPr>
          <w:szCs w:val="20"/>
        </w:rPr>
        <w:fldChar w:fldCharType="separate"/>
      </w:r>
      <w:r w:rsidR="0089363E" w:rsidRPr="00113825">
        <w:rPr>
          <w:noProof/>
          <w:szCs w:val="20"/>
        </w:rPr>
        <w:t>[39], [59]–[61]</w:t>
      </w:r>
      <w:r w:rsidRPr="00113825">
        <w:rPr>
          <w:szCs w:val="20"/>
        </w:rPr>
        <w:fldChar w:fldCharType="end"/>
      </w:r>
      <w:r w:rsidRPr="00113825">
        <w:rPr>
          <w:szCs w:val="20"/>
        </w:rPr>
        <w:t xml:space="preserve">. </w:t>
      </w:r>
      <w:r w:rsidR="00B84731" w:rsidRPr="00113825">
        <w:rPr>
          <w:szCs w:val="20"/>
        </w:rPr>
        <w:t>Statistically</w:t>
      </w:r>
      <w:r w:rsidR="006138B6" w:rsidRPr="00113825">
        <w:rPr>
          <w:szCs w:val="20"/>
        </w:rPr>
        <w:t xml:space="preserve">, </w:t>
      </w:r>
      <w:r w:rsidR="00B84731" w:rsidRPr="00113825">
        <w:rPr>
          <w:szCs w:val="20"/>
        </w:rPr>
        <w:t>m</w:t>
      </w:r>
      <w:r w:rsidR="00C53D2B" w:rsidRPr="00113825">
        <w:rPr>
          <w:szCs w:val="20"/>
        </w:rPr>
        <w:t xml:space="preserve">easurement errors can </w:t>
      </w:r>
      <w:r w:rsidR="000F2F4F" w:rsidRPr="00113825">
        <w:rPr>
          <w:szCs w:val="20"/>
        </w:rPr>
        <w:t xml:space="preserve">be </w:t>
      </w:r>
      <w:r w:rsidR="00C53D2B" w:rsidRPr="00113825">
        <w:rPr>
          <w:szCs w:val="20"/>
        </w:rPr>
        <w:t>categorized in</w:t>
      </w:r>
      <w:r w:rsidR="00A97F27" w:rsidRPr="00113825">
        <w:rPr>
          <w:szCs w:val="20"/>
        </w:rPr>
        <w:t>to</w:t>
      </w:r>
      <w:r w:rsidR="00C53D2B" w:rsidRPr="00113825">
        <w:rPr>
          <w:szCs w:val="20"/>
        </w:rPr>
        <w:t xml:space="preserve"> </w:t>
      </w:r>
      <w:r w:rsidR="000F2F4F" w:rsidRPr="00113825">
        <w:rPr>
          <w:szCs w:val="20"/>
        </w:rPr>
        <w:t xml:space="preserve">two </w:t>
      </w:r>
      <w:r w:rsidR="00925833" w:rsidRPr="00113825">
        <w:rPr>
          <w:szCs w:val="20"/>
        </w:rPr>
        <w:t>groups</w:t>
      </w:r>
      <w:r w:rsidR="00C53D2B" w:rsidRPr="00113825">
        <w:rPr>
          <w:szCs w:val="20"/>
        </w:rPr>
        <w:t xml:space="preserve">: </w:t>
      </w:r>
      <w:r w:rsidR="00C53D2B" w:rsidRPr="00113825">
        <w:rPr>
          <w:i/>
          <w:szCs w:val="20"/>
        </w:rPr>
        <w:t xml:space="preserve">systematic errors </w:t>
      </w:r>
      <w:r w:rsidR="00C53D2B" w:rsidRPr="00113825">
        <w:rPr>
          <w:szCs w:val="20"/>
        </w:rPr>
        <w:t xml:space="preserve">and </w:t>
      </w:r>
      <w:r w:rsidR="00C53D2B" w:rsidRPr="00113825">
        <w:rPr>
          <w:i/>
          <w:szCs w:val="20"/>
        </w:rPr>
        <w:t>random errors.</w:t>
      </w:r>
      <w:r w:rsidR="00DF03D6" w:rsidRPr="00113825">
        <w:rPr>
          <w:szCs w:val="20"/>
        </w:rPr>
        <w:t xml:space="preserve"> </w:t>
      </w:r>
      <w:r w:rsidR="00A97F27" w:rsidRPr="00113825">
        <w:rPr>
          <w:szCs w:val="20"/>
        </w:rPr>
        <w:t>The s</w:t>
      </w:r>
      <w:r w:rsidR="00CF4116" w:rsidRPr="00113825">
        <w:rPr>
          <w:szCs w:val="20"/>
        </w:rPr>
        <w:t>ystematic error</w:t>
      </w:r>
      <w:r w:rsidR="006A01C8" w:rsidRPr="00113825">
        <w:rPr>
          <w:szCs w:val="20"/>
        </w:rPr>
        <w:t xml:space="preserve"> that</w:t>
      </w:r>
      <w:r w:rsidR="00A97F27" w:rsidRPr="00113825">
        <w:rPr>
          <w:szCs w:val="20"/>
        </w:rPr>
        <w:t xml:space="preserve"> is</w:t>
      </w:r>
      <w:r w:rsidR="00CF4116" w:rsidRPr="00113825">
        <w:rPr>
          <w:szCs w:val="20"/>
        </w:rPr>
        <w:t xml:space="preserve"> also referred to as bias</w:t>
      </w:r>
      <w:r w:rsidR="006A01C8" w:rsidRPr="00113825">
        <w:rPr>
          <w:szCs w:val="20"/>
        </w:rPr>
        <w:t>,</w:t>
      </w:r>
      <w:r w:rsidR="00925833" w:rsidRPr="00113825">
        <w:rPr>
          <w:szCs w:val="20"/>
        </w:rPr>
        <w:t xml:space="preserve"> is represented</w:t>
      </w:r>
      <w:r w:rsidR="00CF4116" w:rsidRPr="00113825">
        <w:rPr>
          <w:szCs w:val="20"/>
        </w:rPr>
        <w:t xml:space="preserve"> as a fixed value for </w:t>
      </w:r>
      <w:r w:rsidR="00297591" w:rsidRPr="00113825">
        <w:rPr>
          <w:szCs w:val="20"/>
        </w:rPr>
        <w:t xml:space="preserve">the </w:t>
      </w:r>
      <w:r w:rsidR="00CF4116" w:rsidRPr="00113825">
        <w:rPr>
          <w:szCs w:val="20"/>
        </w:rPr>
        <w:t>discrepancy</w:t>
      </w:r>
      <w:r w:rsidR="006929E2" w:rsidRPr="00113825">
        <w:rPr>
          <w:szCs w:val="20"/>
        </w:rPr>
        <w:t xml:space="preserve"> with the true value</w:t>
      </w:r>
      <w:r w:rsidR="00CF4116" w:rsidRPr="00113825">
        <w:rPr>
          <w:szCs w:val="20"/>
        </w:rPr>
        <w:t xml:space="preserve"> and is directly relate</w:t>
      </w:r>
      <w:r w:rsidR="00A44F84" w:rsidRPr="00113825">
        <w:rPr>
          <w:szCs w:val="20"/>
        </w:rPr>
        <w:t>d</w:t>
      </w:r>
      <w:r w:rsidR="00CF4116" w:rsidRPr="00113825">
        <w:rPr>
          <w:szCs w:val="20"/>
        </w:rPr>
        <w:t xml:space="preserve"> to the accuracy of an estimate. Theoretically, </w:t>
      </w:r>
      <w:r w:rsidR="00297591" w:rsidRPr="00113825">
        <w:rPr>
          <w:szCs w:val="20"/>
        </w:rPr>
        <w:t xml:space="preserve">a </w:t>
      </w:r>
      <w:r w:rsidR="00CF4116" w:rsidRPr="00113825">
        <w:rPr>
          <w:szCs w:val="20"/>
        </w:rPr>
        <w:t>systematic error can be eliminated from the result by using an appropriate correction factor</w:t>
      </w:r>
      <w:r w:rsidR="00480C2A" w:rsidRPr="00113825">
        <w:rPr>
          <w:szCs w:val="20"/>
        </w:rPr>
        <w:t xml:space="preserve"> </w:t>
      </w:r>
      <w:r w:rsidR="00480C2A" w:rsidRPr="00113825">
        <w:rPr>
          <w:szCs w:val="20"/>
        </w:rPr>
        <w:fldChar w:fldCharType="begin" w:fldLock="1"/>
      </w:r>
      <w:r w:rsidR="0089363E" w:rsidRPr="00113825">
        <w:rPr>
          <w:szCs w:val="20"/>
        </w:rPr>
        <w:instrText>ADDIN CSL_CITATION {"citationItems":[{"id":"ITEM-1","itemData":{"DOI":"10.1016/S0160-2896(99)00024-0","ISSN":"01602896","abstract":"Accurate empirical tests of theories and hypotheses are not possible unless the inevitable biases induced into data by measurement error are controlled for. Yet despite 90 years of recommendations from measurement theory and methodology, some still do not control for these biases in their research. This paper presents simple and direct demonstrations showing why basic measurement principles require that biases in data created by measurement error be removed and refutes commonly heard objections to the corrections for these biases. One factor contributing to resistance on the part of some researchers is the fact that most psychologists are not aware that measurement error is produced by real psychological processes that can be studied and understood. This paper describes those substantive psychological process and shows how each generates a different type of measurement error. We also show how different types of reliability estimates assess and calibrate different error processes and types of measurement error, leading directly to conclusions about which types of reliability estimates are appropriate for measurement error corrections in different research settings. Failure to control for biases induced by measurement error has retarded the development of cumulative research knowledge. It is our hope that this paper will contribute to removing these hobbles from psychological research. © 1999 Elsevier Science Inc.","author":[{"dropping-particle":"","family":"Schmidt","given":"Frank L.","non-dropping-particle":"","parse-names":false,"suffix":""},{"dropping-particle":"","family":"Hunter","given":"John E.","non-dropping-particle":"","parse-names":false,"suffix":""}],"container-title":"Intelligence","id":"ITEM-1","issue":"3","issued":{"date-parts":[["1999","9"]]},"page":"183-198","title":"Theory Testing and Measurement Error","type":"article-journal","volume":"27"},"uris":["http://www.mendeley.com/documents/?uuid=2395c537-b7e3-4e6e-9ffe-d72a9c186d77"]}],"mendeley":{"formattedCitation":"[62]","plainTextFormattedCitation":"[62]","previouslyFormattedCitation":"(Schmidt and Hunter, 1999)"},"properties":{"noteIndex":0},"schema":"https://github.com/citation-style-language/schema/raw/master/csl-citation.json"}</w:instrText>
      </w:r>
      <w:r w:rsidR="00480C2A" w:rsidRPr="00113825">
        <w:rPr>
          <w:szCs w:val="20"/>
        </w:rPr>
        <w:fldChar w:fldCharType="separate"/>
      </w:r>
      <w:r w:rsidR="0089363E" w:rsidRPr="00113825">
        <w:rPr>
          <w:noProof/>
          <w:szCs w:val="20"/>
        </w:rPr>
        <w:t>[62]</w:t>
      </w:r>
      <w:r w:rsidR="00480C2A" w:rsidRPr="00113825">
        <w:rPr>
          <w:szCs w:val="20"/>
        </w:rPr>
        <w:fldChar w:fldCharType="end"/>
      </w:r>
      <w:r w:rsidR="00CF4116" w:rsidRPr="00113825">
        <w:rPr>
          <w:szCs w:val="20"/>
        </w:rPr>
        <w:t xml:space="preserve">. However, in sample-based surveys, the presence of </w:t>
      </w:r>
      <w:r w:rsidR="006436D1" w:rsidRPr="00113825">
        <w:rPr>
          <w:szCs w:val="20"/>
        </w:rPr>
        <w:t>bias, which</w:t>
      </w:r>
      <w:r w:rsidR="008C5498" w:rsidRPr="00113825">
        <w:rPr>
          <w:szCs w:val="20"/>
        </w:rPr>
        <w:t xml:space="preserve"> is the lack of accuracy</w:t>
      </w:r>
      <w:r w:rsidR="006436D1" w:rsidRPr="00113825">
        <w:rPr>
          <w:szCs w:val="20"/>
        </w:rPr>
        <w:t>,</w:t>
      </w:r>
      <w:r w:rsidR="00CF4116" w:rsidRPr="00113825">
        <w:rPr>
          <w:szCs w:val="20"/>
        </w:rPr>
        <w:t xml:space="preserve"> is often unknown</w:t>
      </w:r>
      <w:r w:rsidR="0065511B" w:rsidRPr="00113825">
        <w:rPr>
          <w:szCs w:val="20"/>
        </w:rPr>
        <w:t>,</w:t>
      </w:r>
      <w:r w:rsidR="0008046E" w:rsidRPr="00113825">
        <w:rPr>
          <w:szCs w:val="20"/>
        </w:rPr>
        <w:t xml:space="preserve"> and using a correction factor </w:t>
      </w:r>
      <w:r w:rsidR="0020486D" w:rsidRPr="00113825">
        <w:rPr>
          <w:szCs w:val="20"/>
        </w:rPr>
        <w:t>may</w:t>
      </w:r>
      <w:r w:rsidR="0008046E" w:rsidRPr="00113825">
        <w:rPr>
          <w:szCs w:val="20"/>
        </w:rPr>
        <w:t xml:space="preserve"> introduce </w:t>
      </w:r>
      <w:r w:rsidR="007E315C" w:rsidRPr="00113825">
        <w:rPr>
          <w:szCs w:val="20"/>
        </w:rPr>
        <w:t>an</w:t>
      </w:r>
      <w:r w:rsidR="00422558" w:rsidRPr="00113825">
        <w:rPr>
          <w:szCs w:val="20"/>
        </w:rPr>
        <w:t xml:space="preserve"> additional </w:t>
      </w:r>
      <w:r w:rsidR="0008046E" w:rsidRPr="00113825">
        <w:rPr>
          <w:szCs w:val="20"/>
        </w:rPr>
        <w:t xml:space="preserve">uncertainty associated with that corresponding correction factor. </w:t>
      </w:r>
      <w:r w:rsidR="00480C2A" w:rsidRPr="00113825">
        <w:rPr>
          <w:szCs w:val="20"/>
        </w:rPr>
        <w:t>Random error</w:t>
      </w:r>
      <w:r w:rsidR="00A97F27" w:rsidRPr="00113825">
        <w:rPr>
          <w:szCs w:val="20"/>
        </w:rPr>
        <w:t>, on the other hand,</w:t>
      </w:r>
      <w:r w:rsidR="00480C2A" w:rsidRPr="00113825">
        <w:rPr>
          <w:szCs w:val="20"/>
        </w:rPr>
        <w:t xml:space="preserve"> indicates that the error changes over the period of measurement, or may be transferred from one set of measurements to the other. The</w:t>
      </w:r>
      <w:r w:rsidR="008C5498" w:rsidRPr="00113825">
        <w:rPr>
          <w:szCs w:val="20"/>
        </w:rPr>
        <w:t xml:space="preserve"> range of these changes is a measure </w:t>
      </w:r>
      <w:r w:rsidR="00480C2A" w:rsidRPr="00113825">
        <w:rPr>
          <w:szCs w:val="20"/>
        </w:rPr>
        <w:t>of the uncertainty created by these errors.</w:t>
      </w:r>
      <w:r w:rsidR="002F3682" w:rsidRPr="00113825">
        <w:rPr>
          <w:szCs w:val="20"/>
        </w:rPr>
        <w:t xml:space="preserve"> </w:t>
      </w:r>
      <w:r w:rsidR="00884C03" w:rsidRPr="00113825">
        <w:rPr>
          <w:szCs w:val="20"/>
        </w:rPr>
        <w:t xml:space="preserve">Below we focus on </w:t>
      </w:r>
      <w:r w:rsidRPr="00113825">
        <w:rPr>
          <w:szCs w:val="20"/>
        </w:rPr>
        <w:t xml:space="preserve">estimating the uncertainties only associated with the </w:t>
      </w:r>
      <w:r w:rsidR="0065511B" w:rsidRPr="00113825">
        <w:rPr>
          <w:szCs w:val="20"/>
        </w:rPr>
        <w:t>random errors</w:t>
      </w:r>
      <w:r w:rsidRPr="00113825">
        <w:rPr>
          <w:szCs w:val="20"/>
        </w:rPr>
        <w:t xml:space="preserve"> of measurement.</w:t>
      </w:r>
    </w:p>
    <w:p w14:paraId="7286427B" w14:textId="5449E105" w:rsidR="00114BF0" w:rsidRPr="00113825" w:rsidRDefault="00DE5033" w:rsidP="00C53CF3">
      <w:pPr>
        <w:jc w:val="both"/>
        <w:rPr>
          <w:szCs w:val="20"/>
        </w:rPr>
      </w:pPr>
      <w:r w:rsidRPr="00113825">
        <w:rPr>
          <w:szCs w:val="20"/>
        </w:rPr>
        <w:t xml:space="preserve">From Figure 2, it can be observed that the final output is determined by establishing three functional relationships, </w:t>
      </w:r>
      <w:r w:rsidR="006436D1" w:rsidRPr="00113825">
        <w:rPr>
          <w:szCs w:val="20"/>
        </w:rPr>
        <w:t>where the output of the preceding step is the input for the successive step. When parameters are derived through a series of functional relationships, the uncertainties in the inputs of these functions will propagate through the calculation</w:t>
      </w:r>
      <w:r w:rsidR="00AE1667" w:rsidRPr="00113825">
        <w:rPr>
          <w:szCs w:val="20"/>
        </w:rPr>
        <w:t xml:space="preserve">, in </w:t>
      </w:r>
      <w:r w:rsidR="00454A32" w:rsidRPr="00113825">
        <w:rPr>
          <w:szCs w:val="20"/>
        </w:rPr>
        <w:t xml:space="preserve">the </w:t>
      </w:r>
      <w:r w:rsidR="00AE1667" w:rsidRPr="00113825">
        <w:rPr>
          <w:szCs w:val="20"/>
        </w:rPr>
        <w:t xml:space="preserve">form of random errors </w:t>
      </w:r>
      <w:r w:rsidR="006436D1" w:rsidRPr="00113825">
        <w:rPr>
          <w:szCs w:val="20"/>
        </w:rPr>
        <w:fldChar w:fldCharType="begin" w:fldLock="1"/>
      </w:r>
      <w:r w:rsidR="0089363E" w:rsidRPr="00113825">
        <w:rPr>
          <w:szCs w:val="20"/>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measurement","type":"article-journal","volume":"50"},"uris":["http://www.mendeley.com/documents/?uuid=2470a84b-6509-45c2-abeb-1778e917d47b"]}],"mendeley":{"formattedCitation":"[43]","plainTextFormattedCitation":"[43]","previouslyFormattedCitation":"(Joint Committee For Guides In, 2008)"},"properties":{"noteIndex":0},"schema":"https://github.com/citation-style-language/schema/raw/master/csl-citation.json"}</w:instrText>
      </w:r>
      <w:r w:rsidR="006436D1" w:rsidRPr="00113825">
        <w:rPr>
          <w:szCs w:val="20"/>
        </w:rPr>
        <w:fldChar w:fldCharType="separate"/>
      </w:r>
      <w:r w:rsidR="0089363E" w:rsidRPr="00113825">
        <w:rPr>
          <w:noProof/>
          <w:szCs w:val="20"/>
        </w:rPr>
        <w:t>[43]</w:t>
      </w:r>
      <w:r w:rsidR="006436D1" w:rsidRPr="00113825">
        <w:rPr>
          <w:szCs w:val="20"/>
        </w:rPr>
        <w:fldChar w:fldCharType="end"/>
      </w:r>
      <w:r w:rsidR="006436D1" w:rsidRPr="00113825">
        <w:rPr>
          <w:szCs w:val="20"/>
        </w:rPr>
        <w:t xml:space="preserve">. </w:t>
      </w:r>
      <w:r w:rsidR="00C67D77" w:rsidRPr="00113825">
        <w:rPr>
          <w:szCs w:val="20"/>
        </w:rPr>
        <w:t>T</w:t>
      </w:r>
      <w:r w:rsidR="00454A32" w:rsidRPr="00113825">
        <w:rPr>
          <w:szCs w:val="20"/>
        </w:rPr>
        <w:t xml:space="preserve">hese uncertainties </w:t>
      </w:r>
      <w:r w:rsidR="00C67D77" w:rsidRPr="00113825">
        <w:rPr>
          <w:szCs w:val="20"/>
        </w:rPr>
        <w:t xml:space="preserve">were accounted for </w:t>
      </w:r>
      <w:r w:rsidR="00C979D2" w:rsidRPr="00113825">
        <w:rPr>
          <w:szCs w:val="20"/>
        </w:rPr>
        <w:t>b</w:t>
      </w:r>
      <w:r w:rsidR="00C67D77" w:rsidRPr="00113825">
        <w:rPr>
          <w:szCs w:val="20"/>
        </w:rPr>
        <w:t>ased on state-of-the-art uncertainty propagation techniques, as comprehensively detailed in e</w:t>
      </w:r>
      <w:r w:rsidR="009807B6" w:rsidRPr="00113825">
        <w:rPr>
          <w:szCs w:val="20"/>
        </w:rPr>
        <w:t>.</w:t>
      </w:r>
      <w:r w:rsidR="00C67D77" w:rsidRPr="00113825">
        <w:rPr>
          <w:szCs w:val="20"/>
        </w:rPr>
        <w:t xml:space="preserve">g. </w:t>
      </w:r>
      <w:r w:rsidR="00454A32" w:rsidRPr="00113825">
        <w:rPr>
          <w:szCs w:val="20"/>
        </w:rPr>
        <w:fldChar w:fldCharType="begin" w:fldLock="1"/>
      </w:r>
      <w:r w:rsidR="0089363E" w:rsidRPr="00113825">
        <w:rPr>
          <w:szCs w:val="20"/>
        </w:rPr>
        <w:instrText>ADDIN CSL_CITATION {"citationItems":[{"id":"ITEM-1","itemData":{"ISBN":"3885793881","ISSN":"1838-0212","PMID":"22896744","abstract":"The Evaluation of Measurement Data - Guide to the Expression of Uncertainty in Measurement (usually referred to as the GUM) provides general rules for evaluating and expressing uncertainty in measurement. When a measurand, y, is calculated from other measurements through a functional relationship, uncertainties in the input variables will propagate through the calculation to an uncertainty in the output y. The manner in which such uncertainties are propagated through a functional relationship provides much of the mathematical challenge to fully understanding the GUM.The aim of this review is to provide a general overview of the GUM and to show how the calculation of uncertainty in the measurand may be achieved through a functional relationship. That is, starting with the general equation for combining uncertainty components as outlined in the GUM, we show how this general equation can be applied to various functional relationships in order to derive a combined standard uncertainty for the output value of the particular function (the measurand). The GUM equation may be applied to any mathematical form or functional relationship (the starting point for laboratory calculations) and describes the propagation of uncertainty from the input variable(s) to the output value of the function (the end point or outcome of the laboratory calculation). A rule-based approach is suggested with a number of the more common rules tabulated for the routine calculation of measurement uncertainty.","author":[{"dropping-particle":"","family":"Farrance","given":"Ian","non-dropping-particle":"","parse-names":false,"suffix":""},{"dropping-particle":"","family":"Frenkel","given":"Robert","non-dropping-particle":"","parse-names":false,"suffix":""}],"container-title":"The Clinical biochemist. Reviews","id":"ITEM-1","issue":"2","issued":{"date-parts":[["2012","5"]]},"page":"49-75","title":"Uncertainty of Measurement: A Review of the Rules for Calculating Uncertainty Components through Functional Relationships.","type":"article-journal","volume":"33"},"uris":["http://www.mendeley.com/documents/?uuid=2d2089bf-b893-41ec-96db-885228896970"]}],"mendeley":{"formattedCitation":"[63]","plainTextFormattedCitation":"[63]","previouslyFormattedCitation":"(Farrance and Frenkel, 2012)"},"properties":{"noteIndex":0},"schema":"https://github.com/citation-style-language/schema/raw/master/csl-citation.json"}</w:instrText>
      </w:r>
      <w:r w:rsidR="00454A32" w:rsidRPr="00113825">
        <w:rPr>
          <w:szCs w:val="20"/>
        </w:rPr>
        <w:fldChar w:fldCharType="separate"/>
      </w:r>
      <w:r w:rsidR="0089363E" w:rsidRPr="00113825">
        <w:rPr>
          <w:noProof/>
          <w:szCs w:val="20"/>
        </w:rPr>
        <w:t>[63]</w:t>
      </w:r>
      <w:r w:rsidR="00454A32" w:rsidRPr="00113825">
        <w:rPr>
          <w:szCs w:val="20"/>
        </w:rPr>
        <w:fldChar w:fldCharType="end"/>
      </w:r>
      <w:r w:rsidR="00C67D77" w:rsidRPr="00113825">
        <w:rPr>
          <w:szCs w:val="20"/>
        </w:rPr>
        <w:t>.</w:t>
      </w:r>
    </w:p>
    <w:p w14:paraId="752AFA7F" w14:textId="6E533151" w:rsidR="008574A9" w:rsidRPr="00113825" w:rsidRDefault="001059AB" w:rsidP="00C53CF3">
      <w:pPr>
        <w:jc w:val="both"/>
        <w:rPr>
          <w:rFonts w:cstheme="majorHAnsi"/>
          <w:szCs w:val="20"/>
        </w:rPr>
      </w:pPr>
      <w:r w:rsidRPr="00113825">
        <w:rPr>
          <w:szCs w:val="20"/>
        </w:rPr>
        <w:t xml:space="preserve">The </w:t>
      </w:r>
      <w:r w:rsidR="000322C3" w:rsidRPr="00113825">
        <w:rPr>
          <w:szCs w:val="20"/>
        </w:rPr>
        <w:t>first</w:t>
      </w:r>
      <w:r w:rsidRPr="00113825">
        <w:rPr>
          <w:szCs w:val="20"/>
        </w:rPr>
        <w:t xml:space="preserve"> step in the uncertainty assessment deals with its</w:t>
      </w:r>
      <w:r w:rsidR="00085BFA" w:rsidRPr="00113825">
        <w:rPr>
          <w:szCs w:val="20"/>
        </w:rPr>
        <w:t xml:space="preserve"> </w:t>
      </w:r>
      <w:r w:rsidR="00EE18D6" w:rsidRPr="00113825">
        <w:rPr>
          <w:szCs w:val="20"/>
        </w:rPr>
        <w:t xml:space="preserve">propagation </w:t>
      </w:r>
      <w:r w:rsidR="00486049" w:rsidRPr="00113825">
        <w:rPr>
          <w:szCs w:val="20"/>
        </w:rPr>
        <w:t xml:space="preserve">in </w:t>
      </w:r>
      <w:r w:rsidR="00A97F27" w:rsidRPr="00113825">
        <w:rPr>
          <w:szCs w:val="20"/>
        </w:rPr>
        <w:t xml:space="preserve">the </w:t>
      </w:r>
      <w:r w:rsidR="00486049" w:rsidRPr="00113825">
        <w:rPr>
          <w:szCs w:val="20"/>
        </w:rPr>
        <w:t xml:space="preserve">calculation of </w:t>
      </w:r>
      <w:r w:rsidR="00486049" w:rsidRPr="00113825">
        <w:rPr>
          <w:i/>
          <w:szCs w:val="20"/>
        </w:rPr>
        <w:t>NAI_reg</w:t>
      </w:r>
      <w:r w:rsidR="00486049" w:rsidRPr="00113825">
        <w:rPr>
          <w:szCs w:val="20"/>
        </w:rPr>
        <w:t xml:space="preserve"> through Eq. (1)</w:t>
      </w:r>
      <w:r w:rsidRPr="00113825">
        <w:rPr>
          <w:szCs w:val="20"/>
        </w:rPr>
        <w:t>.</w:t>
      </w:r>
      <w:r w:rsidR="008574A9" w:rsidRPr="00113825">
        <w:rPr>
          <w:szCs w:val="20"/>
        </w:rPr>
        <w:t xml:space="preserve"> </w:t>
      </w:r>
      <w:r w:rsidRPr="00113825">
        <w:rPr>
          <w:szCs w:val="20"/>
        </w:rPr>
        <w:t xml:space="preserve">As </w:t>
      </w:r>
      <w:r w:rsidR="00486049" w:rsidRPr="00113825">
        <w:rPr>
          <w:szCs w:val="20"/>
        </w:rPr>
        <w:t xml:space="preserve">the inputs variables (GAI and NL) are </w:t>
      </w:r>
      <w:r w:rsidR="008574A9" w:rsidRPr="00113825">
        <w:rPr>
          <w:szCs w:val="20"/>
        </w:rPr>
        <w:t>uncorrelated</w:t>
      </w:r>
      <w:r w:rsidR="00486049" w:rsidRPr="00113825">
        <w:rPr>
          <w:rFonts w:cstheme="majorHAnsi"/>
          <w:szCs w:val="20"/>
        </w:rPr>
        <w:t>, we proceed by</w:t>
      </w:r>
      <w:r w:rsidRPr="00113825">
        <w:rPr>
          <w:rFonts w:cstheme="majorHAnsi"/>
          <w:szCs w:val="20"/>
        </w:rPr>
        <w:t xml:space="preserve"> evaluating the standard uncertainty</w:t>
      </w:r>
      <w:r w:rsidR="00486049" w:rsidRPr="00113825">
        <w:rPr>
          <w:rFonts w:cstheme="majorHAnsi"/>
          <w:szCs w:val="20"/>
        </w:rPr>
        <w:t xml:space="preserve"> </w:t>
      </w:r>
      <w:r w:rsidRPr="00113825">
        <w:rPr>
          <w:rFonts w:cstheme="majorHAnsi"/>
          <w:szCs w:val="20"/>
        </w:rPr>
        <w:t>for the function in Eq. (1), using Eq. (5)</w:t>
      </w:r>
      <w:r w:rsidR="00B73B94" w:rsidRPr="00113825">
        <w:rPr>
          <w:rFonts w:cstheme="majorHAnsi"/>
          <w:szCs w:val="20"/>
        </w:rPr>
        <w:t>.</w:t>
      </w:r>
      <w:r w:rsidR="00A906D7" w:rsidRPr="00113825">
        <w:rPr>
          <w:rFonts w:cstheme="majorHAnsi"/>
          <w:szCs w:val="20"/>
        </w:rPr>
        <w:t xml:space="preserve"> </w:t>
      </w:r>
      <w:r w:rsidR="00B73B94" w:rsidRPr="00113825">
        <w:rPr>
          <w:rFonts w:cstheme="majorHAnsi"/>
          <w:szCs w:val="20"/>
        </w:rPr>
        <w:t xml:space="preserve">For </w:t>
      </w:r>
      <w:r w:rsidR="00C67D77" w:rsidRPr="00113825">
        <w:rPr>
          <w:rFonts w:cstheme="majorHAnsi"/>
          <w:szCs w:val="20"/>
        </w:rPr>
        <w:t>a</w:t>
      </w:r>
      <w:r w:rsidR="00B73B94" w:rsidRPr="00113825">
        <w:rPr>
          <w:rFonts w:cstheme="majorHAnsi"/>
          <w:szCs w:val="20"/>
        </w:rPr>
        <w:t xml:space="preserve"> generic function </w:t>
      </w:r>
      <w:r w:rsidR="00B73B94" w:rsidRPr="00113825">
        <w:rPr>
          <w:rFonts w:cstheme="majorHAnsi"/>
          <w:i/>
          <w:szCs w:val="20"/>
        </w:rPr>
        <w:t>y = x</w:t>
      </w:r>
      <w:r w:rsidR="00B73B94" w:rsidRPr="00113825">
        <w:rPr>
          <w:rFonts w:cstheme="majorHAnsi"/>
          <w:i/>
          <w:szCs w:val="20"/>
          <w:vertAlign w:val="subscript"/>
        </w:rPr>
        <w:t>1</w:t>
      </w:r>
      <w:r w:rsidR="00B73B94" w:rsidRPr="00113825">
        <w:rPr>
          <w:rFonts w:cstheme="majorHAnsi"/>
          <w:i/>
          <w:szCs w:val="20"/>
        </w:rPr>
        <w:t xml:space="preserve"> </w:t>
      </w:r>
      <w:r w:rsidR="000322C3" w:rsidRPr="00113825">
        <w:rPr>
          <w:rFonts w:cstheme="majorHAnsi"/>
          <w:i/>
          <w:szCs w:val="20"/>
        </w:rPr>
        <w:t>-</w:t>
      </w:r>
      <w:r w:rsidR="00B73B94" w:rsidRPr="00113825">
        <w:rPr>
          <w:rFonts w:cstheme="majorHAnsi"/>
          <w:i/>
          <w:szCs w:val="20"/>
        </w:rPr>
        <w:t xml:space="preserve"> x</w:t>
      </w:r>
      <w:r w:rsidR="00B73B94" w:rsidRPr="00113825">
        <w:rPr>
          <w:rFonts w:cstheme="majorHAnsi"/>
          <w:i/>
          <w:szCs w:val="20"/>
          <w:vertAlign w:val="subscript"/>
        </w:rPr>
        <w:t>2</w:t>
      </w:r>
      <w:r w:rsidR="00B73B94" w:rsidRPr="00113825">
        <w:rPr>
          <w:rFonts w:cstheme="majorHAnsi"/>
          <w:i/>
          <w:szCs w:val="20"/>
        </w:rPr>
        <w:t xml:space="preserve"> </w:t>
      </w:r>
      <w:r w:rsidR="00B73B94" w:rsidRPr="00113825">
        <w:rPr>
          <w:rFonts w:cstheme="majorHAnsi"/>
          <w:szCs w:val="20"/>
        </w:rPr>
        <w:t>where x</w:t>
      </w:r>
      <w:r w:rsidR="00B73B94" w:rsidRPr="00113825">
        <w:rPr>
          <w:rFonts w:cstheme="majorHAnsi"/>
          <w:szCs w:val="20"/>
          <w:vertAlign w:val="subscript"/>
        </w:rPr>
        <w:t>1</w:t>
      </w:r>
      <w:r w:rsidR="00B73B94" w:rsidRPr="00113825">
        <w:rPr>
          <w:rFonts w:cstheme="majorHAnsi"/>
          <w:szCs w:val="20"/>
        </w:rPr>
        <w:t xml:space="preserve"> and x</w:t>
      </w:r>
      <w:r w:rsidR="00B73B94" w:rsidRPr="00113825">
        <w:rPr>
          <w:rFonts w:cstheme="majorHAnsi"/>
          <w:szCs w:val="20"/>
          <w:vertAlign w:val="subscript"/>
        </w:rPr>
        <w:t>2</w:t>
      </w:r>
      <w:r w:rsidR="00B73B94" w:rsidRPr="00113825">
        <w:rPr>
          <w:rFonts w:cstheme="majorHAnsi"/>
          <w:szCs w:val="20"/>
        </w:rPr>
        <w:t xml:space="preserve"> are uncorrelated, as per the</w:t>
      </w:r>
      <w:r w:rsidR="00C67D77" w:rsidRPr="00113825">
        <w:rPr>
          <w:rFonts w:cstheme="majorHAnsi"/>
          <w:szCs w:val="20"/>
        </w:rPr>
        <w:t xml:space="preserve"> Guide to Uncertainty and Measurement</w:t>
      </w:r>
      <w:r w:rsidR="00B73B94" w:rsidRPr="00113825">
        <w:rPr>
          <w:rFonts w:cstheme="majorHAnsi"/>
          <w:szCs w:val="20"/>
        </w:rPr>
        <w:t xml:space="preserve"> </w:t>
      </w:r>
      <w:r w:rsidR="00C67D77" w:rsidRPr="00113825">
        <w:rPr>
          <w:rFonts w:cstheme="majorHAnsi"/>
          <w:szCs w:val="20"/>
        </w:rPr>
        <w:t>(</w:t>
      </w:r>
      <w:r w:rsidR="00B73B94" w:rsidRPr="00113825">
        <w:rPr>
          <w:rFonts w:cstheme="majorHAnsi"/>
          <w:szCs w:val="20"/>
        </w:rPr>
        <w:t>GUM</w:t>
      </w:r>
      <w:r w:rsidR="00C67D77" w:rsidRPr="00113825">
        <w:rPr>
          <w:rFonts w:cstheme="majorHAnsi"/>
          <w:szCs w:val="20"/>
        </w:rPr>
        <w:t>)</w:t>
      </w:r>
      <w:r w:rsidR="00B73B94" w:rsidRPr="00113825">
        <w:rPr>
          <w:rFonts w:cstheme="majorHAnsi"/>
          <w:szCs w:val="20"/>
        </w:rPr>
        <w:t xml:space="preserve"> </w:t>
      </w:r>
      <w:r w:rsidR="00B73B94" w:rsidRPr="00113825">
        <w:rPr>
          <w:rFonts w:cstheme="majorHAnsi"/>
          <w:szCs w:val="20"/>
        </w:rPr>
        <w:fldChar w:fldCharType="begin" w:fldLock="1"/>
      </w:r>
      <w:r w:rsidR="0089363E" w:rsidRPr="00113825">
        <w:rPr>
          <w:rFonts w:cstheme="majorHAnsi"/>
          <w:szCs w:val="20"/>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measurement","type":"article-journal","volume":"50"},"uris":["http://www.mendeley.com/documents/?uuid=2470a84b-6509-45c2-abeb-1778e917d47b"]}],"mendeley":{"formattedCitation":"[43]","plainTextFormattedCitation":"[43]","previouslyFormattedCitation":"(Joint Committee For Guides In, 2008)"},"properties":{"noteIndex":0},"schema":"https://github.com/citation-style-language/schema/raw/master/csl-citation.json"}</w:instrText>
      </w:r>
      <w:r w:rsidR="00B73B94" w:rsidRPr="00113825">
        <w:rPr>
          <w:rFonts w:cstheme="majorHAnsi"/>
          <w:szCs w:val="20"/>
        </w:rPr>
        <w:fldChar w:fldCharType="separate"/>
      </w:r>
      <w:r w:rsidR="0089363E" w:rsidRPr="00113825">
        <w:rPr>
          <w:rFonts w:cstheme="majorHAnsi"/>
          <w:noProof/>
          <w:szCs w:val="20"/>
        </w:rPr>
        <w:t>[43]</w:t>
      </w:r>
      <w:r w:rsidR="00B73B94" w:rsidRPr="00113825">
        <w:rPr>
          <w:rFonts w:cstheme="majorHAnsi"/>
          <w:szCs w:val="20"/>
        </w:rPr>
        <w:fldChar w:fldCharType="end"/>
      </w:r>
      <w:r w:rsidR="00B73B94" w:rsidRPr="00113825">
        <w:rPr>
          <w:rFonts w:cstheme="majorHAnsi"/>
          <w:szCs w:val="20"/>
        </w:rPr>
        <w:t>, the uncertainty can be expressed as:</w:t>
      </w:r>
    </w:p>
    <w:p w14:paraId="3B4ED4C6" w14:textId="5E164DC9" w:rsidR="008574A9" w:rsidRPr="00113825" w:rsidRDefault="009F7B24" w:rsidP="008574A9">
      <w:pPr>
        <w:jc w:val="right"/>
        <w:rPr>
          <w:szCs w:val="20"/>
        </w:rPr>
      </w:pPr>
      <m:oMath>
        <m:sSup>
          <m:sSupPr>
            <m:ctrlPr>
              <w:rPr>
                <w:rFonts w:ascii="Cambria Math" w:hAnsi="Cambria Math"/>
                <w:szCs w:val="20"/>
              </w:rPr>
            </m:ctrlPr>
          </m:sSupPr>
          <m:e>
            <m:r>
              <w:rPr>
                <w:rFonts w:ascii="Cambria Math" w:hAnsi="Cambria Math"/>
                <w:szCs w:val="20"/>
              </w:rPr>
              <m:t>u</m:t>
            </m:r>
          </m:e>
          <m:sup>
            <m:r>
              <w:rPr>
                <w:rFonts w:ascii="Cambria Math" w:hAnsi="Cambria Math"/>
                <w:szCs w:val="20"/>
              </w:rPr>
              <m:t>2</m:t>
            </m:r>
          </m:sup>
        </m:sSup>
        <m:r>
          <w:rPr>
            <w:rFonts w:ascii="Cambria Math" w:hAnsi="Cambria Math"/>
            <w:szCs w:val="20"/>
          </w:rPr>
          <m:t>(y)=</m:t>
        </m:r>
        <m:sSup>
          <m:sSupPr>
            <m:ctrlPr>
              <w:rPr>
                <w:rFonts w:ascii="Cambria Math" w:hAnsi="Cambria Math"/>
                <w:szCs w:val="20"/>
              </w:rPr>
            </m:ctrlPr>
          </m:sSupPr>
          <m:e>
            <m:r>
              <w:rPr>
                <w:rFonts w:ascii="Cambria Math" w:hAnsi="Cambria Math"/>
                <w:szCs w:val="20"/>
              </w:rPr>
              <m:t>u</m:t>
            </m:r>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w:rPr>
                <w:rFonts w:ascii="Cambria Math" w:hAnsi="Cambria Math"/>
                <w:szCs w:val="20"/>
              </w:rPr>
              <m:t>x</m:t>
            </m:r>
          </m:e>
          <m:sub>
            <m:r>
              <w:rPr>
                <w:rFonts w:ascii="Cambria Math" w:hAnsi="Cambria Math"/>
                <w:szCs w:val="20"/>
              </w:rPr>
              <m:t>1</m:t>
            </m:r>
          </m:sub>
        </m:sSub>
        <m:r>
          <w:rPr>
            <w:rFonts w:ascii="Cambria Math" w:hAnsi="Cambria Math"/>
            <w:szCs w:val="20"/>
          </w:rPr>
          <m:t>)+</m:t>
        </m:r>
        <m:sSup>
          <m:sSupPr>
            <m:ctrlPr>
              <w:rPr>
                <w:rFonts w:ascii="Cambria Math" w:hAnsi="Cambria Math"/>
                <w:szCs w:val="20"/>
              </w:rPr>
            </m:ctrlPr>
          </m:sSupPr>
          <m:e>
            <m:r>
              <w:rPr>
                <w:rFonts w:ascii="Cambria Math" w:hAnsi="Cambria Math"/>
                <w:szCs w:val="20"/>
              </w:rPr>
              <m:t>u</m:t>
            </m:r>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w:rPr>
                <w:rFonts w:ascii="Cambria Math" w:hAnsi="Cambria Math"/>
                <w:szCs w:val="20"/>
              </w:rPr>
              <m:t>x</m:t>
            </m:r>
          </m:e>
          <m:sub>
            <m:r>
              <w:rPr>
                <w:rFonts w:ascii="Cambria Math" w:hAnsi="Cambria Math"/>
                <w:szCs w:val="20"/>
              </w:rPr>
              <m:t>2</m:t>
            </m:r>
          </m:sub>
        </m:sSub>
        <m:r>
          <w:rPr>
            <w:rFonts w:ascii="Cambria Math" w:hAnsi="Cambria Math"/>
            <w:szCs w:val="20"/>
          </w:rPr>
          <m:t>)</m:t>
        </m:r>
      </m:oMath>
      <w:r w:rsidR="008574A9" w:rsidRPr="00113825">
        <w:rPr>
          <w:szCs w:val="20"/>
        </w:rPr>
        <w:tab/>
      </w:r>
      <w:r w:rsidR="008574A9" w:rsidRPr="00113825">
        <w:rPr>
          <w:szCs w:val="20"/>
        </w:rPr>
        <w:tab/>
      </w:r>
      <w:r w:rsidR="00C47E88" w:rsidRPr="00113825">
        <w:rPr>
          <w:szCs w:val="20"/>
        </w:rPr>
        <w:tab/>
      </w:r>
      <w:r w:rsidR="008574A9" w:rsidRPr="00113825">
        <w:rPr>
          <w:szCs w:val="20"/>
        </w:rPr>
        <w:tab/>
      </w:r>
      <w:r w:rsidR="008574A9" w:rsidRPr="00113825">
        <w:rPr>
          <w:szCs w:val="20"/>
        </w:rPr>
        <w:tab/>
        <w:t>Eq. (</w:t>
      </w:r>
      <w:r w:rsidR="001059AB" w:rsidRPr="00113825">
        <w:rPr>
          <w:szCs w:val="20"/>
        </w:rPr>
        <w:t>5</w:t>
      </w:r>
      <w:r w:rsidR="008574A9" w:rsidRPr="00113825">
        <w:rPr>
          <w:szCs w:val="20"/>
        </w:rPr>
        <w:t>)</w:t>
      </w:r>
    </w:p>
    <w:p w14:paraId="2EF8493C" w14:textId="5FE97D71" w:rsidR="00757794" w:rsidRPr="00113825" w:rsidRDefault="007105A8" w:rsidP="00C53CF3">
      <w:pPr>
        <w:jc w:val="both"/>
        <w:rPr>
          <w:szCs w:val="20"/>
        </w:rPr>
      </w:pPr>
      <w:r w:rsidRPr="00113825">
        <w:rPr>
          <w:szCs w:val="20"/>
        </w:rPr>
        <w:t>Where</w:t>
      </w:r>
      <w:r w:rsidR="001059AB" w:rsidRPr="00113825">
        <w:rPr>
          <w:szCs w:val="20"/>
        </w:rPr>
        <w:t xml:space="preserve">, </w:t>
      </w:r>
      <w:r w:rsidR="00757794" w:rsidRPr="00113825">
        <w:rPr>
          <w:i/>
          <w:szCs w:val="20"/>
        </w:rPr>
        <w:t>u</w:t>
      </w:r>
      <w:r w:rsidR="001059AB" w:rsidRPr="00113825">
        <w:rPr>
          <w:i/>
          <w:szCs w:val="20"/>
          <w:vertAlign w:val="superscript"/>
        </w:rPr>
        <w:t>2</w:t>
      </w:r>
      <w:r w:rsidR="001059AB" w:rsidRPr="00113825">
        <w:rPr>
          <w:i/>
          <w:szCs w:val="20"/>
        </w:rPr>
        <w:t>(y)</w:t>
      </w:r>
      <w:r w:rsidR="001059AB" w:rsidRPr="00113825">
        <w:rPr>
          <w:szCs w:val="20"/>
        </w:rPr>
        <w:t xml:space="preserve"> is the </w:t>
      </w:r>
      <w:r w:rsidR="00873836" w:rsidRPr="00113825">
        <w:rPr>
          <w:szCs w:val="20"/>
        </w:rPr>
        <w:t xml:space="preserve">squared standard uncertainty (numerically and mathematically equal to variance) in </w:t>
      </w:r>
      <w:r w:rsidR="00873836" w:rsidRPr="00113825">
        <w:rPr>
          <w:i/>
          <w:szCs w:val="20"/>
        </w:rPr>
        <w:t>y</w:t>
      </w:r>
      <w:r w:rsidR="00873836" w:rsidRPr="00113825">
        <w:rPr>
          <w:szCs w:val="20"/>
        </w:rPr>
        <w:t xml:space="preserve">, </w:t>
      </w:r>
      <w:r w:rsidR="00757794" w:rsidRPr="00113825">
        <w:rPr>
          <w:szCs w:val="20"/>
        </w:rPr>
        <w:t xml:space="preserve">and </w:t>
      </w:r>
      <w:proofErr w:type="gramStart"/>
      <w:r w:rsidR="00757794" w:rsidRPr="00113825">
        <w:rPr>
          <w:i/>
          <w:szCs w:val="20"/>
        </w:rPr>
        <w:t>u</w:t>
      </w:r>
      <w:r w:rsidR="00757794" w:rsidRPr="00113825">
        <w:rPr>
          <w:i/>
          <w:szCs w:val="20"/>
          <w:vertAlign w:val="superscript"/>
        </w:rPr>
        <w:t>2</w:t>
      </w:r>
      <w:r w:rsidR="00757794" w:rsidRPr="00113825">
        <w:rPr>
          <w:i/>
          <w:szCs w:val="20"/>
        </w:rPr>
        <w:t>(</w:t>
      </w:r>
      <w:proofErr w:type="spellStart"/>
      <w:proofErr w:type="gramEnd"/>
      <w:r w:rsidR="00757794" w:rsidRPr="00113825">
        <w:rPr>
          <w:i/>
          <w:szCs w:val="20"/>
        </w:rPr>
        <w:t>x</w:t>
      </w:r>
      <w:r w:rsidR="00757794" w:rsidRPr="00113825">
        <w:rPr>
          <w:i/>
          <w:szCs w:val="20"/>
          <w:vertAlign w:val="subscript"/>
        </w:rPr>
        <w:t>n</w:t>
      </w:r>
      <w:proofErr w:type="spellEnd"/>
      <w:r w:rsidR="00757794" w:rsidRPr="00113825">
        <w:rPr>
          <w:i/>
          <w:szCs w:val="20"/>
        </w:rPr>
        <w:t>)</w:t>
      </w:r>
      <w:r w:rsidR="00757794" w:rsidRPr="00113825">
        <w:rPr>
          <w:szCs w:val="20"/>
        </w:rPr>
        <w:t xml:space="preserve"> is the standard uncertainty squared for a given </w:t>
      </w:r>
      <w:r w:rsidR="00757794" w:rsidRPr="00113825">
        <w:rPr>
          <w:i/>
          <w:szCs w:val="20"/>
        </w:rPr>
        <w:t xml:space="preserve">x </w:t>
      </w:r>
      <w:r w:rsidR="00757794" w:rsidRPr="00113825">
        <w:rPr>
          <w:szCs w:val="20"/>
        </w:rPr>
        <w:t>variable.</w:t>
      </w:r>
      <w:r w:rsidR="00682192" w:rsidRPr="00113825">
        <w:rPr>
          <w:szCs w:val="20"/>
        </w:rPr>
        <w:t xml:space="preserve"> The variable x</w:t>
      </w:r>
      <w:r w:rsidR="00682192" w:rsidRPr="00113825">
        <w:rPr>
          <w:szCs w:val="20"/>
          <w:vertAlign w:val="subscript"/>
        </w:rPr>
        <w:t>1</w:t>
      </w:r>
      <w:r w:rsidR="00682192" w:rsidRPr="00113825">
        <w:rPr>
          <w:szCs w:val="20"/>
        </w:rPr>
        <w:t xml:space="preserve"> </w:t>
      </w:r>
      <w:r w:rsidR="00C67D77" w:rsidRPr="00113825">
        <w:rPr>
          <w:szCs w:val="20"/>
        </w:rPr>
        <w:t xml:space="preserve">here </w:t>
      </w:r>
      <w:r w:rsidR="00682192" w:rsidRPr="00113825">
        <w:rPr>
          <w:szCs w:val="20"/>
        </w:rPr>
        <w:t xml:space="preserve">corresponds to the </w:t>
      </w:r>
      <w:proofErr w:type="spellStart"/>
      <w:r w:rsidR="00682192" w:rsidRPr="00113825">
        <w:rPr>
          <w:i/>
          <w:szCs w:val="20"/>
        </w:rPr>
        <w:t>GAI_reg</w:t>
      </w:r>
      <w:proofErr w:type="spellEnd"/>
      <w:r w:rsidR="00682192" w:rsidRPr="00113825">
        <w:rPr>
          <w:szCs w:val="20"/>
        </w:rPr>
        <w:t xml:space="preserve"> values and the variable x</w:t>
      </w:r>
      <w:r w:rsidR="00682192" w:rsidRPr="00113825">
        <w:rPr>
          <w:szCs w:val="20"/>
          <w:vertAlign w:val="subscript"/>
        </w:rPr>
        <w:t>2</w:t>
      </w:r>
      <w:r w:rsidR="00682192" w:rsidRPr="00113825">
        <w:rPr>
          <w:szCs w:val="20"/>
        </w:rPr>
        <w:t xml:space="preserve"> corresponds to the </w:t>
      </w:r>
      <w:proofErr w:type="spellStart"/>
      <w:r w:rsidR="00682192" w:rsidRPr="00113825">
        <w:rPr>
          <w:i/>
          <w:szCs w:val="20"/>
        </w:rPr>
        <w:t>NL_reg</w:t>
      </w:r>
      <w:proofErr w:type="spellEnd"/>
      <w:r w:rsidR="00682192" w:rsidRPr="00113825">
        <w:rPr>
          <w:szCs w:val="20"/>
        </w:rPr>
        <w:t xml:space="preserve"> values. For cases where the standard deviation of NAI is provided, uncertainty propagation u</w:t>
      </w:r>
      <w:r w:rsidR="000322C3" w:rsidRPr="00113825">
        <w:rPr>
          <w:szCs w:val="20"/>
        </w:rPr>
        <w:t xml:space="preserve">sing Eq. (5) would be redundant and </w:t>
      </w:r>
      <w:r w:rsidR="005A3020" w:rsidRPr="00113825">
        <w:rPr>
          <w:szCs w:val="20"/>
        </w:rPr>
        <w:t>the uncertainty assessment should then start from the next step.</w:t>
      </w:r>
    </w:p>
    <w:p w14:paraId="06BDF394" w14:textId="12048D71" w:rsidR="00B73B94" w:rsidRPr="00113825" w:rsidRDefault="00184254" w:rsidP="00B73B94">
      <w:pPr>
        <w:jc w:val="both"/>
        <w:rPr>
          <w:rFonts w:cstheme="majorHAnsi"/>
          <w:szCs w:val="20"/>
        </w:rPr>
      </w:pPr>
      <w:r w:rsidRPr="00113825">
        <w:rPr>
          <w:szCs w:val="20"/>
        </w:rPr>
        <w:t xml:space="preserve">The uncertainty from Eq. (5) is then propagated to the calculation of average stemwood NAI in </w:t>
      </w:r>
      <w:r w:rsidR="006C1969" w:rsidRPr="00113825">
        <w:rPr>
          <w:szCs w:val="20"/>
        </w:rPr>
        <w:t>Mg</w:t>
      </w:r>
      <w:r w:rsidRPr="00113825">
        <w:rPr>
          <w:szCs w:val="20"/>
          <w:vertAlign w:val="subscript"/>
        </w:rPr>
        <w:t>dry matter</w:t>
      </w:r>
      <w:r w:rsidRPr="00113825">
        <w:rPr>
          <w:szCs w:val="20"/>
        </w:rPr>
        <w:t xml:space="preserve"> </w:t>
      </w:r>
      <w:r w:rsidR="006167B1" w:rsidRPr="00113825">
        <w:rPr>
          <w:szCs w:val="20"/>
        </w:rPr>
        <w:t>year</w:t>
      </w:r>
      <w:r w:rsidRPr="00113825">
        <w:rPr>
          <w:szCs w:val="20"/>
          <w:vertAlign w:val="superscript"/>
        </w:rPr>
        <w:t>-1</w:t>
      </w:r>
      <w:r w:rsidRPr="00113825">
        <w:rPr>
          <w:szCs w:val="20"/>
        </w:rPr>
        <w:t xml:space="preserve"> through the functional Eq. (3). To account for the uncertainty </w:t>
      </w:r>
      <w:r w:rsidR="007105A8" w:rsidRPr="00113825">
        <w:rPr>
          <w:szCs w:val="20"/>
        </w:rPr>
        <w:t xml:space="preserve">in the functional Eq. (3), we use the expression giving </w:t>
      </w:r>
      <w:r w:rsidR="007105A8" w:rsidRPr="00113825">
        <w:rPr>
          <w:szCs w:val="20"/>
        </w:rPr>
        <w:lastRenderedPageBreak/>
        <w:t>the standard uncertainty in Eq. (6)</w:t>
      </w:r>
      <w:r w:rsidR="00B73B94" w:rsidRPr="00113825">
        <w:rPr>
          <w:szCs w:val="20"/>
        </w:rPr>
        <w:t xml:space="preserve">. For </w:t>
      </w:r>
      <w:r w:rsidR="00B73B94" w:rsidRPr="00113825">
        <w:rPr>
          <w:rFonts w:cstheme="majorHAnsi"/>
          <w:szCs w:val="20"/>
        </w:rPr>
        <w:t xml:space="preserve">the generic function, </w:t>
      </w:r>
      <w:r w:rsidR="00B73B94" w:rsidRPr="00113825">
        <w:rPr>
          <w:rFonts w:cstheme="majorHAnsi"/>
          <w:i/>
          <w:szCs w:val="20"/>
        </w:rPr>
        <w:t xml:space="preserve">y = </w:t>
      </w:r>
      <w:r w:rsidR="00D75C69" w:rsidRPr="00113825">
        <w:rPr>
          <w:rFonts w:cstheme="majorHAnsi"/>
          <w:i/>
          <w:szCs w:val="20"/>
        </w:rPr>
        <w:t>Ax</w:t>
      </w:r>
      <w:r w:rsidR="00D75C69" w:rsidRPr="00113825">
        <w:rPr>
          <w:rFonts w:cstheme="majorHAnsi"/>
          <w:i/>
          <w:szCs w:val="20"/>
          <w:vertAlign w:val="subscript"/>
        </w:rPr>
        <w:t>1</w:t>
      </w:r>
      <w:r w:rsidR="00B73B94" w:rsidRPr="00113825">
        <w:rPr>
          <w:rFonts w:cstheme="majorHAnsi"/>
          <w:i/>
          <w:szCs w:val="20"/>
        </w:rPr>
        <w:t xml:space="preserve"> </w:t>
      </w:r>
      <w:r w:rsidR="00B73B94" w:rsidRPr="00113825">
        <w:rPr>
          <w:rFonts w:cstheme="majorHAnsi"/>
          <w:szCs w:val="20"/>
        </w:rPr>
        <w:t xml:space="preserve">where </w:t>
      </w:r>
      <w:r w:rsidR="00A97F27" w:rsidRPr="00113825">
        <w:rPr>
          <w:rFonts w:cstheme="majorHAnsi"/>
          <w:szCs w:val="20"/>
        </w:rPr>
        <w:t>‘</w:t>
      </w:r>
      <w:r w:rsidR="00D75C69" w:rsidRPr="00113825">
        <w:rPr>
          <w:rFonts w:cstheme="majorHAnsi"/>
          <w:i/>
          <w:szCs w:val="20"/>
        </w:rPr>
        <w:t>A</w:t>
      </w:r>
      <w:r w:rsidR="00A97F27" w:rsidRPr="00113825">
        <w:rPr>
          <w:rFonts w:cstheme="majorHAnsi"/>
          <w:szCs w:val="20"/>
        </w:rPr>
        <w:t>’</w:t>
      </w:r>
      <w:r w:rsidR="00D75C69" w:rsidRPr="00113825">
        <w:rPr>
          <w:rFonts w:cstheme="majorHAnsi"/>
          <w:szCs w:val="20"/>
        </w:rPr>
        <w:t xml:space="preserve"> is a constant and x</w:t>
      </w:r>
      <w:r w:rsidR="00D75C69" w:rsidRPr="00113825">
        <w:rPr>
          <w:rFonts w:cstheme="majorHAnsi"/>
          <w:szCs w:val="20"/>
          <w:vertAlign w:val="subscript"/>
        </w:rPr>
        <w:t>1</w:t>
      </w:r>
      <w:r w:rsidR="00D75C69" w:rsidRPr="00113825">
        <w:rPr>
          <w:rFonts w:cstheme="majorHAnsi"/>
          <w:szCs w:val="20"/>
        </w:rPr>
        <w:t xml:space="preserve"> is a measured variable</w:t>
      </w:r>
      <w:r w:rsidR="00B73B94" w:rsidRPr="00113825">
        <w:rPr>
          <w:rFonts w:cstheme="majorHAnsi"/>
          <w:szCs w:val="20"/>
        </w:rPr>
        <w:t xml:space="preserve">, as per the GUM </w:t>
      </w:r>
      <w:r w:rsidR="00B73B94" w:rsidRPr="00113825">
        <w:rPr>
          <w:rFonts w:cstheme="majorHAnsi"/>
          <w:szCs w:val="20"/>
        </w:rPr>
        <w:fldChar w:fldCharType="begin" w:fldLock="1"/>
      </w:r>
      <w:r w:rsidR="0089363E" w:rsidRPr="00113825">
        <w:rPr>
          <w:rFonts w:cstheme="majorHAnsi"/>
          <w:szCs w:val="20"/>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measurement","type":"article-journal","volume":"50"},"uris":["http://www.mendeley.com/documents/?uuid=2470a84b-6509-45c2-abeb-1778e917d47b"]}],"mendeley":{"formattedCitation":"[43]","plainTextFormattedCitation":"[43]","previouslyFormattedCitation":"(Joint Committee For Guides In, 2008)"},"properties":{"noteIndex":0},"schema":"https://github.com/citation-style-language/schema/raw/master/csl-citation.json"}</w:instrText>
      </w:r>
      <w:r w:rsidR="00B73B94" w:rsidRPr="00113825">
        <w:rPr>
          <w:rFonts w:cstheme="majorHAnsi"/>
          <w:szCs w:val="20"/>
        </w:rPr>
        <w:fldChar w:fldCharType="separate"/>
      </w:r>
      <w:r w:rsidR="0089363E" w:rsidRPr="00113825">
        <w:rPr>
          <w:rFonts w:cstheme="majorHAnsi"/>
          <w:noProof/>
          <w:szCs w:val="20"/>
        </w:rPr>
        <w:t>[43]</w:t>
      </w:r>
      <w:r w:rsidR="00B73B94" w:rsidRPr="00113825">
        <w:rPr>
          <w:rFonts w:cstheme="majorHAnsi"/>
          <w:szCs w:val="20"/>
        </w:rPr>
        <w:fldChar w:fldCharType="end"/>
      </w:r>
      <w:r w:rsidR="00B73B94" w:rsidRPr="00113825">
        <w:rPr>
          <w:rFonts w:cstheme="majorHAnsi"/>
          <w:szCs w:val="20"/>
        </w:rPr>
        <w:t>, the uncertainty can be expressed as:</w:t>
      </w:r>
    </w:p>
    <w:p w14:paraId="5A458FE9" w14:textId="6E2D6037" w:rsidR="008574A9" w:rsidRPr="00113825" w:rsidRDefault="009F7B24" w:rsidP="008574A9">
      <w:pPr>
        <w:jc w:val="right"/>
        <w:rPr>
          <w:i/>
          <w:szCs w:val="20"/>
        </w:rPr>
      </w:pPr>
      <m:oMath>
        <m:sSup>
          <m:sSupPr>
            <m:ctrlPr>
              <w:rPr>
                <w:rFonts w:ascii="Cambria Math" w:hAnsi="Cambria Math"/>
                <w:i/>
                <w:szCs w:val="20"/>
              </w:rPr>
            </m:ctrlPr>
          </m:sSupPr>
          <m:e>
            <m:r>
              <w:rPr>
                <w:rFonts w:ascii="Cambria Math" w:hAnsi="Cambria Math"/>
                <w:szCs w:val="20"/>
              </w:rPr>
              <m:t>u</m:t>
            </m:r>
          </m:e>
          <m:sup>
            <m:r>
              <w:rPr>
                <w:rFonts w:ascii="Cambria Math" w:hAnsi="Cambria Math"/>
                <w:szCs w:val="20"/>
              </w:rPr>
              <m:t>2</m:t>
            </m:r>
          </m:sup>
        </m:sSup>
        <m:d>
          <m:dPr>
            <m:ctrlPr>
              <w:rPr>
                <w:rFonts w:ascii="Cambria Math" w:hAnsi="Cambria Math"/>
                <w:i/>
                <w:szCs w:val="20"/>
              </w:rPr>
            </m:ctrlPr>
          </m:dPr>
          <m:e>
            <m:r>
              <w:rPr>
                <w:rFonts w:ascii="Cambria Math" w:hAnsi="Cambria Math"/>
                <w:szCs w:val="20"/>
              </w:rPr>
              <m:t>y</m:t>
            </m:r>
          </m:e>
        </m:d>
        <m:r>
          <w:rPr>
            <w:rFonts w:ascii="Cambria Math" w:hAnsi="Cambria Math"/>
            <w:szCs w:val="20"/>
          </w:rPr>
          <m:t>=</m:t>
        </m:r>
        <m:sSup>
          <m:sSupPr>
            <m:ctrlPr>
              <w:rPr>
                <w:rFonts w:ascii="Cambria Math" w:hAnsi="Cambria Math"/>
                <w:i/>
                <w:szCs w:val="20"/>
              </w:rPr>
            </m:ctrlPr>
          </m:sSupPr>
          <m:e>
            <m:r>
              <w:rPr>
                <w:rFonts w:ascii="Cambria Math" w:hAnsi="Cambria Math"/>
                <w:szCs w:val="20"/>
              </w:rPr>
              <m:t>A</m:t>
            </m:r>
          </m:e>
          <m:sup>
            <m:r>
              <w:rPr>
                <w:rFonts w:ascii="Cambria Math" w:hAnsi="Cambria Math"/>
                <w:szCs w:val="20"/>
              </w:rPr>
              <m:t>2</m:t>
            </m:r>
          </m:sup>
        </m:sSup>
        <m:sSup>
          <m:sSupPr>
            <m:ctrlPr>
              <w:rPr>
                <w:rFonts w:ascii="Cambria Math" w:hAnsi="Cambria Math"/>
                <w:i/>
                <w:szCs w:val="20"/>
              </w:rPr>
            </m:ctrlPr>
          </m:sSupPr>
          <m:e>
            <m:r>
              <w:rPr>
                <w:rFonts w:ascii="Cambria Math" w:hAnsi="Cambria Math"/>
                <w:szCs w:val="20"/>
              </w:rPr>
              <m:t>u</m:t>
            </m:r>
          </m:e>
          <m:sup>
            <m:r>
              <w:rPr>
                <w:rFonts w:ascii="Cambria Math" w:hAnsi="Cambria Math"/>
                <w:szCs w:val="20"/>
              </w:rPr>
              <m:t>2</m:t>
            </m:r>
          </m:sup>
        </m:sSup>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1</m:t>
            </m:r>
          </m:sub>
        </m:sSub>
        <m:r>
          <w:rPr>
            <w:rFonts w:ascii="Cambria Math" w:hAnsi="Cambria Math"/>
            <w:szCs w:val="20"/>
          </w:rPr>
          <m:t>)</m:t>
        </m:r>
      </m:oMath>
      <w:r w:rsidR="00C47E88" w:rsidRPr="00113825">
        <w:rPr>
          <w:rFonts w:eastAsiaTheme="minorEastAsia"/>
          <w:i/>
          <w:szCs w:val="20"/>
        </w:rPr>
        <w:t xml:space="preserve"> </w:t>
      </w:r>
      <w:r w:rsidR="00C47E88" w:rsidRPr="00113825">
        <w:rPr>
          <w:rFonts w:eastAsiaTheme="minorEastAsia"/>
          <w:i/>
          <w:szCs w:val="20"/>
        </w:rPr>
        <w:tab/>
      </w:r>
      <w:r w:rsidR="008574A9" w:rsidRPr="00113825">
        <w:rPr>
          <w:i/>
          <w:szCs w:val="20"/>
        </w:rPr>
        <w:tab/>
      </w:r>
      <w:r w:rsidR="00C47E88" w:rsidRPr="00113825">
        <w:rPr>
          <w:i/>
          <w:szCs w:val="20"/>
        </w:rPr>
        <w:tab/>
      </w:r>
      <w:r w:rsidR="008574A9" w:rsidRPr="00113825">
        <w:rPr>
          <w:i/>
          <w:szCs w:val="20"/>
        </w:rPr>
        <w:tab/>
      </w:r>
      <w:r w:rsidR="008574A9" w:rsidRPr="00113825">
        <w:rPr>
          <w:i/>
          <w:szCs w:val="20"/>
        </w:rPr>
        <w:tab/>
        <w:t>Eq. (</w:t>
      </w:r>
      <w:r w:rsidR="001059AB" w:rsidRPr="00113825">
        <w:rPr>
          <w:i/>
          <w:szCs w:val="20"/>
        </w:rPr>
        <w:t>6</w:t>
      </w:r>
      <w:r w:rsidR="008574A9" w:rsidRPr="00113825">
        <w:rPr>
          <w:i/>
          <w:szCs w:val="20"/>
        </w:rPr>
        <w:t>)</w:t>
      </w:r>
    </w:p>
    <w:p w14:paraId="7F379659" w14:textId="3847C085" w:rsidR="006D5839" w:rsidRPr="00113825" w:rsidRDefault="007105A8" w:rsidP="00C53CF3">
      <w:pPr>
        <w:jc w:val="both"/>
        <w:rPr>
          <w:szCs w:val="20"/>
        </w:rPr>
      </w:pPr>
      <w:r w:rsidRPr="00113825">
        <w:rPr>
          <w:szCs w:val="20"/>
        </w:rPr>
        <w:t xml:space="preserve">Where, </w:t>
      </w:r>
      <w:r w:rsidRPr="00113825">
        <w:rPr>
          <w:i/>
          <w:szCs w:val="20"/>
        </w:rPr>
        <w:t>u</w:t>
      </w:r>
      <w:r w:rsidR="00C47E88" w:rsidRPr="00113825">
        <w:rPr>
          <w:i/>
          <w:szCs w:val="20"/>
          <w:vertAlign w:val="superscript"/>
        </w:rPr>
        <w:t>2</w:t>
      </w:r>
      <w:r w:rsidRPr="00113825">
        <w:rPr>
          <w:i/>
          <w:szCs w:val="20"/>
        </w:rPr>
        <w:t xml:space="preserve">(y) </w:t>
      </w:r>
      <w:r w:rsidRPr="00113825">
        <w:rPr>
          <w:szCs w:val="20"/>
        </w:rPr>
        <w:t xml:space="preserve">is the </w:t>
      </w:r>
      <w:r w:rsidR="00C47E88" w:rsidRPr="00113825">
        <w:rPr>
          <w:szCs w:val="20"/>
        </w:rPr>
        <w:t xml:space="preserve">squared </w:t>
      </w:r>
      <w:r w:rsidRPr="00113825">
        <w:rPr>
          <w:szCs w:val="20"/>
        </w:rPr>
        <w:t xml:space="preserve">standard uncertainty in the </w:t>
      </w:r>
      <w:proofErr w:type="spellStart"/>
      <w:r w:rsidRPr="00113825">
        <w:rPr>
          <w:szCs w:val="20"/>
        </w:rPr>
        <w:t>measu</w:t>
      </w:r>
      <w:r w:rsidR="00682192" w:rsidRPr="00113825">
        <w:rPr>
          <w:szCs w:val="20"/>
        </w:rPr>
        <w:t>rand</w:t>
      </w:r>
      <w:proofErr w:type="spellEnd"/>
      <w:r w:rsidR="00682192" w:rsidRPr="00113825">
        <w:rPr>
          <w:szCs w:val="20"/>
        </w:rPr>
        <w:t xml:space="preserve"> </w:t>
      </w:r>
      <w:r w:rsidR="00682192" w:rsidRPr="00113825">
        <w:rPr>
          <w:i/>
          <w:szCs w:val="20"/>
        </w:rPr>
        <w:t>y</w:t>
      </w:r>
      <w:r w:rsidR="00682192" w:rsidRPr="00113825">
        <w:rPr>
          <w:szCs w:val="20"/>
        </w:rPr>
        <w:t xml:space="preserve">, and </w:t>
      </w:r>
      <w:proofErr w:type="gramStart"/>
      <w:r w:rsidR="00682192" w:rsidRPr="00113825">
        <w:rPr>
          <w:i/>
          <w:szCs w:val="20"/>
        </w:rPr>
        <w:t>u</w:t>
      </w:r>
      <w:r w:rsidR="00C47E88" w:rsidRPr="00113825">
        <w:rPr>
          <w:i/>
          <w:szCs w:val="20"/>
          <w:vertAlign w:val="superscript"/>
        </w:rPr>
        <w:t>2</w:t>
      </w:r>
      <w:r w:rsidR="00682192" w:rsidRPr="00113825">
        <w:rPr>
          <w:i/>
          <w:szCs w:val="20"/>
        </w:rPr>
        <w:t>(</w:t>
      </w:r>
      <w:proofErr w:type="spellStart"/>
      <w:proofErr w:type="gramEnd"/>
      <w:r w:rsidR="00682192" w:rsidRPr="00113825">
        <w:rPr>
          <w:i/>
          <w:szCs w:val="20"/>
        </w:rPr>
        <w:t>x</w:t>
      </w:r>
      <w:r w:rsidR="00682192" w:rsidRPr="00113825">
        <w:rPr>
          <w:i/>
          <w:szCs w:val="20"/>
          <w:vertAlign w:val="subscript"/>
        </w:rPr>
        <w:t>n</w:t>
      </w:r>
      <w:proofErr w:type="spellEnd"/>
      <w:r w:rsidR="00682192" w:rsidRPr="00113825">
        <w:rPr>
          <w:i/>
          <w:szCs w:val="20"/>
        </w:rPr>
        <w:t>)</w:t>
      </w:r>
      <w:r w:rsidR="00682192" w:rsidRPr="00113825">
        <w:rPr>
          <w:szCs w:val="20"/>
        </w:rPr>
        <w:t xml:space="preserve"> is the standard uncertainty </w:t>
      </w:r>
      <w:r w:rsidR="00C47E88" w:rsidRPr="00113825">
        <w:rPr>
          <w:szCs w:val="20"/>
        </w:rPr>
        <w:t>square</w:t>
      </w:r>
      <w:r w:rsidR="000A7A8A" w:rsidRPr="00113825">
        <w:rPr>
          <w:szCs w:val="20"/>
        </w:rPr>
        <w:t>d</w:t>
      </w:r>
      <w:r w:rsidR="00C47E88" w:rsidRPr="00113825">
        <w:rPr>
          <w:szCs w:val="20"/>
        </w:rPr>
        <w:t xml:space="preserve"> </w:t>
      </w:r>
      <w:r w:rsidR="00682192" w:rsidRPr="00113825">
        <w:rPr>
          <w:szCs w:val="20"/>
        </w:rPr>
        <w:t xml:space="preserve">in the variable </w:t>
      </w:r>
      <w:r w:rsidR="00682192" w:rsidRPr="00113825">
        <w:rPr>
          <w:i/>
          <w:szCs w:val="20"/>
        </w:rPr>
        <w:t>x.</w:t>
      </w:r>
      <w:r w:rsidR="00543E8B" w:rsidRPr="00113825">
        <w:rPr>
          <w:szCs w:val="20"/>
        </w:rPr>
        <w:t xml:space="preserve"> The variable x</w:t>
      </w:r>
      <w:r w:rsidR="00543E8B" w:rsidRPr="00113825">
        <w:rPr>
          <w:szCs w:val="20"/>
          <w:vertAlign w:val="subscript"/>
        </w:rPr>
        <w:t>1</w:t>
      </w:r>
      <w:r w:rsidR="00543E8B" w:rsidRPr="00113825">
        <w:rPr>
          <w:szCs w:val="20"/>
        </w:rPr>
        <w:t xml:space="preserve"> in Eq. (6) corresponds to the NAI that is propagated through Eq. (5) and the </w:t>
      </w:r>
      <w:r w:rsidR="00C87E70" w:rsidRPr="00113825">
        <w:rPr>
          <w:szCs w:val="20"/>
        </w:rPr>
        <w:t>constant</w:t>
      </w:r>
      <w:r w:rsidR="00543E8B" w:rsidRPr="00113825">
        <w:rPr>
          <w:szCs w:val="20"/>
        </w:rPr>
        <w:t xml:space="preserve"> </w:t>
      </w:r>
      <w:r w:rsidR="00C87E70" w:rsidRPr="00113825">
        <w:rPr>
          <w:i/>
          <w:szCs w:val="20"/>
        </w:rPr>
        <w:t>A</w:t>
      </w:r>
      <w:r w:rsidR="00543E8B" w:rsidRPr="00113825">
        <w:rPr>
          <w:szCs w:val="20"/>
        </w:rPr>
        <w:t xml:space="preserve"> corresponds to the factor of basic wood density </w:t>
      </w:r>
      <w:r w:rsidR="00543E8B" w:rsidRPr="00113825">
        <w:rPr>
          <w:i/>
          <w:szCs w:val="20"/>
        </w:rPr>
        <w:t>(D)</w:t>
      </w:r>
      <w:r w:rsidR="00D75C69" w:rsidRPr="00113825">
        <w:rPr>
          <w:szCs w:val="20"/>
        </w:rPr>
        <w:t xml:space="preserve">. The value of </w:t>
      </w:r>
      <w:r w:rsidR="00D75C69" w:rsidRPr="00113825">
        <w:rPr>
          <w:i/>
          <w:szCs w:val="20"/>
        </w:rPr>
        <w:t>D</w:t>
      </w:r>
      <w:r w:rsidR="00D75C69" w:rsidRPr="00113825">
        <w:rPr>
          <w:szCs w:val="20"/>
        </w:rPr>
        <w:t xml:space="preserve"> is considered as a constant and represents the mean of the </w:t>
      </w:r>
      <w:r w:rsidR="00D75C69" w:rsidRPr="00113825">
        <w:rPr>
          <w:i/>
          <w:szCs w:val="20"/>
        </w:rPr>
        <w:t>D</w:t>
      </w:r>
      <w:r w:rsidR="00D75C69" w:rsidRPr="00113825">
        <w:rPr>
          <w:szCs w:val="20"/>
        </w:rPr>
        <w:t xml:space="preserve"> for different tree species of a particular forest class. To evaluate the uncertainty </w:t>
      </w:r>
      <w:r w:rsidR="00C87E70" w:rsidRPr="00113825">
        <w:rPr>
          <w:szCs w:val="20"/>
        </w:rPr>
        <w:t xml:space="preserve">coming from the range of </w:t>
      </w:r>
      <w:r w:rsidR="00C87E70" w:rsidRPr="00113825">
        <w:rPr>
          <w:i/>
          <w:szCs w:val="20"/>
        </w:rPr>
        <w:t>D</w:t>
      </w:r>
      <w:r w:rsidR="00C87E70" w:rsidRPr="00113825">
        <w:rPr>
          <w:szCs w:val="20"/>
        </w:rPr>
        <w:t xml:space="preserve">, </w:t>
      </w:r>
      <w:r w:rsidR="008444C3" w:rsidRPr="00113825">
        <w:rPr>
          <w:szCs w:val="20"/>
        </w:rPr>
        <w:t xml:space="preserve">Eq. (6) is </w:t>
      </w:r>
      <w:r w:rsidR="000A7A8A" w:rsidRPr="00113825">
        <w:rPr>
          <w:szCs w:val="20"/>
        </w:rPr>
        <w:t xml:space="preserve">calculated with </w:t>
      </w:r>
      <w:r w:rsidR="00F12269" w:rsidRPr="00113825">
        <w:rPr>
          <w:szCs w:val="20"/>
        </w:rPr>
        <w:t xml:space="preserve">its </w:t>
      </w:r>
      <w:r w:rsidR="005A3020" w:rsidRPr="00113825">
        <w:rPr>
          <w:szCs w:val="20"/>
        </w:rPr>
        <w:t xml:space="preserve">maximum and </w:t>
      </w:r>
      <w:r w:rsidR="00F12269" w:rsidRPr="00113825">
        <w:rPr>
          <w:szCs w:val="20"/>
        </w:rPr>
        <w:t xml:space="preserve">minimum </w:t>
      </w:r>
      <w:r w:rsidR="000A7A8A" w:rsidRPr="00113825">
        <w:rPr>
          <w:szCs w:val="20"/>
        </w:rPr>
        <w:t>values</w:t>
      </w:r>
      <w:r w:rsidR="00F12269" w:rsidRPr="00113825">
        <w:rPr>
          <w:szCs w:val="20"/>
        </w:rPr>
        <w:t>.</w:t>
      </w:r>
    </w:p>
    <w:p w14:paraId="6E497D4D" w14:textId="7D3C4CFC" w:rsidR="0001562B" w:rsidRPr="00113825" w:rsidRDefault="000A7A8A" w:rsidP="00C53CF3">
      <w:pPr>
        <w:jc w:val="both"/>
        <w:rPr>
          <w:szCs w:val="20"/>
        </w:rPr>
      </w:pPr>
      <w:r w:rsidRPr="00113825">
        <w:rPr>
          <w:szCs w:val="20"/>
        </w:rPr>
        <w:t xml:space="preserve">Finally, </w:t>
      </w:r>
      <w:r w:rsidR="00C67D77" w:rsidRPr="00113825">
        <w:rPr>
          <w:szCs w:val="20"/>
        </w:rPr>
        <w:t xml:space="preserve">the </w:t>
      </w:r>
      <w:r w:rsidR="0053768F" w:rsidRPr="00113825">
        <w:rPr>
          <w:szCs w:val="20"/>
        </w:rPr>
        <w:t xml:space="preserve">uncertainty from Eq. (6) is propagated </w:t>
      </w:r>
      <w:r w:rsidR="00F12269" w:rsidRPr="00113825">
        <w:rPr>
          <w:szCs w:val="20"/>
        </w:rPr>
        <w:t>in</w:t>
      </w:r>
      <w:r w:rsidR="0053768F" w:rsidRPr="00113825">
        <w:rPr>
          <w:szCs w:val="20"/>
        </w:rPr>
        <w:t xml:space="preserve"> the calculation of above-ground forestry residues</w:t>
      </w:r>
      <w:r w:rsidR="007D5499" w:rsidRPr="00113825">
        <w:rPr>
          <w:szCs w:val="20"/>
        </w:rPr>
        <w:t>.</w:t>
      </w:r>
      <w:r w:rsidR="0053768F" w:rsidRPr="00113825">
        <w:rPr>
          <w:szCs w:val="20"/>
        </w:rPr>
        <w:t xml:space="preserve"> </w:t>
      </w:r>
      <w:r w:rsidR="00A906D7" w:rsidRPr="00113825">
        <w:rPr>
          <w:szCs w:val="20"/>
        </w:rPr>
        <w:t xml:space="preserve">Eq. (4) has two arithmetic operations, </w:t>
      </w:r>
      <w:r w:rsidR="00012671" w:rsidRPr="00113825">
        <w:rPr>
          <w:szCs w:val="20"/>
        </w:rPr>
        <w:t>and its generic structure is</w:t>
      </w:r>
      <w:r w:rsidR="00770798" w:rsidRPr="00113825">
        <w:rPr>
          <w:szCs w:val="20"/>
        </w:rPr>
        <w:t xml:space="preserve"> </w:t>
      </w:r>
      <w:r w:rsidR="00770798" w:rsidRPr="00113825">
        <w:rPr>
          <w:i/>
          <w:szCs w:val="20"/>
        </w:rPr>
        <w:t>y = Ax</w:t>
      </w:r>
      <w:r w:rsidR="00770798" w:rsidRPr="00113825">
        <w:rPr>
          <w:i/>
          <w:szCs w:val="20"/>
          <w:vertAlign w:val="subscript"/>
        </w:rPr>
        <w:t>1</w:t>
      </w:r>
      <w:r w:rsidR="00770798" w:rsidRPr="00113825">
        <w:rPr>
          <w:i/>
          <w:szCs w:val="20"/>
          <w:vertAlign w:val="subscript"/>
        </w:rPr>
        <w:softHyphen/>
      </w:r>
      <w:r w:rsidR="00770798" w:rsidRPr="00113825">
        <w:rPr>
          <w:i/>
          <w:szCs w:val="20"/>
          <w:vertAlign w:val="subscript"/>
        </w:rPr>
        <w:softHyphen/>
      </w:r>
      <w:r w:rsidR="00770798" w:rsidRPr="00113825">
        <w:rPr>
          <w:i/>
          <w:szCs w:val="20"/>
          <w:vertAlign w:val="subscript"/>
        </w:rPr>
        <w:softHyphen/>
      </w:r>
      <w:r w:rsidR="00770798" w:rsidRPr="00113825">
        <w:rPr>
          <w:i/>
          <w:szCs w:val="20"/>
        </w:rPr>
        <w:softHyphen/>
        <w:t xml:space="preserve"> – x</w:t>
      </w:r>
      <w:r w:rsidR="00770798" w:rsidRPr="00113825">
        <w:rPr>
          <w:i/>
          <w:szCs w:val="20"/>
          <w:vertAlign w:val="subscript"/>
        </w:rPr>
        <w:t>1</w:t>
      </w:r>
      <w:r w:rsidR="008444C3" w:rsidRPr="00113825">
        <w:rPr>
          <w:i/>
          <w:szCs w:val="20"/>
          <w:vertAlign w:val="subscript"/>
        </w:rPr>
        <w:softHyphen/>
      </w:r>
      <w:r w:rsidR="008444C3" w:rsidRPr="00113825">
        <w:rPr>
          <w:i/>
          <w:szCs w:val="20"/>
        </w:rPr>
        <w:t xml:space="preserve">. </w:t>
      </w:r>
      <w:r w:rsidR="008444C3" w:rsidRPr="00113825">
        <w:rPr>
          <w:szCs w:val="20"/>
        </w:rPr>
        <w:t xml:space="preserve">Therefore, the uncertainty for this step is evaluated in two stages. The first stage follows the uncertainty expression in Eq. (6), and the second stage follows the uncertainty expression in Eq. (5). </w:t>
      </w:r>
      <w:r w:rsidR="00012671" w:rsidRPr="00113825">
        <w:rPr>
          <w:szCs w:val="20"/>
        </w:rPr>
        <w:t>The first stage relates to the BEF parameter, which</w:t>
      </w:r>
      <w:r w:rsidR="008444C3" w:rsidRPr="00113825">
        <w:rPr>
          <w:szCs w:val="20"/>
        </w:rPr>
        <w:t xml:space="preserve"> is provided as ranges</w:t>
      </w:r>
      <w:r w:rsidR="00012671" w:rsidRPr="00113825">
        <w:rPr>
          <w:szCs w:val="20"/>
        </w:rPr>
        <w:t>. I</w:t>
      </w:r>
      <w:r w:rsidR="008444C3" w:rsidRPr="00113825">
        <w:rPr>
          <w:szCs w:val="20"/>
        </w:rPr>
        <w:t>n order to encompass the enti</w:t>
      </w:r>
      <w:r w:rsidR="00F12269" w:rsidRPr="00113825">
        <w:rPr>
          <w:szCs w:val="20"/>
        </w:rPr>
        <w:t xml:space="preserve">re range </w:t>
      </w:r>
      <w:r w:rsidR="008444C3" w:rsidRPr="00113825">
        <w:rPr>
          <w:szCs w:val="20"/>
        </w:rPr>
        <w:t>of the BEF in the uncertainty</w:t>
      </w:r>
      <w:r w:rsidR="007D5499" w:rsidRPr="00113825">
        <w:rPr>
          <w:szCs w:val="20"/>
        </w:rPr>
        <w:t>,</w:t>
      </w:r>
      <w:r w:rsidR="008444C3" w:rsidRPr="00113825">
        <w:rPr>
          <w:szCs w:val="20"/>
        </w:rPr>
        <w:t xml:space="preserve"> the calculation is conducted </w:t>
      </w:r>
      <w:r w:rsidR="00F12269" w:rsidRPr="00113825">
        <w:rPr>
          <w:szCs w:val="20"/>
        </w:rPr>
        <w:t>by incorporating</w:t>
      </w:r>
      <w:r w:rsidR="008444C3" w:rsidRPr="00113825">
        <w:rPr>
          <w:szCs w:val="20"/>
        </w:rPr>
        <w:t xml:space="preserve"> the </w:t>
      </w:r>
      <w:r w:rsidR="005A3020" w:rsidRPr="00113825">
        <w:rPr>
          <w:szCs w:val="20"/>
        </w:rPr>
        <w:t>m</w:t>
      </w:r>
      <w:r w:rsidR="00F12269" w:rsidRPr="00113825">
        <w:rPr>
          <w:szCs w:val="20"/>
        </w:rPr>
        <w:t>aximum and minimum</w:t>
      </w:r>
      <w:r w:rsidR="008444C3" w:rsidRPr="00113825">
        <w:rPr>
          <w:szCs w:val="20"/>
        </w:rPr>
        <w:t xml:space="preserve"> values of BEF. </w:t>
      </w:r>
      <w:r w:rsidR="007D5499" w:rsidRPr="00113825">
        <w:rPr>
          <w:szCs w:val="20"/>
        </w:rPr>
        <w:t xml:space="preserve">The second stage follows the uncertainty expression in Eq. (5), where, the </w:t>
      </w:r>
      <w:r w:rsidR="00F12269" w:rsidRPr="00113825">
        <w:rPr>
          <w:szCs w:val="20"/>
        </w:rPr>
        <w:t xml:space="preserve">data incorporating the uncertainties from the BEF is merged with the </w:t>
      </w:r>
      <w:r w:rsidR="00B32095" w:rsidRPr="00113825">
        <w:rPr>
          <w:szCs w:val="20"/>
        </w:rPr>
        <w:t xml:space="preserve">uncertainty of </w:t>
      </w:r>
      <w:r w:rsidR="00F12269" w:rsidRPr="00113825">
        <w:rPr>
          <w:szCs w:val="20"/>
        </w:rPr>
        <w:t xml:space="preserve">NAI in </w:t>
      </w:r>
      <w:r w:rsidR="006C1969" w:rsidRPr="00113825">
        <w:rPr>
          <w:szCs w:val="20"/>
        </w:rPr>
        <w:t>Mg</w:t>
      </w:r>
      <w:r w:rsidR="00F12269" w:rsidRPr="00113825">
        <w:rPr>
          <w:szCs w:val="20"/>
          <w:vertAlign w:val="subscript"/>
        </w:rPr>
        <w:t xml:space="preserve">dry matter </w:t>
      </w:r>
      <w:r w:rsidR="00012671" w:rsidRPr="00113825">
        <w:rPr>
          <w:szCs w:val="20"/>
        </w:rPr>
        <w:t>y</w:t>
      </w:r>
      <w:r w:rsidR="00061F2B" w:rsidRPr="00113825">
        <w:rPr>
          <w:szCs w:val="20"/>
        </w:rPr>
        <w:t>ea</w:t>
      </w:r>
      <w:r w:rsidR="00F12269" w:rsidRPr="00113825">
        <w:rPr>
          <w:szCs w:val="20"/>
        </w:rPr>
        <w:t>r</w:t>
      </w:r>
      <w:r w:rsidR="00F12269" w:rsidRPr="00113825">
        <w:rPr>
          <w:szCs w:val="20"/>
          <w:vertAlign w:val="superscript"/>
        </w:rPr>
        <w:t>-1</w:t>
      </w:r>
      <w:r w:rsidR="00F12269" w:rsidRPr="00113825">
        <w:rPr>
          <w:szCs w:val="20"/>
        </w:rPr>
        <w:t xml:space="preserve">. This ultimately </w:t>
      </w:r>
      <w:r w:rsidR="0001562B" w:rsidRPr="00113825">
        <w:rPr>
          <w:szCs w:val="20"/>
        </w:rPr>
        <w:t>provides</w:t>
      </w:r>
      <w:r w:rsidR="00F12269" w:rsidRPr="00113825">
        <w:rPr>
          <w:szCs w:val="20"/>
        </w:rPr>
        <w:t xml:space="preserve"> the uncertainty </w:t>
      </w:r>
      <w:r w:rsidR="00B32095" w:rsidRPr="00113825">
        <w:rPr>
          <w:szCs w:val="20"/>
        </w:rPr>
        <w:t>that gets propagated</w:t>
      </w:r>
      <w:r w:rsidR="00F12269" w:rsidRPr="00113825">
        <w:rPr>
          <w:szCs w:val="20"/>
        </w:rPr>
        <w:t xml:space="preserve"> in the spatial quantification of above-ground forestry </w:t>
      </w:r>
      <w:r w:rsidR="0001562B" w:rsidRPr="00113825">
        <w:rPr>
          <w:szCs w:val="20"/>
        </w:rPr>
        <w:t>residues.</w:t>
      </w:r>
    </w:p>
    <w:p w14:paraId="1D4205B3" w14:textId="0BA2D6B0" w:rsidR="00DC578C" w:rsidRPr="00113825" w:rsidRDefault="001840BD" w:rsidP="00DC578C">
      <w:pPr>
        <w:jc w:val="both"/>
        <w:rPr>
          <w:szCs w:val="20"/>
        </w:rPr>
      </w:pPr>
      <w:r w:rsidRPr="00113825">
        <w:rPr>
          <w:szCs w:val="20"/>
        </w:rPr>
        <w:t>Here</w:t>
      </w:r>
      <w:r w:rsidR="00DC578C" w:rsidRPr="00113825">
        <w:rPr>
          <w:szCs w:val="20"/>
        </w:rPr>
        <w:t>, there are two non-constant statistical input variables of forestry from which uncertainty propagate</w:t>
      </w:r>
      <w:r w:rsidRPr="00113825">
        <w:rPr>
          <w:szCs w:val="20"/>
        </w:rPr>
        <w:t>s</w:t>
      </w:r>
      <w:r w:rsidR="00DC578C" w:rsidRPr="00113825">
        <w:rPr>
          <w:szCs w:val="20"/>
        </w:rPr>
        <w:t xml:space="preserve">, viz., </w:t>
      </w:r>
      <w:proofErr w:type="spellStart"/>
      <w:r w:rsidR="00DC578C" w:rsidRPr="00113825">
        <w:rPr>
          <w:i/>
          <w:szCs w:val="20"/>
        </w:rPr>
        <w:t>GAI_reg</w:t>
      </w:r>
      <w:proofErr w:type="spellEnd"/>
      <w:r w:rsidR="00DC578C" w:rsidRPr="00113825">
        <w:rPr>
          <w:szCs w:val="20"/>
        </w:rPr>
        <w:t xml:space="preserve"> and </w:t>
      </w:r>
      <w:proofErr w:type="spellStart"/>
      <w:r w:rsidR="00DC578C" w:rsidRPr="00113825">
        <w:rPr>
          <w:i/>
          <w:szCs w:val="20"/>
        </w:rPr>
        <w:t>NL_reg</w:t>
      </w:r>
      <w:proofErr w:type="spellEnd"/>
      <w:r w:rsidR="00DC578C" w:rsidRPr="00113825">
        <w:rPr>
          <w:szCs w:val="20"/>
        </w:rPr>
        <w:t xml:space="preserve"> (or </w:t>
      </w:r>
      <w:r w:rsidR="00DC578C" w:rsidRPr="00113825">
        <w:rPr>
          <w:i/>
          <w:szCs w:val="20"/>
        </w:rPr>
        <w:t>NAI_reg</w:t>
      </w:r>
      <w:r w:rsidR="00DC578C" w:rsidRPr="00113825">
        <w:rPr>
          <w:szCs w:val="20"/>
        </w:rPr>
        <w:t xml:space="preserve"> if NAI is directly available). Ideally, the standard deviation associated with these values will be provided (or the raw measurement datasets to derive it)</w:t>
      </w:r>
      <w:r w:rsidRPr="00113825">
        <w:rPr>
          <w:szCs w:val="20"/>
        </w:rPr>
        <w:t xml:space="preserve">, and this can be used as the value of “u” in </w:t>
      </w:r>
      <w:proofErr w:type="spellStart"/>
      <w:r w:rsidRPr="00113825">
        <w:rPr>
          <w:szCs w:val="20"/>
        </w:rPr>
        <w:t>Eqs</w:t>
      </w:r>
      <w:proofErr w:type="spellEnd"/>
      <w:r w:rsidRPr="00113825">
        <w:rPr>
          <w:szCs w:val="20"/>
        </w:rPr>
        <w:t>.</w:t>
      </w:r>
      <w:r w:rsidR="00430364" w:rsidRPr="00113825">
        <w:rPr>
          <w:szCs w:val="20"/>
        </w:rPr>
        <w:t xml:space="preserve"> </w:t>
      </w:r>
      <w:r w:rsidRPr="00113825">
        <w:rPr>
          <w:szCs w:val="20"/>
        </w:rPr>
        <w:t>5-6</w:t>
      </w:r>
      <w:r w:rsidR="00DC578C" w:rsidRPr="00113825">
        <w:rPr>
          <w:szCs w:val="20"/>
        </w:rPr>
        <w:t xml:space="preserve">. </w:t>
      </w:r>
      <w:proofErr w:type="gramStart"/>
      <w:r w:rsidR="00DC578C" w:rsidRPr="00113825">
        <w:rPr>
          <w:szCs w:val="20"/>
        </w:rPr>
        <w:t>In</w:t>
      </w:r>
      <w:proofErr w:type="gramEnd"/>
      <w:r w:rsidR="00DC578C" w:rsidRPr="00113825">
        <w:rPr>
          <w:szCs w:val="20"/>
        </w:rPr>
        <w:t xml:space="preserve"> cases where no indications of the standard deviation are provided, techniques are available to derive an uncertainty. Notably, the pedigree matrix technique </w:t>
      </w:r>
      <w:r w:rsidR="00DC578C" w:rsidRPr="00113825">
        <w:rPr>
          <w:szCs w:val="20"/>
        </w:rPr>
        <w:fldChar w:fldCharType="begin" w:fldLock="1"/>
      </w:r>
      <w:r w:rsidR="0089363E" w:rsidRPr="00113825">
        <w:rPr>
          <w:szCs w:val="20"/>
        </w:rPr>
        <w:instrText>ADDIN CSL_CITATION {"citationItems":[{"id":"ITEM-1","itemData":{"DOI":"10.1016/S0959-6526(96)00043-1","ISSN":"09596526","abstract":"A formal procedure for data quality management in life cycle inventory is described. The procedure is applied to the example of an energy inventory for 1 kg rye bread. Five independent data quality indicators are suggested as necessary and sufficient to describe those aspects of data quality which influence the reliability of the result. Listing these data quality indicators for all data gives an improved understanding of the typical data quality problems of a particular study. This may subsequently be used for improving the data collection strategy during a life cycle study. To give an assessment of the reliability of the overall result of a life cycle inventory, the data quality indicators are transformed into estimates of the additional uncertainty due to the insufficient data quality. It is shown how a low data quality can both increase the uncertainty and change the mean value. After assigning additional uncertainties to all data in the study, a calculation of the uncertainty of the overall result is made by the use of simulations. The use of default estimates of additional uncertainties is suggested as a way to both simplify and improve the procedure. © 1997.","author":[{"dropping-particle":"","family":"Weidema","given":"Bo Pedersen","non-dropping-particle":"","parse-names":false,"suffix":""},{"dropping-particle":"","family":"Wesnæs","given":"Marianne Suhr","non-dropping-particle":"","parse-names":false,"suffix":""}],"container-title":"Journal of Cleaner Production","id":"ITEM-1","issue":"3-4","issued":{"date-parts":[["1996","1"]]},"page":"167-174","title":"Data quality management for life cycle inventories—an example of using data quality indicators","type":"article-journal","volume":"4"},"uris":["http://www.mendeley.com/documents/?uuid=65bb933e-d3b3-474d-82c2-b369e0acd226"]}],"mendeley":{"formattedCitation":"[64]","plainTextFormattedCitation":"[64]","previouslyFormattedCitation":"(Weidema and Wesnæs, 1996)"},"properties":{"noteIndex":0},"schema":"https://github.com/citation-style-language/schema/raw/master/csl-citation.json"}</w:instrText>
      </w:r>
      <w:r w:rsidR="00DC578C" w:rsidRPr="00113825">
        <w:rPr>
          <w:szCs w:val="20"/>
        </w:rPr>
        <w:fldChar w:fldCharType="separate"/>
      </w:r>
      <w:r w:rsidR="0089363E" w:rsidRPr="00113825">
        <w:rPr>
          <w:noProof/>
          <w:szCs w:val="20"/>
        </w:rPr>
        <w:t>[64]</w:t>
      </w:r>
      <w:r w:rsidR="00DC578C" w:rsidRPr="00113825">
        <w:rPr>
          <w:szCs w:val="20"/>
        </w:rPr>
        <w:fldChar w:fldCharType="end"/>
      </w:r>
      <w:r w:rsidR="00DC578C" w:rsidRPr="00113825">
        <w:rPr>
          <w:szCs w:val="20"/>
        </w:rPr>
        <w:t xml:space="preserve"> was developed in the field of life cycle assessment, where such a situation is common.</w:t>
      </w:r>
    </w:p>
    <w:p w14:paraId="0E9130AB" w14:textId="60804898" w:rsidR="00107E1D" w:rsidRPr="00113825" w:rsidRDefault="00107E1D" w:rsidP="0048432B">
      <w:pPr>
        <w:pStyle w:val="Heading1"/>
      </w:pPr>
      <w:r w:rsidRPr="00113825">
        <w:t xml:space="preserve">4. Exemplification of the use of the </w:t>
      </w:r>
      <w:proofErr w:type="spellStart"/>
      <w:r w:rsidR="009F6FF1" w:rsidRPr="00113825">
        <w:t>CamBEE</w:t>
      </w:r>
      <w:proofErr w:type="spellEnd"/>
      <w:r w:rsidR="009F6FF1" w:rsidRPr="00113825">
        <w:t xml:space="preserve"> </w:t>
      </w:r>
      <w:r w:rsidRPr="00113825">
        <w:t>method</w:t>
      </w:r>
    </w:p>
    <w:p w14:paraId="7304D62D" w14:textId="3B8ACE84" w:rsidR="00A73C9A" w:rsidRPr="00113825" w:rsidRDefault="00107E1D" w:rsidP="007304A1">
      <w:pPr>
        <w:pStyle w:val="Heading2"/>
      </w:pPr>
      <w:r w:rsidRPr="00113825">
        <w:t xml:space="preserve">4.1 </w:t>
      </w:r>
      <w:r w:rsidR="00A73C9A" w:rsidRPr="00113825">
        <w:t>Study Area</w:t>
      </w:r>
    </w:p>
    <w:p w14:paraId="1579F500" w14:textId="7FC4BC55" w:rsidR="00CB3478" w:rsidRPr="00113825" w:rsidRDefault="000C6F75" w:rsidP="009A0CD6">
      <w:pPr>
        <w:jc w:val="both"/>
        <w:rPr>
          <w:szCs w:val="20"/>
        </w:rPr>
      </w:pPr>
      <w:r w:rsidRPr="00113825">
        <w:rPr>
          <w:szCs w:val="20"/>
        </w:rPr>
        <w:t>To exemplify the proposed technique, we present a case of Metro</w:t>
      </w:r>
      <w:r w:rsidR="00360B80" w:rsidRPr="00113825">
        <w:rPr>
          <w:szCs w:val="20"/>
        </w:rPr>
        <w:t>politan France</w:t>
      </w:r>
      <w:r w:rsidR="00BD06A7" w:rsidRPr="00113825">
        <w:rPr>
          <w:szCs w:val="20"/>
        </w:rPr>
        <w:t xml:space="preserve"> (Mainland</w:t>
      </w:r>
      <w:r w:rsidR="00A70FB7" w:rsidRPr="00113825">
        <w:rPr>
          <w:szCs w:val="20"/>
        </w:rPr>
        <w:t xml:space="preserve"> European</w:t>
      </w:r>
      <w:r w:rsidR="00BD06A7" w:rsidRPr="00113825">
        <w:rPr>
          <w:szCs w:val="20"/>
        </w:rPr>
        <w:t xml:space="preserve"> France </w:t>
      </w:r>
      <w:r w:rsidR="001840BD" w:rsidRPr="00113825">
        <w:rPr>
          <w:szCs w:val="20"/>
        </w:rPr>
        <w:t xml:space="preserve">including </w:t>
      </w:r>
      <w:r w:rsidR="00E31EC2" w:rsidRPr="00113825">
        <w:rPr>
          <w:szCs w:val="20"/>
        </w:rPr>
        <w:t>Cors</w:t>
      </w:r>
      <w:r w:rsidR="001840BD" w:rsidRPr="00113825">
        <w:rPr>
          <w:szCs w:val="20"/>
        </w:rPr>
        <w:t>ica</w:t>
      </w:r>
      <w:r w:rsidR="00E31EC2" w:rsidRPr="00113825">
        <w:rPr>
          <w:szCs w:val="20"/>
        </w:rPr>
        <w:t>), herein referred to</w:t>
      </w:r>
      <w:r w:rsidR="00BD06A7" w:rsidRPr="00113825">
        <w:rPr>
          <w:szCs w:val="20"/>
        </w:rPr>
        <w:t xml:space="preserve"> France</w:t>
      </w:r>
      <w:r w:rsidR="00360B80" w:rsidRPr="00113825">
        <w:rPr>
          <w:szCs w:val="20"/>
        </w:rPr>
        <w:t>.</w:t>
      </w:r>
      <w:r w:rsidR="00CB3478" w:rsidRPr="00113825">
        <w:t xml:space="preserve"> France is administratively divided in the following hierarchy: Regions (13) </w:t>
      </w:r>
      <w:r w:rsidR="00CB3478" w:rsidRPr="00113825">
        <w:rPr>
          <w:b/>
        </w:rPr>
        <w:t xml:space="preserve">&gt; </w:t>
      </w:r>
      <w:r w:rsidR="00CB3478" w:rsidRPr="00113825">
        <w:t xml:space="preserve">Departments (96) </w:t>
      </w:r>
      <w:r w:rsidR="00CB3478" w:rsidRPr="00113825">
        <w:rPr>
          <w:b/>
        </w:rPr>
        <w:t xml:space="preserve">&gt; </w:t>
      </w:r>
      <w:r w:rsidR="00CB3478" w:rsidRPr="00113825">
        <w:t>Communes (36569)</w:t>
      </w:r>
      <w:r w:rsidR="001550CE" w:rsidRPr="00113825">
        <w:t>, though other administrative or political areal units also exist.</w:t>
      </w:r>
    </w:p>
    <w:p w14:paraId="24807B72" w14:textId="083895CD" w:rsidR="009A0CD6" w:rsidRPr="00113825" w:rsidRDefault="00360B80" w:rsidP="009A0CD6">
      <w:pPr>
        <w:jc w:val="both"/>
        <w:rPr>
          <w:szCs w:val="20"/>
        </w:rPr>
      </w:pPr>
      <w:r w:rsidRPr="00113825">
        <w:rPr>
          <w:szCs w:val="20"/>
        </w:rPr>
        <w:t xml:space="preserve">France </w:t>
      </w:r>
      <w:r w:rsidR="00BA0EEE" w:rsidRPr="00113825">
        <w:rPr>
          <w:szCs w:val="20"/>
        </w:rPr>
        <w:t xml:space="preserve">is a key country for </w:t>
      </w:r>
      <w:r w:rsidR="00430364" w:rsidRPr="00113825">
        <w:rPr>
          <w:szCs w:val="20"/>
        </w:rPr>
        <w:t xml:space="preserve">the </w:t>
      </w:r>
      <w:r w:rsidR="00BA0EEE" w:rsidRPr="00113825">
        <w:rPr>
          <w:szCs w:val="20"/>
        </w:rPr>
        <w:t xml:space="preserve">European bioeconomy </w:t>
      </w:r>
      <w:r w:rsidR="000D3987" w:rsidRPr="00113825">
        <w:rPr>
          <w:szCs w:val="20"/>
        </w:rPr>
        <w:fldChar w:fldCharType="begin" w:fldLock="1"/>
      </w:r>
      <w:r w:rsidR="0089363E" w:rsidRPr="00113825">
        <w:rPr>
          <w:szCs w:val="20"/>
        </w:rPr>
        <w:instrText>ADDIN CSL_CITATION {"citationItems":[{"id":"ITEM-1","itemData":{"DOI":"10.2777/478385","ISBN":"9789279941450","abstract":"Neither the European Commission nor any person acting on behalf of the Commission is responsible for the use which might be made of the following information. The document was based on the legal Communication (2018) 673/2 and SWD (2018)431/2. More information on the European Union is available on the internet (http://europa.eu). Luxembourg: Publications Office of the European Union, 2018","author":[{"dropping-particle":"","family":"European Commission","given":"","non-dropping-particle":"","parse-names":false,"suffix":""}],"id":"ITEM-1","issued":{"date-parts":[["2018"]]},"number-of-pages":"107","title":"A sustainable Bioeconomy for Europe: strengthening the connection between economy, society and the environment","type":"book"},"uris":["http://www.mendeley.com/documents/?uuid=50bcc79a-aae2-4139-9326-2ab919fef57d"]}],"mendeley":{"formattedCitation":"[65]","plainTextFormattedCitation":"[65]","previouslyFormattedCitation":"(European Commission, 2018)"},"properties":{"noteIndex":0},"schema":"https://github.com/citation-style-language/schema/raw/master/csl-citation.json"}</w:instrText>
      </w:r>
      <w:r w:rsidR="000D3987" w:rsidRPr="00113825">
        <w:rPr>
          <w:szCs w:val="20"/>
        </w:rPr>
        <w:fldChar w:fldCharType="separate"/>
      </w:r>
      <w:r w:rsidR="0089363E" w:rsidRPr="00113825">
        <w:rPr>
          <w:noProof/>
          <w:szCs w:val="20"/>
        </w:rPr>
        <w:t>[65]</w:t>
      </w:r>
      <w:r w:rsidR="000D3987" w:rsidRPr="00113825">
        <w:rPr>
          <w:szCs w:val="20"/>
        </w:rPr>
        <w:fldChar w:fldCharType="end"/>
      </w:r>
      <w:r w:rsidR="00BA0EEE" w:rsidRPr="00113825">
        <w:rPr>
          <w:szCs w:val="20"/>
        </w:rPr>
        <w:t xml:space="preserve"> and </w:t>
      </w:r>
      <w:r w:rsidRPr="00113825">
        <w:rPr>
          <w:szCs w:val="20"/>
        </w:rPr>
        <w:t xml:space="preserve">accounts for almost 10% of the European forest cover and has the fourth largest area in </w:t>
      </w:r>
      <w:r w:rsidR="006138B6" w:rsidRPr="00113825">
        <w:rPr>
          <w:szCs w:val="20"/>
        </w:rPr>
        <w:t xml:space="preserve">the </w:t>
      </w:r>
      <w:r w:rsidRPr="00113825">
        <w:rPr>
          <w:szCs w:val="20"/>
        </w:rPr>
        <w:t>EU behind Sweden, Finland</w:t>
      </w:r>
      <w:r w:rsidR="00A97F27" w:rsidRPr="00113825">
        <w:rPr>
          <w:szCs w:val="20"/>
        </w:rPr>
        <w:t>,</w:t>
      </w:r>
      <w:r w:rsidRPr="00113825">
        <w:rPr>
          <w:szCs w:val="20"/>
        </w:rPr>
        <w:t xml:space="preserve"> and Spain</w:t>
      </w:r>
      <w:r w:rsidR="00C955C4" w:rsidRPr="00113825">
        <w:rPr>
          <w:szCs w:val="20"/>
        </w:rPr>
        <w:t xml:space="preserve"> </w:t>
      </w:r>
      <w:r w:rsidR="00C955C4" w:rsidRPr="00113825">
        <w:rPr>
          <w:szCs w:val="20"/>
        </w:rPr>
        <w:fldChar w:fldCharType="begin" w:fldLock="1"/>
      </w:r>
      <w:r w:rsidR="0089363E" w:rsidRPr="00113825">
        <w:rPr>
          <w:szCs w:val="20"/>
        </w:rPr>
        <w:instrText>ADDIN CSL_CITATION {"citationItems":[{"id":"ITEM-1","itemData":{"URL":"https://ec.europa.eu/eurostat/web/products-eurostat-news/-/EDN-20180321-1","accessed":{"date-parts":[["2019","12","13"]]},"id":"ITEM-1","issued":{"date-parts":[["0"]]},"title":"Over 40% of the EU covered with forests - Product - Eurostat","type":"webpage"},"uris":["http://www.mendeley.com/documents/?uuid=c78cc247-4ec4-3ec7-95f2-3f6886bba8c3"]}],"mendeley":{"formattedCitation":"[66]","plainTextFormattedCitation":"[66]","previouslyFormattedCitation":"(&lt;i&gt;Over 40% of the EU covered with forests - Product - Eurostat&lt;/i&gt;, no date)"},"properties":{"noteIndex":0},"schema":"https://github.com/citation-style-language/schema/raw/master/csl-citation.json"}</w:instrText>
      </w:r>
      <w:r w:rsidR="00C955C4" w:rsidRPr="00113825">
        <w:rPr>
          <w:szCs w:val="20"/>
        </w:rPr>
        <w:fldChar w:fldCharType="separate"/>
      </w:r>
      <w:r w:rsidR="0089363E" w:rsidRPr="00113825">
        <w:rPr>
          <w:noProof/>
          <w:szCs w:val="20"/>
        </w:rPr>
        <w:t>[66]</w:t>
      </w:r>
      <w:r w:rsidR="00C955C4" w:rsidRPr="00113825">
        <w:rPr>
          <w:szCs w:val="20"/>
        </w:rPr>
        <w:fldChar w:fldCharType="end"/>
      </w:r>
      <w:r w:rsidRPr="00113825">
        <w:rPr>
          <w:szCs w:val="20"/>
        </w:rPr>
        <w:t xml:space="preserve">. </w:t>
      </w:r>
      <w:r w:rsidR="00BA0EEE" w:rsidRPr="00113825">
        <w:rPr>
          <w:szCs w:val="20"/>
        </w:rPr>
        <w:t xml:space="preserve">In France, </w:t>
      </w:r>
      <w:r w:rsidR="00A70FB7" w:rsidRPr="00113825">
        <w:rPr>
          <w:szCs w:val="20"/>
        </w:rPr>
        <w:t xml:space="preserve">forests </w:t>
      </w:r>
      <w:r w:rsidR="00BA0EEE" w:rsidRPr="00113825">
        <w:rPr>
          <w:szCs w:val="20"/>
        </w:rPr>
        <w:t>cover</w:t>
      </w:r>
      <w:r w:rsidR="00A70FB7" w:rsidRPr="00113825">
        <w:rPr>
          <w:szCs w:val="20"/>
        </w:rPr>
        <w:t xml:space="preserve"> approximately 168000 km</w:t>
      </w:r>
      <w:r w:rsidR="00A70FB7" w:rsidRPr="00113825">
        <w:rPr>
          <w:szCs w:val="20"/>
          <w:vertAlign w:val="superscript"/>
        </w:rPr>
        <w:t>2</w:t>
      </w:r>
      <w:r w:rsidR="00A70FB7" w:rsidRPr="00113825">
        <w:rPr>
          <w:szCs w:val="20"/>
        </w:rPr>
        <w:t xml:space="preserve"> or about 30.8% of the total French territory</w:t>
      </w:r>
      <w:r w:rsidR="007159A2" w:rsidRPr="00113825">
        <w:rPr>
          <w:szCs w:val="20"/>
        </w:rPr>
        <w:t xml:space="preserve"> and </w:t>
      </w:r>
      <w:r w:rsidR="000B62F3" w:rsidRPr="00113825">
        <w:rPr>
          <w:szCs w:val="20"/>
        </w:rPr>
        <w:t xml:space="preserve">are </w:t>
      </w:r>
      <w:r w:rsidR="00A70FB7" w:rsidRPr="00113825">
        <w:rPr>
          <w:szCs w:val="20"/>
        </w:rPr>
        <w:t xml:space="preserve">dominated by Temperate and Mediterranean </w:t>
      </w:r>
      <w:r w:rsidR="007159A2" w:rsidRPr="00113825">
        <w:rPr>
          <w:szCs w:val="20"/>
        </w:rPr>
        <w:t xml:space="preserve">type </w:t>
      </w:r>
      <w:r w:rsidR="00A70FB7" w:rsidRPr="00113825">
        <w:rPr>
          <w:szCs w:val="20"/>
        </w:rPr>
        <w:t>forests</w:t>
      </w:r>
      <w:r w:rsidR="00BA0EEE" w:rsidRPr="00113825">
        <w:rPr>
          <w:szCs w:val="20"/>
        </w:rPr>
        <w:t xml:space="preserve"> </w:t>
      </w:r>
      <w:r w:rsidR="00632314" w:rsidRPr="00113825">
        <w:rPr>
          <w:szCs w:val="20"/>
        </w:rPr>
        <w:fldChar w:fldCharType="begin" w:fldLock="1"/>
      </w:r>
      <w:r w:rsidR="0089363E" w:rsidRPr="00113825">
        <w:rPr>
          <w:szCs w:val="20"/>
        </w:rPr>
        <w:instrText>ADDIN CSL_CITATION {"citationItems":[{"id":"ITEM-1","itemData":{"author":[{"dropping-particle":"","family":"IGN","given":"","non-dropping-particle":"","parse-names":false,"suffix":""}],"container-title":"Inventaire Forestier National","id":"ITEM-1","issued":{"date-parts":[["2017"]]},"page":"29","title":"Le mémento","type":"article-journal"},"uris":["http://www.mendeley.com/documents/?uuid=8d370eeb-e6bb-4d47-bea5-604e99c20366"]}],"mendeley":{"formattedCitation":"[67]","plainTextFormattedCitation":"[67]","previouslyFormattedCitation":"(IGN, 2017a)"},"properties":{"noteIndex":0},"schema":"https://github.com/citation-style-language/schema/raw/master/csl-citation.json"}</w:instrText>
      </w:r>
      <w:r w:rsidR="00632314" w:rsidRPr="00113825">
        <w:rPr>
          <w:szCs w:val="20"/>
        </w:rPr>
        <w:fldChar w:fldCharType="separate"/>
      </w:r>
      <w:r w:rsidR="0089363E" w:rsidRPr="00113825">
        <w:rPr>
          <w:noProof/>
          <w:szCs w:val="20"/>
        </w:rPr>
        <w:t>[67]</w:t>
      </w:r>
      <w:r w:rsidR="00632314" w:rsidRPr="00113825">
        <w:rPr>
          <w:szCs w:val="20"/>
        </w:rPr>
        <w:fldChar w:fldCharType="end"/>
      </w:r>
      <w:r w:rsidR="00A70FB7" w:rsidRPr="00113825">
        <w:rPr>
          <w:szCs w:val="20"/>
        </w:rPr>
        <w:t xml:space="preserve">. </w:t>
      </w:r>
      <w:r w:rsidR="00F928B0" w:rsidRPr="00113825">
        <w:rPr>
          <w:szCs w:val="20"/>
        </w:rPr>
        <w:t xml:space="preserve">About </w:t>
      </w:r>
      <w:r w:rsidR="008E396E" w:rsidRPr="00113825">
        <w:rPr>
          <w:rFonts w:ascii="Arial" w:hAnsi="Arial" w:cs="Arial"/>
          <w:shd w:val="clear" w:color="auto" w:fill="FFFFFF"/>
        </w:rPr>
        <w:t>≈</w:t>
      </w:r>
      <w:r w:rsidR="00F928B0" w:rsidRPr="00113825">
        <w:rPr>
          <w:szCs w:val="20"/>
        </w:rPr>
        <w:t>76%</w:t>
      </w:r>
      <w:r w:rsidR="00082E5E" w:rsidRPr="00113825">
        <w:rPr>
          <w:szCs w:val="20"/>
        </w:rPr>
        <w:t xml:space="preserve"> </w:t>
      </w:r>
      <w:r w:rsidR="00F928B0" w:rsidRPr="00113825">
        <w:rPr>
          <w:szCs w:val="20"/>
        </w:rPr>
        <w:t xml:space="preserve">of the total forest in France is </w:t>
      </w:r>
      <w:r w:rsidR="00082E5E" w:rsidRPr="00113825">
        <w:rPr>
          <w:szCs w:val="20"/>
        </w:rPr>
        <w:t>privately owned (</w:t>
      </w:r>
      <w:r w:rsidR="008E396E" w:rsidRPr="00113825">
        <w:rPr>
          <w:rFonts w:ascii="Arial" w:hAnsi="Arial" w:cs="Arial"/>
          <w:shd w:val="clear" w:color="auto" w:fill="FFFFFF"/>
        </w:rPr>
        <w:t>≈</w:t>
      </w:r>
      <w:r w:rsidR="00082E5E" w:rsidRPr="00113825">
        <w:rPr>
          <w:szCs w:val="20"/>
        </w:rPr>
        <w:t xml:space="preserve">64% by individuals and families and </w:t>
      </w:r>
      <w:r w:rsidR="008E396E" w:rsidRPr="00113825">
        <w:rPr>
          <w:rFonts w:ascii="Arial" w:hAnsi="Arial" w:cs="Arial"/>
          <w:shd w:val="clear" w:color="auto" w:fill="FFFFFF"/>
        </w:rPr>
        <w:t>≈</w:t>
      </w:r>
      <w:r w:rsidR="00082E5E" w:rsidRPr="00113825">
        <w:rPr>
          <w:szCs w:val="20"/>
        </w:rPr>
        <w:t>12% by private industries)</w:t>
      </w:r>
      <w:r w:rsidR="008E396E" w:rsidRPr="00113825">
        <w:rPr>
          <w:szCs w:val="20"/>
        </w:rPr>
        <w:t xml:space="preserve"> </w:t>
      </w:r>
      <w:r w:rsidR="008E396E" w:rsidRPr="00113825">
        <w:rPr>
          <w:szCs w:val="20"/>
        </w:rPr>
        <w:fldChar w:fldCharType="begin" w:fldLock="1"/>
      </w:r>
      <w:r w:rsidR="0089363E" w:rsidRPr="00113825">
        <w:rPr>
          <w:szCs w:val="20"/>
        </w:rPr>
        <w:instrText>ADDIN CSL_CITATION {"citationItems":[{"id":"ITEM-1","itemData":{"abstract":"More than half of Europe’s forests, not including Russia and other CIS countries, are privately owned. Private owners play a key role in sustaining forest ecosystems, enhancing rural development and supplying resources to markets. Nevertheless, a significant lack of knowledge remains on private forest ownership in Europe. A joint enquiry was conducted during 2006-2007 by the United Nations Economic Commission for Europe, the Food and Agriculture Organization of the United Nations, the Ministerial Conference on the Protection of Forests in Europe (MCPFE, now Forest Europe) and the Confederation of European Forest Owners (CEPF) in an attempt to contribute to closing this knowledge gap. A questionnaire was addressed to 38 MCPFE member countries with records of private forestry. Twenty-three countries participated through submitting national reports, mostly for the year 2005: Austria, Belgium, Bulgaria, Cyprus, Czech Republic, Finland, France, Germany, Hungary, Iceland, Ireland, Latvia, Lithuania, Netherlands, Norway, Poland, Romania, Serbia, Slovakia, Slovenia, Sweden, Switzerland and the United Kingdom. This study paper presents the main findings from the national country reports and draws conclusions on the state of private forestry in Europe in terms of ownership distribution, holding structure, socio-economic findings and trends, with regard to restitution/privatization, changes of ownership patterns and association of private forest owners.","author":[{"dropping-particle":"","family":"Schmithusen","given":"Franz","non-dropping-particle":"","parse-names":false,"suffix":""},{"dropping-particle":"","family":"Hirsch","given":"Franziska","non-dropping-particle":"","parse-names":false,"suffix":""}],"container-title":"Geneva Timber and Forest Study Paper 26, UNECE","id":"ITEM-1","issued":{"date-parts":[["2010"]]},"page":"1-120","title":"Private forest ownership in Europe","type":"article-journal"},"uris":["http://www.mendeley.com/documents/?uuid=e8a4ce0a-0ae4-452b-8aaa-f41e604f5031"]}],"mendeley":{"formattedCitation":"[68]","plainTextFormattedCitation":"[68]","previouslyFormattedCitation":"(Schmithusen and Hirsch, 2010)"},"properties":{"noteIndex":0},"schema":"https://github.com/citation-style-language/schema/raw/master/csl-citation.json"}</w:instrText>
      </w:r>
      <w:r w:rsidR="008E396E" w:rsidRPr="00113825">
        <w:rPr>
          <w:szCs w:val="20"/>
        </w:rPr>
        <w:fldChar w:fldCharType="separate"/>
      </w:r>
      <w:r w:rsidR="0089363E" w:rsidRPr="00113825">
        <w:rPr>
          <w:noProof/>
          <w:szCs w:val="20"/>
        </w:rPr>
        <w:t>[68]</w:t>
      </w:r>
      <w:r w:rsidR="008E396E" w:rsidRPr="00113825">
        <w:rPr>
          <w:szCs w:val="20"/>
        </w:rPr>
        <w:fldChar w:fldCharType="end"/>
      </w:r>
      <w:r w:rsidR="00082E5E" w:rsidRPr="00113825">
        <w:rPr>
          <w:szCs w:val="20"/>
        </w:rPr>
        <w:t xml:space="preserve">. The remaining 24% of the forests </w:t>
      </w:r>
      <w:r w:rsidR="00A97F27" w:rsidRPr="00113825">
        <w:rPr>
          <w:szCs w:val="20"/>
        </w:rPr>
        <w:t>are</w:t>
      </w:r>
      <w:r w:rsidR="00082E5E" w:rsidRPr="00113825">
        <w:rPr>
          <w:szCs w:val="20"/>
        </w:rPr>
        <w:t xml:space="preserve"> owned by the French government, out of which about 14% is communal</w:t>
      </w:r>
      <w:r w:rsidR="009355B7" w:rsidRPr="00113825">
        <w:rPr>
          <w:szCs w:val="20"/>
        </w:rPr>
        <w:t xml:space="preserve"> (</w:t>
      </w:r>
      <w:r w:rsidR="009355B7" w:rsidRPr="00113825">
        <w:rPr>
          <w:i/>
          <w:szCs w:val="20"/>
        </w:rPr>
        <w:t xml:space="preserve">belonging to the municipal </w:t>
      </w:r>
      <w:r w:rsidR="008E396E" w:rsidRPr="00113825">
        <w:rPr>
          <w:i/>
          <w:szCs w:val="20"/>
        </w:rPr>
        <w:t xml:space="preserve">or other local </w:t>
      </w:r>
      <w:r w:rsidR="009355B7" w:rsidRPr="00113825">
        <w:rPr>
          <w:i/>
          <w:szCs w:val="20"/>
        </w:rPr>
        <w:t>authorities</w:t>
      </w:r>
      <w:r w:rsidR="009355B7" w:rsidRPr="00113825">
        <w:rPr>
          <w:szCs w:val="20"/>
        </w:rPr>
        <w:t>)</w:t>
      </w:r>
      <w:r w:rsidR="00D900B2" w:rsidRPr="00113825">
        <w:rPr>
          <w:szCs w:val="20"/>
        </w:rPr>
        <w:t xml:space="preserve"> and </w:t>
      </w:r>
      <w:r w:rsidR="008E396E" w:rsidRPr="00113825">
        <w:rPr>
          <w:szCs w:val="20"/>
        </w:rPr>
        <w:t>10</w:t>
      </w:r>
      <w:r w:rsidR="00082E5E" w:rsidRPr="00113825">
        <w:rPr>
          <w:szCs w:val="20"/>
        </w:rPr>
        <w:t xml:space="preserve">% is provincial </w:t>
      </w:r>
      <w:r w:rsidR="008E396E" w:rsidRPr="00113825">
        <w:rPr>
          <w:i/>
          <w:szCs w:val="20"/>
        </w:rPr>
        <w:t>(belonging to the state)</w:t>
      </w:r>
      <w:r w:rsidR="00082E5E" w:rsidRPr="00113825">
        <w:rPr>
          <w:szCs w:val="20"/>
        </w:rPr>
        <w:t xml:space="preserve"> </w:t>
      </w:r>
      <w:r w:rsidR="00082E5E" w:rsidRPr="00113825">
        <w:rPr>
          <w:szCs w:val="20"/>
        </w:rPr>
        <w:fldChar w:fldCharType="begin" w:fldLock="1"/>
      </w:r>
      <w:r w:rsidR="0089363E" w:rsidRPr="00113825">
        <w:rPr>
          <w:szCs w:val="20"/>
        </w:rPr>
        <w:instrText>ADDIN CSL_CITATION {"citationItems":[{"id":"ITEM-1","itemData":{"abstract":"More than half of Europe’s forests, not including Russia and other CIS countries, are privately owned. Private owners play a key role in sustaining forest ecosystems, enhancing rural development and supplying resources to markets. Nevertheless, a significant lack of knowledge remains on private forest ownership in Europe. A joint enquiry was conducted during 2006-2007 by the United Nations Economic Commission for Europe, the Food and Agriculture Organization of the United Nations, the Ministerial Conference on the Protection of Forests in Europe (MCPFE, now Forest Europe) and the Confederation of European Forest Owners (CEPF) in an attempt to contribute to closing this knowledge gap. A questionnaire was addressed to 38 MCPFE member countries with records of private forestry. Twenty-three countries participated through submitting national reports, mostly for the year 2005: Austria, Belgium, Bulgaria, Cyprus, Czech Republic, Finland, France, Germany, Hungary, Iceland, Ireland, Latvia, Lithuania, Netherlands, Norway, Poland, Romania, Serbia, Slovakia, Slovenia, Sweden, Switzerland and the United Kingdom. This study paper presents the main findings from the national country reports and draws conclusions on the state of private forestry in Europe in terms of ownership distribution, holding structure, socio-economic findings and trends, with regard to restitution/privatization, changes of ownership patterns and association of private forest owners.","author":[{"dropping-particle":"","family":"Schmithusen","given":"Franz","non-dropping-particle":"","parse-names":false,"suffix":""},{"dropping-particle":"","family":"Hirsch","given":"Franziska","non-dropping-particle":"","parse-names":false,"suffix":""}],"container-title":"Geneva Timber and Forest Study Paper 26, UNECE","id":"ITEM-1","issued":{"date-parts":[["2010"]]},"page":"1-120","title":"Private forest ownership in Europe","type":"article-journal"},"uris":["http://www.mendeley.com/documents/?uuid=e8a4ce0a-0ae4-452b-8aaa-f41e604f5031"]},{"id":"ITEM-2","itemData":{"author":[{"dropping-particle":"","family":"IGN","given":"","non-dropping-particle":"","parse-names":false,"suffix":""}],"container-title":"Inventaire Forestier National","id":"ITEM-2","issued":{"date-parts":[["2017"]]},"page":"29","title":"Le mémento","type":"article-journal"},"uris":["http://www.mendeley.com/documents/?uuid=a5c7d37d-5dec-43a4-9cb2-ae5ebfa7c6d6"]}],"mendeley":{"formattedCitation":"[68], [69]","plainTextFormattedCitation":"[68], [69]","previouslyFormattedCitation":"(Schmithusen and Hirsch, 2010; IGN, 2017b)"},"properties":{"noteIndex":0},"schema":"https://github.com/citation-style-language/schema/raw/master/csl-citation.json"}</w:instrText>
      </w:r>
      <w:r w:rsidR="00082E5E" w:rsidRPr="00113825">
        <w:rPr>
          <w:szCs w:val="20"/>
        </w:rPr>
        <w:fldChar w:fldCharType="separate"/>
      </w:r>
      <w:r w:rsidR="0089363E" w:rsidRPr="00113825">
        <w:rPr>
          <w:noProof/>
          <w:szCs w:val="20"/>
        </w:rPr>
        <w:t>[68], [69]</w:t>
      </w:r>
      <w:r w:rsidR="00082E5E" w:rsidRPr="00113825">
        <w:rPr>
          <w:szCs w:val="20"/>
        </w:rPr>
        <w:fldChar w:fldCharType="end"/>
      </w:r>
      <w:r w:rsidR="00082E5E" w:rsidRPr="00113825">
        <w:rPr>
          <w:szCs w:val="20"/>
        </w:rPr>
        <w:t xml:space="preserve">. </w:t>
      </w:r>
      <w:r w:rsidR="008312E2" w:rsidRPr="00113825">
        <w:rPr>
          <w:szCs w:val="20"/>
        </w:rPr>
        <w:t>The public forests</w:t>
      </w:r>
      <w:r w:rsidR="00BA0EEE" w:rsidRPr="00113825">
        <w:rPr>
          <w:szCs w:val="20"/>
        </w:rPr>
        <w:t xml:space="preserve"> nevertheless </w:t>
      </w:r>
      <w:r w:rsidR="008312E2" w:rsidRPr="00113825">
        <w:rPr>
          <w:szCs w:val="20"/>
        </w:rPr>
        <w:t>account for 40% of the timber harvest</w:t>
      </w:r>
      <w:r w:rsidR="00BA0EEE" w:rsidRPr="00113825">
        <w:rPr>
          <w:szCs w:val="20"/>
        </w:rPr>
        <w:t xml:space="preserve"> </w:t>
      </w:r>
      <w:r w:rsidR="00632314" w:rsidRPr="00113825">
        <w:rPr>
          <w:szCs w:val="20"/>
        </w:rPr>
        <w:fldChar w:fldCharType="begin" w:fldLock="1"/>
      </w:r>
      <w:r w:rsidR="0089363E" w:rsidRPr="00113825">
        <w:rPr>
          <w:szCs w:val="20"/>
        </w:rPr>
        <w:instrText>ADDIN CSL_CITATION {"citationItems":[{"id":"ITEM-1","itemData":{"URL":"https://www.geves.fr/variety-seed-expertise/forest/forestry-in-france/","accessed":{"date-parts":[["2019","12","13"]]},"id":"ITEM-1","issued":{"date-parts":[["0"]]},"title":"Forests in France - GEVES","type":"webpage"},"uris":["http://www.mendeley.com/documents/?uuid=2a8433e3-e7e0-31a1-b909-6cafc1551a32"]}],"mendeley":{"formattedCitation":"[70]","plainTextFormattedCitation":"[70]","previouslyFormattedCitation":"(&lt;i&gt;Forests in France - GEVES&lt;/i&gt;, no date)"},"properties":{"noteIndex":0},"schema":"https://github.com/citation-style-language/schema/raw/master/csl-citation.json"}</w:instrText>
      </w:r>
      <w:r w:rsidR="00632314" w:rsidRPr="00113825">
        <w:rPr>
          <w:szCs w:val="20"/>
        </w:rPr>
        <w:fldChar w:fldCharType="separate"/>
      </w:r>
      <w:r w:rsidR="0089363E" w:rsidRPr="00113825">
        <w:rPr>
          <w:noProof/>
          <w:szCs w:val="20"/>
        </w:rPr>
        <w:t>[70]</w:t>
      </w:r>
      <w:r w:rsidR="00632314" w:rsidRPr="00113825">
        <w:rPr>
          <w:szCs w:val="20"/>
        </w:rPr>
        <w:fldChar w:fldCharType="end"/>
      </w:r>
      <w:r w:rsidR="00BA0EEE" w:rsidRPr="00113825">
        <w:rPr>
          <w:szCs w:val="20"/>
        </w:rPr>
        <w:t>.</w:t>
      </w:r>
      <w:r w:rsidR="00360BDF" w:rsidRPr="00113825">
        <w:rPr>
          <w:szCs w:val="20"/>
        </w:rPr>
        <w:t xml:space="preserve"> </w:t>
      </w:r>
      <w:r w:rsidR="00011A93" w:rsidRPr="00113825">
        <w:rPr>
          <w:szCs w:val="20"/>
        </w:rPr>
        <w:t>I</w:t>
      </w:r>
      <w:r w:rsidR="007159A2" w:rsidRPr="00113825">
        <w:rPr>
          <w:szCs w:val="20"/>
        </w:rPr>
        <w:t>n the present</w:t>
      </w:r>
      <w:r w:rsidR="00360BDF" w:rsidRPr="00113825">
        <w:rPr>
          <w:szCs w:val="20"/>
        </w:rPr>
        <w:t xml:space="preserve"> </w:t>
      </w:r>
      <w:r w:rsidR="00B00EDA" w:rsidRPr="00113825">
        <w:rPr>
          <w:szCs w:val="20"/>
        </w:rPr>
        <w:t>exemplification</w:t>
      </w:r>
      <w:r w:rsidR="00011A93" w:rsidRPr="00113825">
        <w:rPr>
          <w:szCs w:val="20"/>
        </w:rPr>
        <w:t xml:space="preserve">, </w:t>
      </w:r>
      <w:r w:rsidR="00360BDF" w:rsidRPr="00113825">
        <w:rPr>
          <w:szCs w:val="20"/>
        </w:rPr>
        <w:t>the annual availability of PFRs for both pri</w:t>
      </w:r>
      <w:r w:rsidR="00011A93" w:rsidRPr="00113825">
        <w:rPr>
          <w:szCs w:val="20"/>
        </w:rPr>
        <w:t>vately owned and public forests w</w:t>
      </w:r>
      <w:r w:rsidR="006138B6" w:rsidRPr="00113825">
        <w:rPr>
          <w:szCs w:val="20"/>
        </w:rPr>
        <w:t>ere</w:t>
      </w:r>
      <w:r w:rsidR="007159A2" w:rsidRPr="00113825">
        <w:rPr>
          <w:szCs w:val="20"/>
        </w:rPr>
        <w:t xml:space="preserve"> determined</w:t>
      </w:r>
      <w:r w:rsidR="00B00EDA" w:rsidRPr="00113825">
        <w:rPr>
          <w:szCs w:val="20"/>
        </w:rPr>
        <w:t>. The vision is that this may serve as a</w:t>
      </w:r>
      <w:r w:rsidR="00430364" w:rsidRPr="00113825">
        <w:rPr>
          <w:szCs w:val="20"/>
        </w:rPr>
        <w:t xml:space="preserve"> piece of</w:t>
      </w:r>
      <w:r w:rsidR="00B00EDA" w:rsidRPr="00113825">
        <w:rPr>
          <w:szCs w:val="20"/>
        </w:rPr>
        <w:t xml:space="preserve"> key</w:t>
      </w:r>
      <w:r w:rsidR="003D34E4" w:rsidRPr="00113825">
        <w:rPr>
          <w:szCs w:val="20"/>
        </w:rPr>
        <w:t xml:space="preserve"> information</w:t>
      </w:r>
      <w:r w:rsidR="007159A2" w:rsidRPr="00113825">
        <w:rPr>
          <w:szCs w:val="20"/>
        </w:rPr>
        <w:t xml:space="preserve"> </w:t>
      </w:r>
      <w:r w:rsidR="00011A93" w:rsidRPr="00113825">
        <w:rPr>
          <w:szCs w:val="20"/>
        </w:rPr>
        <w:t>to facilitate</w:t>
      </w:r>
      <w:r w:rsidR="003D34E4" w:rsidRPr="00113825">
        <w:rPr>
          <w:szCs w:val="20"/>
        </w:rPr>
        <w:t xml:space="preserve"> eventual decisions related to the </w:t>
      </w:r>
      <w:r w:rsidR="00EB6BD7" w:rsidRPr="00113825">
        <w:rPr>
          <w:szCs w:val="20"/>
        </w:rPr>
        <w:t>mobilization of PFRs</w:t>
      </w:r>
      <w:r w:rsidR="003D34E4" w:rsidRPr="00113825">
        <w:rPr>
          <w:szCs w:val="20"/>
        </w:rPr>
        <w:t xml:space="preserve"> </w:t>
      </w:r>
      <w:r w:rsidR="00430364" w:rsidRPr="00113825">
        <w:rPr>
          <w:szCs w:val="20"/>
        </w:rPr>
        <w:t>from</w:t>
      </w:r>
      <w:r w:rsidR="003D34E4" w:rsidRPr="00113825">
        <w:rPr>
          <w:szCs w:val="20"/>
        </w:rPr>
        <w:t xml:space="preserve"> the perspective of national bioeconomy strategies</w:t>
      </w:r>
      <w:r w:rsidR="00EB6BD7" w:rsidRPr="00113825">
        <w:rPr>
          <w:szCs w:val="20"/>
        </w:rPr>
        <w:t>.</w:t>
      </w:r>
      <w:r w:rsidR="003D34E4" w:rsidRPr="00113825">
        <w:rPr>
          <w:szCs w:val="20"/>
        </w:rPr>
        <w:t xml:space="preserve"> Additional details on French forestry are available in the </w:t>
      </w:r>
      <w:r w:rsidR="00D900B2" w:rsidRPr="00113825">
        <w:rPr>
          <w:szCs w:val="20"/>
        </w:rPr>
        <w:t>supplementary materials</w:t>
      </w:r>
      <w:r w:rsidR="003D34E4" w:rsidRPr="00113825">
        <w:rPr>
          <w:szCs w:val="20"/>
        </w:rPr>
        <w:t>.</w:t>
      </w:r>
    </w:p>
    <w:p w14:paraId="7040212E" w14:textId="37B309CC" w:rsidR="004450E2" w:rsidRPr="00113825" w:rsidRDefault="00EB6BD7" w:rsidP="00EB6BD7">
      <w:pPr>
        <w:jc w:val="both"/>
      </w:pPr>
      <w:r w:rsidRPr="00113825">
        <w:t xml:space="preserve">To estimate above-ground PFRs the </w:t>
      </w:r>
      <w:proofErr w:type="spellStart"/>
      <w:r w:rsidRPr="00113825">
        <w:t>CamBEE</w:t>
      </w:r>
      <w:proofErr w:type="spellEnd"/>
      <w:r w:rsidRPr="00113825">
        <w:t xml:space="preserve"> method requires five main input data, viz., the forest cover raster</w:t>
      </w:r>
      <w:r w:rsidR="009D4D1A" w:rsidRPr="00113825">
        <w:t>;</w:t>
      </w:r>
      <w:r w:rsidR="007159A2" w:rsidRPr="00113825">
        <w:t xml:space="preserve"> f</w:t>
      </w:r>
      <w:r w:rsidRPr="00113825">
        <w:t xml:space="preserve">orest statistics on gross annual increment (GAI) and natural losses (NL) if net annual increment (NAI) is not available per region; factor of basic wood density (D), and biomass expansion factor (BEF). Other ancillary data required </w:t>
      </w:r>
      <w:r w:rsidR="009D4D1A" w:rsidRPr="00113825">
        <w:t xml:space="preserve">for mapping </w:t>
      </w:r>
      <w:r w:rsidRPr="00113825">
        <w:t>are the administrative shapefile</w:t>
      </w:r>
      <w:r w:rsidR="009D4D1A" w:rsidRPr="00113825">
        <w:t xml:space="preserve"> (e.g. country or regional boundary)</w:t>
      </w:r>
      <w:r w:rsidRPr="00113825">
        <w:t xml:space="preserve">. The source of data used in the present study is provided in </w:t>
      </w:r>
      <w:r w:rsidR="00D05877" w:rsidRPr="00113825">
        <w:rPr>
          <w:i/>
        </w:rPr>
        <w:fldChar w:fldCharType="begin"/>
      </w:r>
      <w:r w:rsidR="00D05877" w:rsidRPr="00113825">
        <w:rPr>
          <w:i/>
        </w:rPr>
        <w:instrText xml:space="preserve"> REF _Ref26868002 \h  \* MERGEFORMAT </w:instrText>
      </w:r>
      <w:r w:rsidR="00D05877" w:rsidRPr="00113825">
        <w:rPr>
          <w:i/>
        </w:rPr>
      </w:r>
      <w:r w:rsidR="00D05877" w:rsidRPr="00113825">
        <w:rPr>
          <w:i/>
        </w:rPr>
        <w:fldChar w:fldCharType="separate"/>
      </w:r>
      <w:r w:rsidR="00113825" w:rsidRPr="00113825">
        <w:rPr>
          <w:i/>
        </w:rPr>
        <w:t xml:space="preserve">Table </w:t>
      </w:r>
      <w:r w:rsidR="00113825" w:rsidRPr="00113825">
        <w:rPr>
          <w:i/>
          <w:noProof/>
        </w:rPr>
        <w:t>3</w:t>
      </w:r>
      <w:r w:rsidR="00D05877" w:rsidRPr="00113825">
        <w:rPr>
          <w:i/>
        </w:rPr>
        <w:fldChar w:fldCharType="end"/>
      </w:r>
      <w:r w:rsidRPr="00113825">
        <w:t>.</w:t>
      </w:r>
    </w:p>
    <w:p w14:paraId="554F1F09" w14:textId="77777777" w:rsidR="004450E2" w:rsidRPr="00113825" w:rsidRDefault="004450E2" w:rsidP="00EB6BD7">
      <w:pPr>
        <w:jc w:val="both"/>
      </w:pPr>
    </w:p>
    <w:p w14:paraId="4C13121C" w14:textId="4B345E8A" w:rsidR="008C7B26" w:rsidRPr="00113825" w:rsidRDefault="008C7B26" w:rsidP="00C53CF3">
      <w:pPr>
        <w:pStyle w:val="Caption"/>
        <w:keepNext/>
        <w:rPr>
          <w:color w:val="auto"/>
          <w:sz w:val="20"/>
        </w:rPr>
      </w:pPr>
      <w:bookmarkStart w:id="7" w:name="_Ref26868002"/>
      <w:r w:rsidRPr="00113825">
        <w:rPr>
          <w:color w:val="auto"/>
          <w:sz w:val="20"/>
        </w:rPr>
        <w:lastRenderedPageBreak/>
        <w:t xml:space="preserve">Table </w:t>
      </w:r>
      <w:r w:rsidRPr="00113825">
        <w:rPr>
          <w:color w:val="auto"/>
          <w:sz w:val="20"/>
        </w:rPr>
        <w:fldChar w:fldCharType="begin"/>
      </w:r>
      <w:r w:rsidRPr="00113825">
        <w:rPr>
          <w:color w:val="auto"/>
          <w:sz w:val="20"/>
        </w:rPr>
        <w:instrText xml:space="preserve"> SEQ Table \* ARABIC </w:instrText>
      </w:r>
      <w:r w:rsidRPr="00113825">
        <w:rPr>
          <w:color w:val="auto"/>
          <w:sz w:val="20"/>
        </w:rPr>
        <w:fldChar w:fldCharType="separate"/>
      </w:r>
      <w:r w:rsidR="00113825">
        <w:rPr>
          <w:noProof/>
          <w:color w:val="auto"/>
          <w:sz w:val="20"/>
        </w:rPr>
        <w:t>3</w:t>
      </w:r>
      <w:r w:rsidRPr="00113825">
        <w:rPr>
          <w:color w:val="auto"/>
          <w:sz w:val="20"/>
        </w:rPr>
        <w:fldChar w:fldCharType="end"/>
      </w:r>
      <w:bookmarkEnd w:id="7"/>
      <w:r w:rsidR="004450E2" w:rsidRPr="00113825">
        <w:rPr>
          <w:color w:val="auto"/>
          <w:sz w:val="20"/>
        </w:rPr>
        <w:t>:</w:t>
      </w:r>
      <w:r w:rsidRPr="00113825">
        <w:rPr>
          <w:color w:val="auto"/>
          <w:sz w:val="20"/>
        </w:rPr>
        <w:t xml:space="preserve"> Source of data used in the present study</w:t>
      </w:r>
    </w:p>
    <w:tbl>
      <w:tblPr>
        <w:tblStyle w:val="TableGrid2"/>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95"/>
        <w:gridCol w:w="4770"/>
        <w:gridCol w:w="1260"/>
        <w:gridCol w:w="1237"/>
      </w:tblGrid>
      <w:tr w:rsidR="00DE6E0A" w:rsidRPr="00113825" w14:paraId="3FD739EE" w14:textId="77777777" w:rsidTr="00DE6E0A">
        <w:trPr>
          <w:jc w:val="center"/>
        </w:trPr>
        <w:tc>
          <w:tcPr>
            <w:tcW w:w="1795" w:type="dxa"/>
            <w:shd w:val="clear" w:color="auto" w:fill="FFC000"/>
            <w:vAlign w:val="center"/>
          </w:tcPr>
          <w:p w14:paraId="76217EE5" w14:textId="77777777" w:rsidR="006634F0" w:rsidRPr="00113825" w:rsidRDefault="006634F0" w:rsidP="00985370">
            <w:pPr>
              <w:rPr>
                <w:b/>
              </w:rPr>
            </w:pPr>
            <w:r w:rsidRPr="00113825">
              <w:rPr>
                <w:b/>
              </w:rPr>
              <w:t>Data Type</w:t>
            </w:r>
          </w:p>
        </w:tc>
        <w:tc>
          <w:tcPr>
            <w:tcW w:w="4770" w:type="dxa"/>
            <w:shd w:val="clear" w:color="auto" w:fill="FFC000"/>
            <w:vAlign w:val="center"/>
          </w:tcPr>
          <w:p w14:paraId="7E0E2015" w14:textId="77777777" w:rsidR="006634F0" w:rsidRPr="00113825" w:rsidRDefault="006634F0" w:rsidP="00985370">
            <w:pPr>
              <w:rPr>
                <w:b/>
              </w:rPr>
            </w:pPr>
            <w:r w:rsidRPr="00113825">
              <w:rPr>
                <w:b/>
              </w:rPr>
              <w:t>Used for</w:t>
            </w:r>
          </w:p>
        </w:tc>
        <w:tc>
          <w:tcPr>
            <w:tcW w:w="1260" w:type="dxa"/>
            <w:shd w:val="clear" w:color="auto" w:fill="FFC000"/>
            <w:vAlign w:val="center"/>
          </w:tcPr>
          <w:p w14:paraId="7EF1C06F" w14:textId="77777777" w:rsidR="006634F0" w:rsidRPr="00113825" w:rsidRDefault="006634F0" w:rsidP="00985370">
            <w:pPr>
              <w:rPr>
                <w:b/>
              </w:rPr>
            </w:pPr>
            <w:r w:rsidRPr="00113825">
              <w:rPr>
                <w:b/>
              </w:rPr>
              <w:t>Source</w:t>
            </w:r>
          </w:p>
        </w:tc>
        <w:tc>
          <w:tcPr>
            <w:tcW w:w="1237" w:type="dxa"/>
            <w:shd w:val="clear" w:color="auto" w:fill="FFC000"/>
            <w:vAlign w:val="center"/>
          </w:tcPr>
          <w:p w14:paraId="1B705771" w14:textId="77777777" w:rsidR="006634F0" w:rsidRPr="00113825" w:rsidRDefault="006634F0" w:rsidP="00985370">
            <w:pPr>
              <w:rPr>
                <w:b/>
              </w:rPr>
            </w:pPr>
            <w:r w:rsidRPr="00113825">
              <w:rPr>
                <w:b/>
              </w:rPr>
              <w:t>Time scope</w:t>
            </w:r>
          </w:p>
        </w:tc>
      </w:tr>
      <w:tr w:rsidR="00DE6E0A" w:rsidRPr="00113825" w14:paraId="0E64837B" w14:textId="77777777" w:rsidTr="00DE6E0A">
        <w:trPr>
          <w:jc w:val="center"/>
        </w:trPr>
        <w:tc>
          <w:tcPr>
            <w:tcW w:w="1795" w:type="dxa"/>
            <w:vAlign w:val="center"/>
          </w:tcPr>
          <w:p w14:paraId="3ED63BEC" w14:textId="77777777" w:rsidR="006634F0" w:rsidRPr="00113825" w:rsidRDefault="006634F0" w:rsidP="00985370">
            <w:pPr>
              <w:rPr>
                <w:sz w:val="16"/>
              </w:rPr>
            </w:pPr>
            <w:r w:rsidRPr="00113825">
              <w:rPr>
                <w:sz w:val="16"/>
              </w:rPr>
              <w:t>Forest Cover</w:t>
            </w:r>
          </w:p>
        </w:tc>
        <w:tc>
          <w:tcPr>
            <w:tcW w:w="4770" w:type="dxa"/>
            <w:vAlign w:val="center"/>
          </w:tcPr>
          <w:p w14:paraId="3BC5AC1E" w14:textId="77777777" w:rsidR="006634F0" w:rsidRPr="00113825" w:rsidRDefault="006634F0" w:rsidP="00985370">
            <w:pPr>
              <w:rPr>
                <w:sz w:val="16"/>
              </w:rPr>
            </w:pPr>
            <w:r w:rsidRPr="00113825">
              <w:rPr>
                <w:sz w:val="16"/>
              </w:rPr>
              <w:t xml:space="preserve">Used in Step 2 of the </w:t>
            </w:r>
            <w:proofErr w:type="spellStart"/>
            <w:r w:rsidRPr="00113825">
              <w:rPr>
                <w:sz w:val="16"/>
              </w:rPr>
              <w:t>CamBEE</w:t>
            </w:r>
            <w:proofErr w:type="spellEnd"/>
            <w:r w:rsidRPr="00113825">
              <w:rPr>
                <w:sz w:val="16"/>
              </w:rPr>
              <w:t xml:space="preserve"> process</w:t>
            </w:r>
          </w:p>
        </w:tc>
        <w:tc>
          <w:tcPr>
            <w:tcW w:w="1260" w:type="dxa"/>
            <w:vAlign w:val="center"/>
          </w:tcPr>
          <w:p w14:paraId="2968DD81" w14:textId="3C97C1D8" w:rsidR="006634F0" w:rsidRPr="00113825" w:rsidRDefault="006634F0" w:rsidP="0089363E">
            <w:pPr>
              <w:rPr>
                <w:sz w:val="16"/>
              </w:rPr>
            </w:pPr>
            <w:r w:rsidRPr="00113825">
              <w:rPr>
                <w:sz w:val="16"/>
              </w:rPr>
              <w:fldChar w:fldCharType="begin" w:fldLock="1"/>
            </w:r>
            <w:r w:rsidR="0089363E" w:rsidRPr="00113825">
              <w:rPr>
                <w:sz w:val="16"/>
              </w:rPr>
              <w:instrText>ADDIN CSL_CITATION {"citationItems":[{"id":"ITEM-1","itemData":{"URL":"http://professionnels.ign.fr/bdforet","accessed":{"date-parts":[["2019","10","8"]]},"id":"ITEM-1","issued":{"date-parts":[["0"]]},"title":"BD Forêt® | IGN - Professional Area","type":"webpage"},"uris":["http://www.mendeley.com/documents/?uuid=c6e33db5-d90d-3f33-b9c4-66bca3a31c46"]},{"id":"ITEM-2","itemData":{"id":"ITEM-2","issued":{"date-parts":[["2018"]]},"page":"1-52","title":"LES BASES VECTORIELLES","type":"article"},"uris":["http://www.mendeley.com/documents/?uuid=d61bf009-1197-4602-8b55-0f8aa3665ef3"]}],"mendeley":{"formattedCitation":"[71], [72]","plainTextFormattedCitation":"[71], [72]","previouslyFormattedCitation":"(‘LES BASES VECTORIELLES’, 2018; &lt;i&gt;BD Forêt® | IGN - Professional Area&lt;/i&gt;, no date)"},"properties":{"noteIndex":0},"schema":"https://github.com/citation-style-language/schema/raw/master/csl-citation.json"}</w:instrText>
            </w:r>
            <w:r w:rsidRPr="00113825">
              <w:rPr>
                <w:sz w:val="16"/>
              </w:rPr>
              <w:fldChar w:fldCharType="separate"/>
            </w:r>
            <w:r w:rsidR="0089363E" w:rsidRPr="00113825">
              <w:rPr>
                <w:noProof/>
                <w:sz w:val="16"/>
              </w:rPr>
              <w:t>[71], [72]</w:t>
            </w:r>
            <w:r w:rsidRPr="00113825">
              <w:rPr>
                <w:sz w:val="16"/>
              </w:rPr>
              <w:fldChar w:fldCharType="end"/>
            </w:r>
          </w:p>
        </w:tc>
        <w:tc>
          <w:tcPr>
            <w:tcW w:w="1237" w:type="dxa"/>
            <w:vAlign w:val="center"/>
          </w:tcPr>
          <w:p w14:paraId="37067934" w14:textId="42AC688F" w:rsidR="006634F0" w:rsidRPr="00113825" w:rsidRDefault="005C7C1B" w:rsidP="00DE6E0A">
            <w:pPr>
              <w:jc w:val="center"/>
              <w:rPr>
                <w:sz w:val="16"/>
              </w:rPr>
            </w:pPr>
            <w:r w:rsidRPr="00113825">
              <w:rPr>
                <w:sz w:val="16"/>
              </w:rPr>
              <w:t>&lt;</w:t>
            </w:r>
            <w:r w:rsidR="00843090" w:rsidRPr="00113825">
              <w:rPr>
                <w:sz w:val="16"/>
              </w:rPr>
              <w:t xml:space="preserve"> 2018</w:t>
            </w:r>
          </w:p>
        </w:tc>
      </w:tr>
      <w:tr w:rsidR="00DE6E0A" w:rsidRPr="00113825" w14:paraId="0AD9FBEB" w14:textId="77777777" w:rsidTr="00DE6E0A">
        <w:trPr>
          <w:jc w:val="center"/>
        </w:trPr>
        <w:tc>
          <w:tcPr>
            <w:tcW w:w="1795" w:type="dxa"/>
            <w:vAlign w:val="center"/>
          </w:tcPr>
          <w:p w14:paraId="4114B304" w14:textId="77777777" w:rsidR="006634F0" w:rsidRPr="00113825" w:rsidRDefault="006634F0" w:rsidP="00985370">
            <w:pPr>
              <w:rPr>
                <w:sz w:val="16"/>
              </w:rPr>
            </w:pPr>
            <w:r w:rsidRPr="00113825">
              <w:rPr>
                <w:sz w:val="16"/>
              </w:rPr>
              <w:t>Forest Inventory Statistics</w:t>
            </w:r>
          </w:p>
        </w:tc>
        <w:tc>
          <w:tcPr>
            <w:tcW w:w="4770" w:type="dxa"/>
            <w:vAlign w:val="center"/>
          </w:tcPr>
          <w:p w14:paraId="5224762C" w14:textId="77777777" w:rsidR="006634F0" w:rsidRPr="00113825" w:rsidRDefault="006634F0" w:rsidP="00985370">
            <w:pPr>
              <w:rPr>
                <w:sz w:val="16"/>
              </w:rPr>
            </w:pPr>
            <w:r w:rsidRPr="00113825">
              <w:rPr>
                <w:sz w:val="16"/>
              </w:rPr>
              <w:t xml:space="preserve">Used in Step 1 of the </w:t>
            </w:r>
            <w:proofErr w:type="spellStart"/>
            <w:r w:rsidRPr="00113825">
              <w:rPr>
                <w:sz w:val="16"/>
              </w:rPr>
              <w:t>CamBEE</w:t>
            </w:r>
            <w:proofErr w:type="spellEnd"/>
            <w:r w:rsidRPr="00113825">
              <w:rPr>
                <w:sz w:val="16"/>
              </w:rPr>
              <w:t xml:space="preserve"> process</w:t>
            </w:r>
          </w:p>
        </w:tc>
        <w:tc>
          <w:tcPr>
            <w:tcW w:w="1260" w:type="dxa"/>
            <w:vAlign w:val="center"/>
          </w:tcPr>
          <w:p w14:paraId="5BD64808" w14:textId="6CF20AB3" w:rsidR="006634F0" w:rsidRPr="00113825" w:rsidRDefault="006634F0" w:rsidP="0089363E">
            <w:pPr>
              <w:rPr>
                <w:sz w:val="16"/>
              </w:rPr>
            </w:pPr>
            <w:r w:rsidRPr="00113825">
              <w:rPr>
                <w:sz w:val="16"/>
              </w:rPr>
              <w:fldChar w:fldCharType="begin" w:fldLock="1"/>
            </w:r>
            <w:r w:rsidR="0089363E" w:rsidRPr="00113825">
              <w:rPr>
                <w:sz w:val="16"/>
              </w:rPr>
              <w:instrText>ADDIN CSL_CITATION {"citationItems":[{"id":"ITEM-1","itemData":{"URL":"https://www.territoires-climat.ademe.fr/actualite/loutil-aldo-pour-une-premiere-estimation-de-la-sequestration-carbone-dans-les-sols-et-la-biomasse","accessed":{"date-parts":[["2019","10","11"]]},"id":"ITEM-1","issued":{"date-parts":[["0"]]},"title":"Ademe PTC","type":"webpage"},"uris":["http://www.mendeley.com/documents/?uuid=950d6283-8c0d-360b-8f61-fbebd6e6a606"]}],"mendeley":{"formattedCitation":"[73]","plainTextFormattedCitation":"[73]","previouslyFormattedCitation":"(&lt;i&gt;Ademe PTC&lt;/i&gt;, no date a)"},"properties":{"noteIndex":0},"schema":"https://github.com/citation-style-language/schema/raw/master/csl-citation.json"}</w:instrText>
            </w:r>
            <w:r w:rsidRPr="00113825">
              <w:rPr>
                <w:sz w:val="16"/>
              </w:rPr>
              <w:fldChar w:fldCharType="separate"/>
            </w:r>
            <w:r w:rsidR="0089363E" w:rsidRPr="00113825">
              <w:rPr>
                <w:noProof/>
                <w:sz w:val="16"/>
              </w:rPr>
              <w:t>[73]</w:t>
            </w:r>
            <w:r w:rsidRPr="00113825">
              <w:rPr>
                <w:sz w:val="16"/>
              </w:rPr>
              <w:fldChar w:fldCharType="end"/>
            </w:r>
          </w:p>
        </w:tc>
        <w:tc>
          <w:tcPr>
            <w:tcW w:w="1237" w:type="dxa"/>
            <w:vAlign w:val="center"/>
          </w:tcPr>
          <w:p w14:paraId="469630C6" w14:textId="68275F5A" w:rsidR="006634F0" w:rsidRPr="00113825" w:rsidRDefault="005C7C1B" w:rsidP="00DE6E0A">
            <w:pPr>
              <w:jc w:val="center"/>
              <w:rPr>
                <w:sz w:val="16"/>
              </w:rPr>
            </w:pPr>
            <w:r w:rsidRPr="00113825">
              <w:rPr>
                <w:sz w:val="16"/>
              </w:rPr>
              <w:t xml:space="preserve">2009 </w:t>
            </w:r>
            <w:r w:rsidR="00843090" w:rsidRPr="00113825">
              <w:rPr>
                <w:sz w:val="16"/>
              </w:rPr>
              <w:t xml:space="preserve">- </w:t>
            </w:r>
            <w:r w:rsidRPr="00113825">
              <w:rPr>
                <w:sz w:val="16"/>
              </w:rPr>
              <w:t>2014</w:t>
            </w:r>
          </w:p>
        </w:tc>
      </w:tr>
      <w:tr w:rsidR="00DE6E0A" w:rsidRPr="00113825" w14:paraId="3B4896B6" w14:textId="77777777" w:rsidTr="00DE6E0A">
        <w:trPr>
          <w:jc w:val="center"/>
        </w:trPr>
        <w:tc>
          <w:tcPr>
            <w:tcW w:w="1795" w:type="dxa"/>
            <w:vAlign w:val="center"/>
          </w:tcPr>
          <w:p w14:paraId="67A20DA2" w14:textId="346CE248" w:rsidR="006634F0" w:rsidRPr="00113825" w:rsidRDefault="006634F0" w:rsidP="00985370">
            <w:pPr>
              <w:rPr>
                <w:sz w:val="16"/>
              </w:rPr>
            </w:pPr>
            <w:r w:rsidRPr="00113825">
              <w:rPr>
                <w:sz w:val="16"/>
              </w:rPr>
              <w:t>Biomass Expansion Factors</w:t>
            </w:r>
            <w:r w:rsidR="00843090" w:rsidRPr="00113825">
              <w:rPr>
                <w:sz w:val="16"/>
              </w:rPr>
              <w:t xml:space="preserve"> (BEF)</w:t>
            </w:r>
          </w:p>
        </w:tc>
        <w:tc>
          <w:tcPr>
            <w:tcW w:w="4770" w:type="dxa"/>
            <w:vAlign w:val="center"/>
          </w:tcPr>
          <w:p w14:paraId="4EF1E095" w14:textId="77777777" w:rsidR="006634F0" w:rsidRPr="00113825" w:rsidRDefault="006634F0" w:rsidP="00985370">
            <w:pPr>
              <w:rPr>
                <w:sz w:val="16"/>
              </w:rPr>
            </w:pPr>
            <w:r w:rsidRPr="00113825">
              <w:rPr>
                <w:sz w:val="16"/>
              </w:rPr>
              <w:t xml:space="preserve">Used in Step 4 of the </w:t>
            </w:r>
            <w:proofErr w:type="spellStart"/>
            <w:r w:rsidRPr="00113825">
              <w:rPr>
                <w:sz w:val="16"/>
              </w:rPr>
              <w:t>CamBEE</w:t>
            </w:r>
            <w:proofErr w:type="spellEnd"/>
            <w:r w:rsidRPr="00113825">
              <w:rPr>
                <w:sz w:val="16"/>
              </w:rPr>
              <w:t xml:space="preserve"> process</w:t>
            </w:r>
          </w:p>
        </w:tc>
        <w:tc>
          <w:tcPr>
            <w:tcW w:w="1260" w:type="dxa"/>
            <w:vAlign w:val="center"/>
          </w:tcPr>
          <w:p w14:paraId="3041A113" w14:textId="01D4FA28" w:rsidR="006634F0" w:rsidRPr="00113825" w:rsidRDefault="006634F0" w:rsidP="0089363E">
            <w:pPr>
              <w:rPr>
                <w:sz w:val="16"/>
              </w:rPr>
            </w:pPr>
            <w:r w:rsidRPr="00113825">
              <w:rPr>
                <w:sz w:val="16"/>
              </w:rPr>
              <w:t xml:space="preserve">Table 3A.1.10; </w:t>
            </w:r>
            <w:r w:rsidRPr="00113825">
              <w:rPr>
                <w:sz w:val="16"/>
              </w:rPr>
              <w:fldChar w:fldCharType="begin" w:fldLock="1"/>
            </w:r>
            <w:r w:rsidR="0089363E" w:rsidRPr="00113825">
              <w:rPr>
                <w:sz w:val="16"/>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Pr="00113825">
              <w:rPr>
                <w:sz w:val="16"/>
              </w:rPr>
              <w:fldChar w:fldCharType="separate"/>
            </w:r>
            <w:r w:rsidR="0089363E" w:rsidRPr="00113825">
              <w:rPr>
                <w:noProof/>
                <w:sz w:val="16"/>
              </w:rPr>
              <w:t>[53]</w:t>
            </w:r>
            <w:r w:rsidRPr="00113825">
              <w:rPr>
                <w:sz w:val="16"/>
              </w:rPr>
              <w:fldChar w:fldCharType="end"/>
            </w:r>
          </w:p>
        </w:tc>
        <w:tc>
          <w:tcPr>
            <w:tcW w:w="1237" w:type="dxa"/>
            <w:vAlign w:val="center"/>
          </w:tcPr>
          <w:p w14:paraId="60CD33C9" w14:textId="17636336" w:rsidR="006634F0" w:rsidRPr="00113825" w:rsidRDefault="005C7C1B" w:rsidP="00DE6E0A">
            <w:pPr>
              <w:jc w:val="center"/>
              <w:rPr>
                <w:sz w:val="16"/>
                <w:vertAlign w:val="superscript"/>
              </w:rPr>
            </w:pPr>
            <w:r w:rsidRPr="00113825">
              <w:rPr>
                <w:sz w:val="16"/>
              </w:rPr>
              <w:t>&lt;2003</w:t>
            </w:r>
            <w:r w:rsidR="00843090" w:rsidRPr="00113825">
              <w:rPr>
                <w:vertAlign w:val="superscript"/>
              </w:rPr>
              <w:t>+</w:t>
            </w:r>
          </w:p>
        </w:tc>
      </w:tr>
      <w:tr w:rsidR="00DE6E0A" w:rsidRPr="00113825" w14:paraId="5F4D4DCB" w14:textId="77777777" w:rsidTr="00DE6E0A">
        <w:trPr>
          <w:jc w:val="center"/>
        </w:trPr>
        <w:tc>
          <w:tcPr>
            <w:tcW w:w="1795" w:type="dxa"/>
            <w:vAlign w:val="center"/>
          </w:tcPr>
          <w:p w14:paraId="6ACAA526" w14:textId="341BA146" w:rsidR="006634F0" w:rsidRPr="00113825" w:rsidRDefault="006634F0" w:rsidP="00985370">
            <w:pPr>
              <w:rPr>
                <w:sz w:val="16"/>
              </w:rPr>
            </w:pPr>
            <w:r w:rsidRPr="00113825">
              <w:rPr>
                <w:sz w:val="16"/>
              </w:rPr>
              <w:t>Factor of basic wood density</w:t>
            </w:r>
            <w:r w:rsidR="00843090" w:rsidRPr="00113825">
              <w:rPr>
                <w:sz w:val="16"/>
              </w:rPr>
              <w:t xml:space="preserve"> (D)</w:t>
            </w:r>
          </w:p>
        </w:tc>
        <w:tc>
          <w:tcPr>
            <w:tcW w:w="4770" w:type="dxa"/>
            <w:vAlign w:val="center"/>
          </w:tcPr>
          <w:p w14:paraId="7B2E8542" w14:textId="77777777" w:rsidR="006634F0" w:rsidRPr="00113825" w:rsidRDefault="006634F0" w:rsidP="00985370">
            <w:pPr>
              <w:rPr>
                <w:sz w:val="16"/>
              </w:rPr>
            </w:pPr>
            <w:r w:rsidRPr="00113825">
              <w:rPr>
                <w:sz w:val="16"/>
              </w:rPr>
              <w:t xml:space="preserve">Used in Step 3 of the </w:t>
            </w:r>
            <w:proofErr w:type="spellStart"/>
            <w:r w:rsidRPr="00113825">
              <w:rPr>
                <w:sz w:val="16"/>
              </w:rPr>
              <w:t>CamBEE</w:t>
            </w:r>
            <w:proofErr w:type="spellEnd"/>
            <w:r w:rsidRPr="00113825">
              <w:rPr>
                <w:sz w:val="16"/>
              </w:rPr>
              <w:t xml:space="preserve"> process</w:t>
            </w:r>
          </w:p>
        </w:tc>
        <w:tc>
          <w:tcPr>
            <w:tcW w:w="1260" w:type="dxa"/>
            <w:vAlign w:val="center"/>
          </w:tcPr>
          <w:p w14:paraId="42BB28E4" w14:textId="6C22C62D" w:rsidR="006634F0" w:rsidRPr="00113825" w:rsidRDefault="006634F0" w:rsidP="0089363E">
            <w:pPr>
              <w:rPr>
                <w:sz w:val="16"/>
              </w:rPr>
            </w:pPr>
            <w:r w:rsidRPr="00113825">
              <w:rPr>
                <w:sz w:val="16"/>
              </w:rPr>
              <w:t xml:space="preserve">Table 3A.1.9-1; </w:t>
            </w:r>
            <w:r w:rsidRPr="00113825">
              <w:rPr>
                <w:sz w:val="16"/>
              </w:rPr>
              <w:fldChar w:fldCharType="begin" w:fldLock="1"/>
            </w:r>
            <w:r w:rsidR="0089363E" w:rsidRPr="00113825">
              <w:rPr>
                <w:sz w:val="16"/>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Pr="00113825">
              <w:rPr>
                <w:sz w:val="16"/>
              </w:rPr>
              <w:fldChar w:fldCharType="separate"/>
            </w:r>
            <w:r w:rsidR="0089363E" w:rsidRPr="00113825">
              <w:rPr>
                <w:noProof/>
                <w:sz w:val="16"/>
              </w:rPr>
              <w:t>[53]</w:t>
            </w:r>
            <w:r w:rsidRPr="00113825">
              <w:rPr>
                <w:sz w:val="16"/>
              </w:rPr>
              <w:fldChar w:fldCharType="end"/>
            </w:r>
          </w:p>
        </w:tc>
        <w:tc>
          <w:tcPr>
            <w:tcW w:w="1237" w:type="dxa"/>
            <w:vAlign w:val="center"/>
          </w:tcPr>
          <w:p w14:paraId="211C8CAB" w14:textId="4A8E299A" w:rsidR="006634F0" w:rsidRPr="00113825" w:rsidRDefault="005C7C1B" w:rsidP="00DE6E0A">
            <w:pPr>
              <w:jc w:val="center"/>
              <w:rPr>
                <w:sz w:val="16"/>
                <w:vertAlign w:val="superscript"/>
              </w:rPr>
            </w:pPr>
            <w:r w:rsidRPr="00113825">
              <w:rPr>
                <w:sz w:val="16"/>
              </w:rPr>
              <w:t>&lt;2003</w:t>
            </w:r>
            <w:r w:rsidR="00843090" w:rsidRPr="00113825">
              <w:rPr>
                <w:vertAlign w:val="superscript"/>
              </w:rPr>
              <w:t>+</w:t>
            </w:r>
          </w:p>
        </w:tc>
      </w:tr>
      <w:tr w:rsidR="00DE6E0A" w:rsidRPr="00113825" w14:paraId="72BEB4F1" w14:textId="77777777" w:rsidTr="00DE6E0A">
        <w:trPr>
          <w:jc w:val="center"/>
        </w:trPr>
        <w:tc>
          <w:tcPr>
            <w:tcW w:w="1795" w:type="dxa"/>
            <w:vAlign w:val="center"/>
          </w:tcPr>
          <w:p w14:paraId="33AE3E23" w14:textId="77777777" w:rsidR="006634F0" w:rsidRPr="00113825" w:rsidRDefault="006634F0" w:rsidP="00985370">
            <w:pPr>
              <w:rPr>
                <w:sz w:val="16"/>
              </w:rPr>
            </w:pPr>
            <w:r w:rsidRPr="00113825">
              <w:rPr>
                <w:sz w:val="16"/>
              </w:rPr>
              <w:t>Administrative shapefile</w:t>
            </w:r>
          </w:p>
        </w:tc>
        <w:tc>
          <w:tcPr>
            <w:tcW w:w="4770" w:type="dxa"/>
            <w:vAlign w:val="center"/>
          </w:tcPr>
          <w:p w14:paraId="3E9292F1" w14:textId="77777777" w:rsidR="006634F0" w:rsidRPr="00113825" w:rsidRDefault="006634F0" w:rsidP="00985370">
            <w:pPr>
              <w:rPr>
                <w:sz w:val="16"/>
              </w:rPr>
            </w:pPr>
            <w:r w:rsidRPr="00113825">
              <w:rPr>
                <w:sz w:val="16"/>
              </w:rPr>
              <w:t>Used in the exemplification section</w:t>
            </w:r>
          </w:p>
        </w:tc>
        <w:tc>
          <w:tcPr>
            <w:tcW w:w="1260" w:type="dxa"/>
            <w:vAlign w:val="center"/>
          </w:tcPr>
          <w:p w14:paraId="181BF34E" w14:textId="44810290" w:rsidR="006634F0" w:rsidRPr="00113825" w:rsidRDefault="006634F0" w:rsidP="0089363E">
            <w:pPr>
              <w:rPr>
                <w:sz w:val="16"/>
              </w:rPr>
            </w:pPr>
            <w:r w:rsidRPr="00113825">
              <w:rPr>
                <w:sz w:val="16"/>
              </w:rPr>
              <w:fldChar w:fldCharType="begin" w:fldLock="1"/>
            </w:r>
            <w:r w:rsidR="0089363E" w:rsidRPr="00113825">
              <w:rPr>
                <w:sz w:val="16"/>
              </w:rPr>
              <w:instrText>ADDIN CSL_CITATION {"citationItems":[{"id":"ITEM-1","itemData":{"URL":"https://gadm.org/","accessed":{"date-parts":[["2019","10","11"]]},"id":"ITEM-1","issued":{"date-parts":[["0"]]},"title":"GADM","type":"webpage"},"uris":["http://www.mendeley.com/documents/?uuid=0ed08a60-a89a-36d0-9822-e9fc8fbe577d"]}],"mendeley":{"formattedCitation":"[74]","plainTextFormattedCitation":"[74]","previouslyFormattedCitation":"(&lt;i&gt;GADM&lt;/i&gt;, no date)"},"properties":{"noteIndex":0},"schema":"https://github.com/citation-style-language/schema/raw/master/csl-citation.json"}</w:instrText>
            </w:r>
            <w:r w:rsidRPr="00113825">
              <w:rPr>
                <w:sz w:val="16"/>
              </w:rPr>
              <w:fldChar w:fldCharType="separate"/>
            </w:r>
            <w:r w:rsidR="0089363E" w:rsidRPr="00113825">
              <w:rPr>
                <w:noProof/>
                <w:sz w:val="16"/>
              </w:rPr>
              <w:t>[74]</w:t>
            </w:r>
            <w:r w:rsidRPr="00113825">
              <w:rPr>
                <w:sz w:val="16"/>
              </w:rPr>
              <w:fldChar w:fldCharType="end"/>
            </w:r>
          </w:p>
        </w:tc>
        <w:tc>
          <w:tcPr>
            <w:tcW w:w="1237" w:type="dxa"/>
            <w:vAlign w:val="center"/>
          </w:tcPr>
          <w:p w14:paraId="0351C351" w14:textId="7BE269B5" w:rsidR="006634F0" w:rsidRPr="00113825" w:rsidRDefault="005C7C1B" w:rsidP="00DE6E0A">
            <w:pPr>
              <w:jc w:val="center"/>
              <w:rPr>
                <w:sz w:val="16"/>
              </w:rPr>
            </w:pPr>
            <w:r w:rsidRPr="00113825">
              <w:rPr>
                <w:sz w:val="16"/>
              </w:rPr>
              <w:t>-</w:t>
            </w:r>
          </w:p>
        </w:tc>
      </w:tr>
      <w:tr w:rsidR="00DE6E0A" w:rsidRPr="00113825" w14:paraId="06FD6756" w14:textId="77777777" w:rsidTr="00DE6E0A">
        <w:trPr>
          <w:jc w:val="center"/>
        </w:trPr>
        <w:tc>
          <w:tcPr>
            <w:tcW w:w="1795" w:type="dxa"/>
            <w:vAlign w:val="center"/>
          </w:tcPr>
          <w:p w14:paraId="19307C70" w14:textId="77777777" w:rsidR="006634F0" w:rsidRPr="00113825" w:rsidRDefault="006634F0" w:rsidP="00985370">
            <w:pPr>
              <w:rPr>
                <w:sz w:val="16"/>
              </w:rPr>
            </w:pPr>
            <w:r w:rsidRPr="00113825">
              <w:rPr>
                <w:sz w:val="16"/>
              </w:rPr>
              <w:t>EPCI</w:t>
            </w:r>
            <w:r w:rsidRPr="00113825">
              <w:rPr>
                <w:sz w:val="16"/>
                <w:vertAlign w:val="superscript"/>
              </w:rPr>
              <w:t>1</w:t>
            </w:r>
            <w:r w:rsidRPr="00113825">
              <w:rPr>
                <w:sz w:val="16"/>
              </w:rPr>
              <w:t xml:space="preserve"> Shapefile</w:t>
            </w:r>
          </w:p>
        </w:tc>
        <w:tc>
          <w:tcPr>
            <w:tcW w:w="4770" w:type="dxa"/>
            <w:vAlign w:val="center"/>
          </w:tcPr>
          <w:p w14:paraId="74229B0B" w14:textId="77777777" w:rsidR="006634F0" w:rsidRPr="00113825" w:rsidRDefault="006634F0" w:rsidP="00985370">
            <w:pPr>
              <w:rPr>
                <w:sz w:val="16"/>
              </w:rPr>
            </w:pPr>
            <w:r w:rsidRPr="00113825">
              <w:rPr>
                <w:sz w:val="16"/>
              </w:rPr>
              <w:t>Used for extracting the inventory statistics data in the exemplification</w:t>
            </w:r>
          </w:p>
        </w:tc>
        <w:tc>
          <w:tcPr>
            <w:tcW w:w="1260" w:type="dxa"/>
            <w:vAlign w:val="center"/>
          </w:tcPr>
          <w:p w14:paraId="6EA2E456" w14:textId="40090216" w:rsidR="006634F0" w:rsidRPr="00113825" w:rsidRDefault="006634F0" w:rsidP="0089363E">
            <w:pPr>
              <w:rPr>
                <w:sz w:val="16"/>
              </w:rPr>
            </w:pPr>
            <w:r w:rsidRPr="00113825">
              <w:rPr>
                <w:sz w:val="16"/>
              </w:rPr>
              <w:fldChar w:fldCharType="begin" w:fldLock="1"/>
            </w:r>
            <w:r w:rsidR="0089363E" w:rsidRPr="00113825">
              <w:rPr>
                <w:sz w:val="16"/>
              </w:rPr>
              <w:instrText>ADDIN CSL_CITATION {"citationItems":[{"id":"ITEM-1","itemData":{"URL":"https://www.data.gouv.fr/fr/datasets/contours-des-epci-2015/","accessed":{"date-parts":[["2019","10","11"]]},"id":"ITEM-1","issued":{"date-parts":[["0"]]},"title":"Contours of EPCI 2015 - data.gouv.fr","type":"webpage"},"uris":["http://www.mendeley.com/documents/?uuid=bd0658a0-b4bc-3c00-b444-e6a8552421df"]}],"mendeley":{"formattedCitation":"[75]","plainTextFormattedCitation":"[75]","previouslyFormattedCitation":"(&lt;i&gt;Contours of EPCI 2015 - data.gouv.fr&lt;/i&gt;, no date)"},"properties":{"noteIndex":0},"schema":"https://github.com/citation-style-language/schema/raw/master/csl-citation.json"}</w:instrText>
            </w:r>
            <w:r w:rsidRPr="00113825">
              <w:rPr>
                <w:sz w:val="16"/>
              </w:rPr>
              <w:fldChar w:fldCharType="separate"/>
            </w:r>
            <w:r w:rsidR="0089363E" w:rsidRPr="00113825">
              <w:rPr>
                <w:noProof/>
                <w:sz w:val="16"/>
              </w:rPr>
              <w:t>[75]</w:t>
            </w:r>
            <w:r w:rsidRPr="00113825">
              <w:rPr>
                <w:sz w:val="16"/>
              </w:rPr>
              <w:fldChar w:fldCharType="end"/>
            </w:r>
          </w:p>
        </w:tc>
        <w:tc>
          <w:tcPr>
            <w:tcW w:w="1237" w:type="dxa"/>
            <w:vAlign w:val="center"/>
          </w:tcPr>
          <w:p w14:paraId="7A1EB472" w14:textId="22358C91" w:rsidR="006634F0" w:rsidRPr="00113825" w:rsidRDefault="005C7C1B" w:rsidP="00DE6E0A">
            <w:pPr>
              <w:jc w:val="center"/>
              <w:rPr>
                <w:sz w:val="16"/>
              </w:rPr>
            </w:pPr>
            <w:r w:rsidRPr="00113825">
              <w:rPr>
                <w:sz w:val="16"/>
              </w:rPr>
              <w:t>-</w:t>
            </w:r>
          </w:p>
        </w:tc>
      </w:tr>
      <w:tr w:rsidR="00DE6E0A" w:rsidRPr="00113825" w14:paraId="47E2A67A" w14:textId="77777777" w:rsidTr="00DE6E0A">
        <w:trPr>
          <w:jc w:val="center"/>
        </w:trPr>
        <w:tc>
          <w:tcPr>
            <w:tcW w:w="1795" w:type="dxa"/>
            <w:vAlign w:val="center"/>
          </w:tcPr>
          <w:p w14:paraId="427213B3" w14:textId="77777777" w:rsidR="006634F0" w:rsidRPr="00113825" w:rsidRDefault="006634F0" w:rsidP="00985370">
            <w:pPr>
              <w:rPr>
                <w:sz w:val="16"/>
              </w:rPr>
            </w:pPr>
            <w:r w:rsidRPr="00113825">
              <w:rPr>
                <w:sz w:val="16"/>
              </w:rPr>
              <w:t>Public / Private forest shapefile</w:t>
            </w:r>
          </w:p>
        </w:tc>
        <w:tc>
          <w:tcPr>
            <w:tcW w:w="4770" w:type="dxa"/>
            <w:vAlign w:val="center"/>
          </w:tcPr>
          <w:p w14:paraId="2D6AA27B" w14:textId="77777777" w:rsidR="006634F0" w:rsidRPr="00113825" w:rsidRDefault="006634F0" w:rsidP="00985370">
            <w:pPr>
              <w:rPr>
                <w:sz w:val="16"/>
              </w:rPr>
            </w:pPr>
            <w:r w:rsidRPr="00113825">
              <w:rPr>
                <w:sz w:val="16"/>
              </w:rPr>
              <w:t>Used for identifying the publicly owned and the privately owned forests of France in the exemplification section</w:t>
            </w:r>
          </w:p>
        </w:tc>
        <w:tc>
          <w:tcPr>
            <w:tcW w:w="1260" w:type="dxa"/>
            <w:vAlign w:val="center"/>
          </w:tcPr>
          <w:p w14:paraId="6EE80419" w14:textId="314A7EA2" w:rsidR="006634F0" w:rsidRPr="00113825" w:rsidRDefault="006634F0" w:rsidP="0089363E">
            <w:pPr>
              <w:rPr>
                <w:sz w:val="16"/>
              </w:rPr>
            </w:pPr>
            <w:r w:rsidRPr="00113825">
              <w:rPr>
                <w:sz w:val="16"/>
              </w:rPr>
              <w:fldChar w:fldCharType="begin" w:fldLock="1"/>
            </w:r>
            <w:r w:rsidR="0089363E" w:rsidRPr="00113825">
              <w:rPr>
                <w:sz w:val="16"/>
              </w:rPr>
              <w:instrText>ADDIN CSL_CITATION {"citationItems":[{"id":"ITEM-1","itemData":{"URL":"https://www.data.gouv.fr/fr/datasets/forets-publiques-diffusion-publique/","accessed":{"date-parts":[["2019","10","14"]]},"id":"ITEM-1","issued":{"date-parts":[["0"]]},"title":"Public forests (public distribution) - data.gouv.fr","type":"webpage"},"uris":["http://www.mendeley.com/documents/?uuid=1a594491-cfb3-3121-8b0f-60b95b36018a"]}],"mendeley":{"formattedCitation":"[76]","plainTextFormattedCitation":"[76]","previouslyFormattedCitation":"(&lt;i&gt;Public forests (public distribution) - data.gouv.fr&lt;/i&gt;, no date)"},"properties":{"noteIndex":0},"schema":"https://github.com/citation-style-language/schema/raw/master/csl-citation.json"}</w:instrText>
            </w:r>
            <w:r w:rsidRPr="00113825">
              <w:rPr>
                <w:sz w:val="16"/>
              </w:rPr>
              <w:fldChar w:fldCharType="separate"/>
            </w:r>
            <w:r w:rsidR="0089363E" w:rsidRPr="00113825">
              <w:rPr>
                <w:noProof/>
                <w:sz w:val="16"/>
              </w:rPr>
              <w:t>[76]</w:t>
            </w:r>
            <w:r w:rsidRPr="00113825">
              <w:rPr>
                <w:sz w:val="16"/>
              </w:rPr>
              <w:fldChar w:fldCharType="end"/>
            </w:r>
          </w:p>
        </w:tc>
        <w:tc>
          <w:tcPr>
            <w:tcW w:w="1237" w:type="dxa"/>
            <w:vAlign w:val="center"/>
          </w:tcPr>
          <w:p w14:paraId="55F234DB" w14:textId="0ACE7820" w:rsidR="006634F0" w:rsidRPr="00113825" w:rsidRDefault="005C7C1B" w:rsidP="00DE6E0A">
            <w:pPr>
              <w:jc w:val="center"/>
              <w:rPr>
                <w:sz w:val="16"/>
              </w:rPr>
            </w:pPr>
            <w:r w:rsidRPr="00113825">
              <w:rPr>
                <w:sz w:val="16"/>
              </w:rPr>
              <w:t>-</w:t>
            </w:r>
          </w:p>
        </w:tc>
      </w:tr>
    </w:tbl>
    <w:p w14:paraId="2A911F28" w14:textId="79074AD1" w:rsidR="00EB6BD7" w:rsidRPr="00113825" w:rsidRDefault="00014ADC" w:rsidP="00DE6E0A">
      <w:pPr>
        <w:spacing w:after="0"/>
        <w:jc w:val="both"/>
        <w:rPr>
          <w:sz w:val="16"/>
        </w:rPr>
      </w:pPr>
      <w:r w:rsidRPr="00113825">
        <w:rPr>
          <w:szCs w:val="20"/>
          <w:vertAlign w:val="superscript"/>
        </w:rPr>
        <w:t>1</w:t>
      </w:r>
      <w:r w:rsidRPr="00113825">
        <w:rPr>
          <w:szCs w:val="20"/>
        </w:rPr>
        <w:t xml:space="preserve"> </w:t>
      </w:r>
      <w:r w:rsidRPr="00113825">
        <w:rPr>
          <w:sz w:val="16"/>
          <w:szCs w:val="20"/>
        </w:rPr>
        <w:t xml:space="preserve">A </w:t>
      </w:r>
      <w:r w:rsidR="00CB3478" w:rsidRPr="00113825">
        <w:rPr>
          <w:sz w:val="16"/>
        </w:rPr>
        <w:t xml:space="preserve">French administrative regional unit that groups several </w:t>
      </w:r>
      <w:r w:rsidR="001550CE" w:rsidRPr="00113825">
        <w:rPr>
          <w:sz w:val="16"/>
        </w:rPr>
        <w:t>communes</w:t>
      </w:r>
      <w:r w:rsidR="00CB3478" w:rsidRPr="00113825">
        <w:rPr>
          <w:sz w:val="16"/>
        </w:rPr>
        <w:t xml:space="preserve"> based on some of their common competences. </w:t>
      </w:r>
      <w:r w:rsidR="00F96BAE" w:rsidRPr="00113825">
        <w:rPr>
          <w:sz w:val="16"/>
        </w:rPr>
        <w:t>There are 1258</w:t>
      </w:r>
      <w:r w:rsidR="00CB3478" w:rsidRPr="00113825">
        <w:rPr>
          <w:sz w:val="16"/>
        </w:rPr>
        <w:t xml:space="preserve"> EPCI in France</w:t>
      </w:r>
      <w:r w:rsidR="00F96BAE" w:rsidRPr="00113825">
        <w:rPr>
          <w:sz w:val="16"/>
        </w:rPr>
        <w:t xml:space="preserve"> (as of 1</w:t>
      </w:r>
      <w:r w:rsidR="00F96BAE" w:rsidRPr="00113825">
        <w:rPr>
          <w:sz w:val="16"/>
          <w:vertAlign w:val="superscript"/>
        </w:rPr>
        <w:t>st</w:t>
      </w:r>
      <w:r w:rsidR="00F96BAE" w:rsidRPr="00113825">
        <w:rPr>
          <w:sz w:val="16"/>
        </w:rPr>
        <w:t xml:space="preserve"> January 2019)</w:t>
      </w:r>
      <w:r w:rsidR="00CB3478" w:rsidRPr="00113825">
        <w:rPr>
          <w:sz w:val="16"/>
        </w:rPr>
        <w:t>.</w:t>
      </w:r>
    </w:p>
    <w:p w14:paraId="27CE3D59" w14:textId="1A18FB24" w:rsidR="00843090" w:rsidRPr="00113825" w:rsidRDefault="00843090" w:rsidP="00DE6E0A">
      <w:pPr>
        <w:spacing w:after="0"/>
        <w:jc w:val="both"/>
        <w:rPr>
          <w:sz w:val="16"/>
        </w:rPr>
      </w:pPr>
      <w:r w:rsidRPr="00113825">
        <w:rPr>
          <w:vertAlign w:val="superscript"/>
        </w:rPr>
        <w:t>+</w:t>
      </w:r>
      <w:r w:rsidRPr="00113825">
        <w:rPr>
          <w:sz w:val="16"/>
        </w:rPr>
        <w:t xml:space="preserve"> The values of BEF for different forest types were obtained from the IPCC good practice Guidance report </w:t>
      </w:r>
      <w:r w:rsidRPr="00113825">
        <w:rPr>
          <w:sz w:val="16"/>
        </w:rPr>
        <w:fldChar w:fldCharType="begin" w:fldLock="1"/>
      </w:r>
      <w:r w:rsidR="0089363E" w:rsidRPr="00113825">
        <w:rPr>
          <w:sz w:val="16"/>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Pr="00113825">
        <w:rPr>
          <w:sz w:val="16"/>
        </w:rPr>
        <w:fldChar w:fldCharType="separate"/>
      </w:r>
      <w:r w:rsidR="0089363E" w:rsidRPr="00113825">
        <w:rPr>
          <w:noProof/>
          <w:sz w:val="16"/>
        </w:rPr>
        <w:t>[53]</w:t>
      </w:r>
      <w:r w:rsidRPr="00113825">
        <w:rPr>
          <w:sz w:val="16"/>
        </w:rPr>
        <w:fldChar w:fldCharType="end"/>
      </w:r>
      <w:r w:rsidR="002F36D0" w:rsidRPr="00113825">
        <w:rPr>
          <w:sz w:val="16"/>
        </w:rPr>
        <w:t>.</w:t>
      </w:r>
      <w:r w:rsidRPr="00113825">
        <w:rPr>
          <w:sz w:val="16"/>
        </w:rPr>
        <w:t xml:space="preserve"> </w:t>
      </w:r>
      <w:r w:rsidR="002F36D0" w:rsidRPr="00113825">
        <w:rPr>
          <w:sz w:val="16"/>
        </w:rPr>
        <w:t>T</w:t>
      </w:r>
      <w:r w:rsidRPr="00113825">
        <w:rPr>
          <w:sz w:val="16"/>
        </w:rPr>
        <w:t>he report takes</w:t>
      </w:r>
      <w:r w:rsidR="002F36D0" w:rsidRPr="00113825">
        <w:rPr>
          <w:sz w:val="16"/>
        </w:rPr>
        <w:t xml:space="preserve"> these</w:t>
      </w:r>
      <w:r w:rsidRPr="00113825">
        <w:rPr>
          <w:sz w:val="16"/>
        </w:rPr>
        <w:t xml:space="preserve"> values from several </w:t>
      </w:r>
      <w:r w:rsidR="002F36D0" w:rsidRPr="00113825">
        <w:rPr>
          <w:sz w:val="16"/>
        </w:rPr>
        <w:t>references that</w:t>
      </w:r>
      <w:r w:rsidRPr="00113825">
        <w:rPr>
          <w:sz w:val="16"/>
        </w:rPr>
        <w:t xml:space="preserve"> are from </w:t>
      </w:r>
      <w:r w:rsidR="0092530C" w:rsidRPr="00113825">
        <w:rPr>
          <w:sz w:val="16"/>
        </w:rPr>
        <w:t xml:space="preserve">the </w:t>
      </w:r>
      <w:r w:rsidRPr="00113825">
        <w:rPr>
          <w:sz w:val="16"/>
        </w:rPr>
        <w:t xml:space="preserve">1990s. For D, as these values are </w:t>
      </w:r>
      <w:r w:rsidR="0092530C" w:rsidRPr="00113825">
        <w:rPr>
          <w:sz w:val="16"/>
        </w:rPr>
        <w:t>specie-specific</w:t>
      </w:r>
      <w:r w:rsidR="002F36D0" w:rsidRPr="00113825">
        <w:rPr>
          <w:sz w:val="16"/>
        </w:rPr>
        <w:t>, their values in the IPCC report was also taken from several references, some of which were from 1968.</w:t>
      </w:r>
    </w:p>
    <w:p w14:paraId="5C8EBC73" w14:textId="77777777" w:rsidR="00843090" w:rsidRPr="00113825" w:rsidRDefault="00843090" w:rsidP="00DE6E0A">
      <w:pPr>
        <w:spacing w:after="0"/>
        <w:jc w:val="both"/>
        <w:rPr>
          <w:sz w:val="16"/>
        </w:rPr>
      </w:pPr>
    </w:p>
    <w:p w14:paraId="331E308B" w14:textId="71B4DC44" w:rsidR="00885D42" w:rsidRPr="00113825" w:rsidRDefault="001631CF" w:rsidP="00885D42">
      <w:pPr>
        <w:spacing w:after="0" w:line="240" w:lineRule="auto"/>
        <w:jc w:val="both"/>
        <w:rPr>
          <w:szCs w:val="20"/>
        </w:rPr>
      </w:pPr>
      <w:r w:rsidRPr="00113825">
        <w:rPr>
          <w:szCs w:val="20"/>
        </w:rPr>
        <w:t>For the present study, the BD Forest® V2 data</w:t>
      </w:r>
      <w:r w:rsidR="004450E2" w:rsidRPr="00113825">
        <w:rPr>
          <w:szCs w:val="20"/>
        </w:rPr>
        <w:t xml:space="preserve"> </w:t>
      </w:r>
      <w:r w:rsidR="004450E2" w:rsidRPr="00113825">
        <w:rPr>
          <w:szCs w:val="20"/>
        </w:rPr>
        <w:fldChar w:fldCharType="begin" w:fldLock="1"/>
      </w:r>
      <w:r w:rsidR="0089363E" w:rsidRPr="00113825">
        <w:rPr>
          <w:szCs w:val="20"/>
        </w:rPr>
        <w:instrText>ADDIN CSL_CITATION {"citationItems":[{"id":"ITEM-1","itemData":{"URL":"http://professionnels.ign.fr/bdforet","accessed":{"date-parts":[["2019","10","8"]]},"id":"ITEM-1","issued":{"date-parts":[["0"]]},"title":"BD Forêt® | IGN - Professional Area","type":"webpage"},"uris":["http://www.mendeley.com/documents/?uuid=c6e33db5-d90d-3f33-b9c4-66bca3a31c46"]}],"mendeley":{"formattedCitation":"[71]","plainTextFormattedCitation":"[71]","previouslyFormattedCitation":"(&lt;i&gt;BD Forêt® | IGN - Professional Area&lt;/i&gt;, no date)"},"properties":{"noteIndex":0},"schema":"https://github.com/citation-style-language/schema/raw/master/csl-citation.json"}</w:instrText>
      </w:r>
      <w:r w:rsidR="004450E2" w:rsidRPr="00113825">
        <w:rPr>
          <w:szCs w:val="20"/>
        </w:rPr>
        <w:fldChar w:fldCharType="separate"/>
      </w:r>
      <w:r w:rsidR="0089363E" w:rsidRPr="00113825">
        <w:rPr>
          <w:noProof/>
          <w:szCs w:val="20"/>
        </w:rPr>
        <w:t>[71]</w:t>
      </w:r>
      <w:r w:rsidR="004450E2" w:rsidRPr="00113825">
        <w:rPr>
          <w:szCs w:val="20"/>
        </w:rPr>
        <w:fldChar w:fldCharType="end"/>
      </w:r>
      <w:r w:rsidRPr="00113825">
        <w:rPr>
          <w:szCs w:val="20"/>
        </w:rPr>
        <w:t xml:space="preserve"> was used </w:t>
      </w:r>
      <w:r w:rsidR="00FD2AD9" w:rsidRPr="00113825">
        <w:rPr>
          <w:szCs w:val="20"/>
        </w:rPr>
        <w:t>for FA</w:t>
      </w:r>
      <w:r w:rsidRPr="00113825">
        <w:rPr>
          <w:szCs w:val="20"/>
        </w:rPr>
        <w:t xml:space="preserve">. The BD Forest® V2 data is the most comprehensive forest data </w:t>
      </w:r>
      <w:r w:rsidR="00FD2AD9" w:rsidRPr="00113825">
        <w:rPr>
          <w:szCs w:val="20"/>
        </w:rPr>
        <w:t xml:space="preserve">in </w:t>
      </w:r>
      <w:r w:rsidR="00843090" w:rsidRPr="00113825">
        <w:rPr>
          <w:szCs w:val="20"/>
        </w:rPr>
        <w:t>France, which</w:t>
      </w:r>
      <w:r w:rsidRPr="00113825">
        <w:rPr>
          <w:szCs w:val="20"/>
        </w:rPr>
        <w:t xml:space="preserve"> can be downloaded in vector (GIS) format and contains 32 forest classes based on a hierarchical structure. </w:t>
      </w:r>
      <w:r w:rsidR="00205E3F" w:rsidRPr="00113825">
        <w:rPr>
          <w:szCs w:val="20"/>
        </w:rPr>
        <w:t>These were aggregated to three</w:t>
      </w:r>
      <w:r w:rsidRPr="00113825">
        <w:rPr>
          <w:szCs w:val="20"/>
        </w:rPr>
        <w:t xml:space="preserve"> forest classes (Conifers, Broadleaf, </w:t>
      </w:r>
      <w:r w:rsidR="00205E3F" w:rsidRPr="00113825">
        <w:rPr>
          <w:szCs w:val="20"/>
        </w:rPr>
        <w:t xml:space="preserve">and Mixed) as illustrated in </w:t>
      </w:r>
      <w:r w:rsidR="007B1E76" w:rsidRPr="00113825">
        <w:rPr>
          <w:i/>
          <w:szCs w:val="20"/>
        </w:rPr>
        <w:fldChar w:fldCharType="begin"/>
      </w:r>
      <w:r w:rsidR="007B1E76" w:rsidRPr="00113825">
        <w:rPr>
          <w:i/>
          <w:szCs w:val="20"/>
        </w:rPr>
        <w:instrText xml:space="preserve"> REF _Ref22026256 \h  \* MERGEFORMAT </w:instrText>
      </w:r>
      <w:r w:rsidR="007B1E76" w:rsidRPr="00113825">
        <w:rPr>
          <w:i/>
          <w:szCs w:val="20"/>
        </w:rPr>
      </w:r>
      <w:r w:rsidR="007B1E76" w:rsidRPr="00113825">
        <w:rPr>
          <w:i/>
          <w:szCs w:val="20"/>
        </w:rPr>
        <w:fldChar w:fldCharType="separate"/>
      </w:r>
      <w:r w:rsidR="00113825" w:rsidRPr="00113825">
        <w:rPr>
          <w:i/>
          <w:iCs/>
        </w:rPr>
        <w:t xml:space="preserve">Figure </w:t>
      </w:r>
      <w:r w:rsidR="00113825" w:rsidRPr="00113825">
        <w:rPr>
          <w:i/>
          <w:noProof/>
        </w:rPr>
        <w:t>3</w:t>
      </w:r>
      <w:r w:rsidR="007B1E76" w:rsidRPr="00113825">
        <w:rPr>
          <w:i/>
          <w:szCs w:val="20"/>
        </w:rPr>
        <w:fldChar w:fldCharType="end"/>
      </w:r>
      <w:r w:rsidRPr="00113825">
        <w:rPr>
          <w:szCs w:val="20"/>
        </w:rPr>
        <w:t xml:space="preserve">. An example of aggregation for the </w:t>
      </w:r>
      <w:proofErr w:type="spellStart"/>
      <w:r w:rsidRPr="00113825">
        <w:rPr>
          <w:szCs w:val="20"/>
        </w:rPr>
        <w:t>Occitanie</w:t>
      </w:r>
      <w:proofErr w:type="spellEnd"/>
      <w:r w:rsidRPr="00113825">
        <w:rPr>
          <w:szCs w:val="20"/>
        </w:rPr>
        <w:t xml:space="preserve"> region of France is shown in </w:t>
      </w:r>
      <w:r w:rsidRPr="00113825">
        <w:rPr>
          <w:i/>
          <w:szCs w:val="20"/>
        </w:rPr>
        <w:t xml:space="preserve">Supplementary </w:t>
      </w:r>
      <w:r w:rsidR="00324423" w:rsidRPr="00113825">
        <w:rPr>
          <w:i/>
          <w:szCs w:val="20"/>
        </w:rPr>
        <w:t xml:space="preserve">Figure </w:t>
      </w:r>
      <w:r w:rsidRPr="00113825">
        <w:rPr>
          <w:i/>
          <w:szCs w:val="20"/>
        </w:rPr>
        <w:t>1</w:t>
      </w:r>
      <w:r w:rsidRPr="00113825">
        <w:rPr>
          <w:szCs w:val="20"/>
        </w:rPr>
        <w:t xml:space="preserve">. </w:t>
      </w:r>
    </w:p>
    <w:p w14:paraId="5E0E418A" w14:textId="708ED8C0" w:rsidR="00A00444" w:rsidRPr="00113825" w:rsidRDefault="007C32F2" w:rsidP="00885D42">
      <w:pPr>
        <w:spacing w:after="0" w:line="240" w:lineRule="auto"/>
        <w:jc w:val="both"/>
        <w:rPr>
          <w:szCs w:val="20"/>
        </w:rPr>
      </w:pPr>
      <w:r w:rsidRPr="00113825">
        <w:rPr>
          <w:noProof/>
        </w:rPr>
        <w:drawing>
          <wp:inline distT="0" distB="0" distL="0" distR="0" wp14:anchorId="04E73A93" wp14:editId="41D6EF45">
            <wp:extent cx="5694437" cy="51301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ce Forest Map Aggregated.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704082" cy="5138829"/>
                    </a:xfrm>
                    <a:prstGeom prst="rect">
                      <a:avLst/>
                    </a:prstGeom>
                  </pic:spPr>
                </pic:pic>
              </a:graphicData>
            </a:graphic>
          </wp:inline>
        </w:drawing>
      </w:r>
    </w:p>
    <w:p w14:paraId="2F3C157A" w14:textId="1B1893C8" w:rsidR="00CF49E3" w:rsidRPr="00113825" w:rsidRDefault="00A00444" w:rsidP="00C53CF3">
      <w:pPr>
        <w:pStyle w:val="Caption"/>
        <w:jc w:val="center"/>
        <w:rPr>
          <w:color w:val="auto"/>
        </w:rPr>
      </w:pPr>
      <w:bookmarkStart w:id="8" w:name="_Ref22026256"/>
      <w:bookmarkStart w:id="9" w:name="_Ref22025465"/>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3</w:t>
      </w:r>
      <w:r w:rsidRPr="00113825">
        <w:rPr>
          <w:color w:val="auto"/>
          <w:sz w:val="20"/>
        </w:rPr>
        <w:fldChar w:fldCharType="end"/>
      </w:r>
      <w:bookmarkEnd w:id="8"/>
      <w:r w:rsidRPr="00113825">
        <w:rPr>
          <w:color w:val="auto"/>
          <w:sz w:val="20"/>
        </w:rPr>
        <w:t>: Forest map of Metropolitan France</w:t>
      </w:r>
      <w:bookmarkEnd w:id="9"/>
    </w:p>
    <w:p w14:paraId="0C019351" w14:textId="36743147" w:rsidR="00437068" w:rsidRPr="00113825" w:rsidRDefault="00437068">
      <w:pPr>
        <w:jc w:val="both"/>
      </w:pPr>
      <w:r w:rsidRPr="00113825">
        <w:lastRenderedPageBreak/>
        <w:t xml:space="preserve">The statistical data on GAI and NL </w:t>
      </w:r>
      <w:r w:rsidR="001550CE" w:rsidRPr="00113825">
        <w:t xml:space="preserve">(step 1) </w:t>
      </w:r>
      <w:r w:rsidR="00E22D89" w:rsidRPr="00113825">
        <w:t xml:space="preserve">were </w:t>
      </w:r>
      <w:r w:rsidR="00CB3478" w:rsidRPr="00113825">
        <w:t>retrieved from</w:t>
      </w:r>
      <w:r w:rsidR="00632314" w:rsidRPr="00113825">
        <w:t xml:space="preserve"> </w:t>
      </w:r>
      <w:r w:rsidR="00632314" w:rsidRPr="00113825">
        <w:fldChar w:fldCharType="begin" w:fldLock="1"/>
      </w:r>
      <w:r w:rsidR="0089363E" w:rsidRPr="00113825">
        <w:instrText>ADDIN CSL_CITATION {"citationItems":[{"id":"ITEM-1","itemData":{"author":[{"dropping-particle":"","family":"Colin","given":"A.","non-dropping-particle":"","parse-names":false,"suffix":""},{"dropping-particle":"","family":"Simon","given":"M.","non-dropping-particle":"","parse-names":false,"suffix":""},{"dropping-particle":"","family":"Roos","given":"E.","non-dropping-particle":"","parse-names":false,"suffix":""},{"dropping-particle":"","family":"Schwarz","given":"Y.","non-dropping-particle":"","parse-names":false,"suffix":""}],"id":"ITEM-1","issued":{"date-parts":[["2019"]]},"title":"Contribution de l'IGN à l'établissement des bilans carbone des forêts des territoires (PCAET)","type":"article-journal"},"uris":["http://www.mendeley.com/documents/?uuid=e68d1c4c-5312-4190-9fa0-45bdca69658b"]},{"id":"ITEM-2","itemData":{"URL":"https://www.territoires-climat.ademe.fr/actualite/loutil-aldo-pour-une-premiere-estimation-de-la-sequestration-carbone-dans-les-sols-et-la-biomasse","accessed":{"date-parts":[["2019","12","13"]]},"id":"ITEM-2","issued":{"date-parts":[["0"]]},"title":"Ademe PTC","type":"webpage"},"uris":["http://www.mendeley.com/documents/?uuid=3f1c4687-b55e-3d33-a6cf-264c39c41604"]}],"mendeley":{"formattedCitation":"[77], [78]","plainTextFormattedCitation":"[77], [78]","previouslyFormattedCitation":"(&lt;i&gt;Ademe PTC&lt;/i&gt;, no date b; Colin &lt;i&gt;et al.&lt;/i&gt;, 2019a)"},"properties":{"noteIndex":0},"schema":"https://github.com/citation-style-language/schema/raw/master/csl-citation.json"}</w:instrText>
      </w:r>
      <w:r w:rsidR="00632314" w:rsidRPr="00113825">
        <w:fldChar w:fldCharType="separate"/>
      </w:r>
      <w:r w:rsidR="0089363E" w:rsidRPr="00113825">
        <w:rPr>
          <w:noProof/>
        </w:rPr>
        <w:t>[77], [78]</w:t>
      </w:r>
      <w:r w:rsidR="00632314" w:rsidRPr="00113825">
        <w:fldChar w:fldCharType="end"/>
      </w:r>
      <w:r w:rsidR="00E22D89" w:rsidRPr="00113825">
        <w:t xml:space="preserve">, </w:t>
      </w:r>
      <w:r w:rsidR="00CB3478" w:rsidRPr="00113825">
        <w:t xml:space="preserve">a dataset built for a national tool called ALDO, </w:t>
      </w:r>
      <w:r w:rsidR="00E22D89" w:rsidRPr="00113825">
        <w:t xml:space="preserve">which provides an estimate of carbon sequestration in soils and biomass. The ALDO tool contains data on </w:t>
      </w:r>
      <w:r w:rsidR="002A448E" w:rsidRPr="00113825">
        <w:t xml:space="preserve">production and mortality among others for conifers, broadleaf and mixed forest types at the </w:t>
      </w:r>
      <w:r w:rsidR="007159A2" w:rsidRPr="00113825">
        <w:t xml:space="preserve">French </w:t>
      </w:r>
      <w:r w:rsidR="002A448E" w:rsidRPr="00113825">
        <w:t xml:space="preserve">EPCI administrative level. </w:t>
      </w:r>
      <w:r w:rsidR="006156D4" w:rsidRPr="00113825">
        <w:t xml:space="preserve">The statistical data from the ALDO tool for every EPCI were </w:t>
      </w:r>
      <w:r w:rsidR="001550CE" w:rsidRPr="00113825">
        <w:t>added to the administrative EPCI</w:t>
      </w:r>
      <w:r w:rsidR="006156D4" w:rsidRPr="00113825">
        <w:t xml:space="preserve"> shapefile and converted to </w:t>
      </w:r>
      <w:r w:rsidR="00297591" w:rsidRPr="00113825">
        <w:t xml:space="preserve">the </w:t>
      </w:r>
      <w:r w:rsidR="006156D4" w:rsidRPr="00113825">
        <w:t xml:space="preserve">raster </w:t>
      </w:r>
      <w:r w:rsidR="001550CE" w:rsidRPr="00113825">
        <w:t>format</w:t>
      </w:r>
      <w:r w:rsidR="006156D4" w:rsidRPr="00113825">
        <w:t xml:space="preserve"> for further processing</w:t>
      </w:r>
      <w:r w:rsidR="00F96BAE" w:rsidRPr="00113825">
        <w:t xml:space="preserve"> (step 2)</w:t>
      </w:r>
      <w:r w:rsidR="006156D4" w:rsidRPr="00113825">
        <w:t xml:space="preserve">. </w:t>
      </w:r>
      <w:r w:rsidR="001550CE" w:rsidRPr="00113825">
        <w:t xml:space="preserve">This step was facilitated with </w:t>
      </w:r>
      <w:r w:rsidR="00DC1A27" w:rsidRPr="00113825">
        <w:t>the polygon to raster tool in ArcGIS Pro. In this step, the cell or pixel size of the forest raster is determined.</w:t>
      </w:r>
    </w:p>
    <w:p w14:paraId="0B1D594A" w14:textId="17975588" w:rsidR="00214C70" w:rsidRPr="00113825" w:rsidRDefault="00214C70">
      <w:pPr>
        <w:jc w:val="both"/>
      </w:pPr>
      <w:r w:rsidRPr="00113825">
        <w:t xml:space="preserve">Although the ALDO dataset provided the required GAI and NL data, it did not provide the uncertainty ranges or the standard deviation of these variables. The standard deviation for the calculated NAI was estimated using the standard deviation classification method in ArcGIS </w:t>
      </w:r>
      <w:r w:rsidR="00430364" w:rsidRPr="00113825">
        <w:t>Pro</w:t>
      </w:r>
      <w:r w:rsidR="00023F97" w:rsidRPr="00113825">
        <w:t xml:space="preserve"> </w:t>
      </w:r>
      <w:r w:rsidR="00023F97" w:rsidRPr="00113825">
        <w:fldChar w:fldCharType="begin" w:fldLock="1"/>
      </w:r>
      <w:r w:rsidR="0089363E" w:rsidRPr="00113825">
        <w:instrText>ADDIN CSL_CITATION {"citationItems":[{"id":"ITEM-1","itemData":{"URL":"https://pro.arcgis.com/en/pro-app/help/mapping/layer-properties/data-classification-methods.htm","accessed":{"date-parts":[["2019","12","10"]]},"id":"ITEM-1","issued":{"date-parts":[["0"]]},"title":"Data classification methods—ArcGIS Pro | Documentation","type":"webpage"},"uris":["http://www.mendeley.com/documents/?uuid=25f495a0-27bb-39d8-81ae-ae2dc1392e87"]}],"mendeley":{"formattedCitation":"[79]","plainTextFormattedCitation":"[79]","previouslyFormattedCitation":"(&lt;i&gt;Data classification methods—ArcGIS Pro | Documentation&lt;/i&gt;, no date)"},"properties":{"noteIndex":0},"schema":"https://github.com/citation-style-language/schema/raw/master/csl-citation.json"}</w:instrText>
      </w:r>
      <w:r w:rsidR="00023F97" w:rsidRPr="00113825">
        <w:fldChar w:fldCharType="separate"/>
      </w:r>
      <w:r w:rsidR="0089363E" w:rsidRPr="00113825">
        <w:rPr>
          <w:noProof/>
        </w:rPr>
        <w:t>[79]</w:t>
      </w:r>
      <w:r w:rsidR="00023F97" w:rsidRPr="00113825">
        <w:fldChar w:fldCharType="end"/>
      </w:r>
      <w:r w:rsidRPr="00113825">
        <w:t>. The standard deviation method estimates how much the value of the NAI varies from the mean. T</w:t>
      </w:r>
      <w:r w:rsidRPr="00113825">
        <w:rPr>
          <w:rFonts w:eastAsiaTheme="minorEastAsia"/>
        </w:rPr>
        <w:t>he calculated standard deviation value is numerically similar to the standard uncertainty value</w:t>
      </w:r>
      <w:r w:rsidR="00632314" w:rsidRPr="00113825">
        <w:rPr>
          <w:rFonts w:eastAsiaTheme="minorEastAsia"/>
        </w:rPr>
        <w:t xml:space="preserve"> </w:t>
      </w:r>
      <w:r w:rsidR="00632314" w:rsidRPr="00113825">
        <w:rPr>
          <w:rFonts w:eastAsiaTheme="minorEastAsia"/>
        </w:rPr>
        <w:fldChar w:fldCharType="begin" w:fldLock="1"/>
      </w:r>
      <w:r w:rsidR="0089363E" w:rsidRPr="00113825">
        <w:rPr>
          <w:rFonts w:eastAsiaTheme="minorEastAsia"/>
        </w:rPr>
        <w:instrText>ADDIN CSL_CITATION {"citationItems":[{"id":"ITEM-1","itemData":{"ISBN":"3885793881","ISSN":"1838-0212","PMID":"22896744","abstract":"The Evaluation of Measurement Data - Guide to the Expression of Uncertainty in Measurement (usually referred to as the GUM) provides general rules for evaluating and expressing uncertainty in measurement. When a measurand, y, is calculated from other measurements through a functional relationship, uncertainties in the input variables will propagate through the calculation to an uncertainty in the output y. The manner in which such uncertainties are propagated through a functional relationship provides much of the mathematical challenge to fully understanding the GUM.The aim of this review is to provide a general overview of the GUM and to show how the calculation of uncertainty in the measurand may be achieved through a functional relationship. That is, starting with the general equation for combining uncertainty components as outlined in the GUM, we show how this general equation can be applied to various functional relationships in order to derive a combined standard uncertainty for the output value of the particular function (the measurand). The GUM equation may be applied to any mathematical form or functional relationship (the starting point for laboratory calculations) and describes the propagation of uncertainty from the input variable(s) to the output value of the function (the end point or outcome of the laboratory calculation). A rule-based approach is suggested with a number of the more common rules tabulated for the routine calculation of measurement uncertainty.","author":[{"dropping-particle":"","family":"Farrance","given":"Ian","non-dropping-particle":"","parse-names":false,"suffix":""},{"dropping-particle":"","family":"Frenkel","given":"Robert","non-dropping-particle":"","parse-names":false,"suffix":""}],"container-title":"The Clinical biochemist. Reviews","id":"ITEM-1","issue":"2","issued":{"date-parts":[["2012","5"]]},"page":"49-75","title":"Uncertainty of Measurement: A Review of the Rules for Calculating Uncertainty Components through Functional Relationships.","type":"article-journal","volume":"33"},"uris":["http://www.mendeley.com/documents/?uuid=2d2089bf-b893-41ec-96db-885228896970"]}],"mendeley":{"formattedCitation":"[63]","plainTextFormattedCitation":"[63]","previouslyFormattedCitation":"(Farrance and Frenkel, 2012)"},"properties":{"noteIndex":0},"schema":"https://github.com/citation-style-language/schema/raw/master/csl-citation.json"}</w:instrText>
      </w:r>
      <w:r w:rsidR="00632314" w:rsidRPr="00113825">
        <w:rPr>
          <w:rFonts w:eastAsiaTheme="minorEastAsia"/>
        </w:rPr>
        <w:fldChar w:fldCharType="separate"/>
      </w:r>
      <w:r w:rsidR="0089363E" w:rsidRPr="00113825">
        <w:rPr>
          <w:rFonts w:eastAsiaTheme="minorEastAsia"/>
          <w:noProof/>
        </w:rPr>
        <w:t>[63]</w:t>
      </w:r>
      <w:r w:rsidR="00632314" w:rsidRPr="00113825">
        <w:rPr>
          <w:rFonts w:eastAsiaTheme="minorEastAsia"/>
        </w:rPr>
        <w:fldChar w:fldCharType="end"/>
      </w:r>
      <w:r w:rsidRPr="00113825">
        <w:rPr>
          <w:rFonts w:eastAsiaTheme="minorEastAsia"/>
        </w:rPr>
        <w:t xml:space="preserve">. </w:t>
      </w:r>
      <w:r w:rsidR="00761FCE" w:rsidRPr="00113825">
        <w:rPr>
          <w:rFonts w:eastAsiaTheme="minorEastAsia"/>
        </w:rPr>
        <w:t xml:space="preserve">For BEF, the uncertainty range provided in the IPCC </w:t>
      </w:r>
      <w:r w:rsidR="00632314" w:rsidRPr="00113825">
        <w:rPr>
          <w:rFonts w:eastAsiaTheme="minorEastAsia"/>
        </w:rPr>
        <w:fldChar w:fldCharType="begin" w:fldLock="1"/>
      </w:r>
      <w:r w:rsidR="0089363E" w:rsidRPr="00113825">
        <w:rPr>
          <w:rFonts w:eastAsiaTheme="minorEastAsia"/>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00632314" w:rsidRPr="00113825">
        <w:rPr>
          <w:rFonts w:eastAsiaTheme="minorEastAsia"/>
        </w:rPr>
        <w:fldChar w:fldCharType="separate"/>
      </w:r>
      <w:r w:rsidR="0089363E" w:rsidRPr="00113825">
        <w:rPr>
          <w:rFonts w:eastAsiaTheme="minorEastAsia"/>
          <w:noProof/>
        </w:rPr>
        <w:t>[53]</w:t>
      </w:r>
      <w:r w:rsidR="00632314" w:rsidRPr="00113825">
        <w:rPr>
          <w:rFonts w:eastAsiaTheme="minorEastAsia"/>
        </w:rPr>
        <w:fldChar w:fldCharType="end"/>
      </w:r>
      <w:r w:rsidR="00761FCE" w:rsidRPr="00113825">
        <w:rPr>
          <w:rFonts w:eastAsiaTheme="minorEastAsia"/>
        </w:rPr>
        <w:t xml:space="preserve"> was used. </w:t>
      </w:r>
      <w:r w:rsidRPr="00113825">
        <w:rPr>
          <w:rFonts w:eastAsiaTheme="minorEastAsia"/>
        </w:rPr>
        <w:t xml:space="preserve">From this, </w:t>
      </w:r>
      <w:r w:rsidR="00761FCE" w:rsidRPr="00113825">
        <w:rPr>
          <w:rFonts w:eastAsiaTheme="minorEastAsia"/>
        </w:rPr>
        <w:t xml:space="preserve">a low and high spatial estimate of </w:t>
      </w:r>
      <w:r w:rsidRPr="00113825">
        <w:rPr>
          <w:rFonts w:eastAsiaTheme="minorEastAsia"/>
        </w:rPr>
        <w:t>PFRs w</w:t>
      </w:r>
      <w:r w:rsidR="00761FCE" w:rsidRPr="00113825">
        <w:rPr>
          <w:rFonts w:eastAsiaTheme="minorEastAsia"/>
        </w:rPr>
        <w:t>as calculated using Eq. 5-6.</w:t>
      </w:r>
      <w:r w:rsidR="00761FCE" w:rsidRPr="00113825">
        <w:t xml:space="preserve"> </w:t>
      </w:r>
    </w:p>
    <w:p w14:paraId="6A0D6A05" w14:textId="764B2E13" w:rsidR="00EE51B3" w:rsidRPr="00113825" w:rsidRDefault="00EE51B3" w:rsidP="00C53CF3">
      <w:pPr>
        <w:pStyle w:val="Heading2"/>
      </w:pPr>
      <w:r w:rsidRPr="00113825">
        <w:t xml:space="preserve">4.2 Deciding the </w:t>
      </w:r>
      <w:r w:rsidR="002567DC" w:rsidRPr="00113825">
        <w:t>spatial resolution</w:t>
      </w:r>
    </w:p>
    <w:p w14:paraId="7A5B97D6" w14:textId="5E9A79B4" w:rsidR="004F73BC" w:rsidRPr="00113825" w:rsidRDefault="00310D71">
      <w:pPr>
        <w:keepNext/>
        <w:jc w:val="both"/>
      </w:pPr>
      <w:r w:rsidRPr="00113825">
        <w:t xml:space="preserve">The main objective of this study </w:t>
      </w:r>
      <w:r w:rsidR="00621A0D" w:rsidRPr="00113825">
        <w:t>was</w:t>
      </w:r>
      <w:r w:rsidRPr="00113825">
        <w:t xml:space="preserve"> to develop an easily replicable method for high-resolution spatial quantification of above-ground PFRs at the pixel level. </w:t>
      </w:r>
      <w:r w:rsidR="00172357" w:rsidRPr="00113825">
        <w:t>Here</w:t>
      </w:r>
      <w:r w:rsidR="007C3A4A" w:rsidRPr="00113825">
        <w:t>,</w:t>
      </w:r>
      <w:r w:rsidR="00172357" w:rsidRPr="00113825">
        <w:t xml:space="preserve"> high-resolution corresponds to high-spatial</w:t>
      </w:r>
      <w:r w:rsidR="00A97F27" w:rsidRPr="00113825">
        <w:t>-</w:t>
      </w:r>
      <w:r w:rsidR="00172357" w:rsidRPr="00113825">
        <w:t xml:space="preserve">resolution, the definition of which is provided in </w:t>
      </w:r>
      <w:r w:rsidR="00652149" w:rsidRPr="00113825">
        <w:t>Table 2</w:t>
      </w:r>
      <w:r w:rsidR="00172357" w:rsidRPr="00113825">
        <w:t xml:space="preserve">. </w:t>
      </w:r>
      <w:r w:rsidR="00171F64" w:rsidRPr="00113825">
        <w:t>O</w:t>
      </w:r>
      <w:r w:rsidR="00172357" w:rsidRPr="00113825">
        <w:t xml:space="preserve">ver the </w:t>
      </w:r>
      <w:r w:rsidR="006167B1" w:rsidRPr="00113825">
        <w:t>year</w:t>
      </w:r>
      <w:r w:rsidR="00172357" w:rsidRPr="00113825">
        <w:t xml:space="preserve">s due to the improvements in satellite products and processing techniques this definition has kept on evolving. </w:t>
      </w:r>
      <w:r w:rsidR="00171F64" w:rsidRPr="00113825">
        <w:t xml:space="preserve">For example, what was considered as high resolution in the </w:t>
      </w:r>
      <w:r w:rsidR="009F0731" w:rsidRPr="00113825">
        <w:t>1980s (</w:t>
      </w:r>
      <w:r w:rsidR="00171F64" w:rsidRPr="00113825">
        <w:t>LANDSAT 60</w:t>
      </w:r>
      <w:r w:rsidR="00621A0D" w:rsidRPr="00113825">
        <w:t>-</w:t>
      </w:r>
      <w:r w:rsidR="00171F64" w:rsidRPr="00113825">
        <w:t>m</w:t>
      </w:r>
      <w:r w:rsidR="00621A0D" w:rsidRPr="00113825">
        <w:t>eter</w:t>
      </w:r>
      <w:r w:rsidR="00171F64" w:rsidRPr="00113825">
        <w:t xml:space="preserve"> / pixel), has become low in today’s standards. </w:t>
      </w:r>
      <w:r w:rsidR="00621A0D" w:rsidRPr="00113825">
        <w:t>Typically</w:t>
      </w:r>
      <w:r w:rsidR="009F0731" w:rsidRPr="00113825">
        <w:t>,</w:t>
      </w:r>
      <w:r w:rsidR="00171F64" w:rsidRPr="00113825">
        <w:t xml:space="preserve"> the resolution of any spatial study is based on the type of data</w:t>
      </w:r>
      <w:r w:rsidR="0046500D" w:rsidRPr="00113825">
        <w:t xml:space="preserve"> available</w:t>
      </w:r>
      <w:r w:rsidR="009F0731" w:rsidRPr="00113825">
        <w:t xml:space="preserve"> and the purpose of work</w:t>
      </w:r>
      <w:r w:rsidR="00171F64" w:rsidRPr="00113825">
        <w:t>.</w:t>
      </w:r>
      <w:r w:rsidR="009A226D" w:rsidRPr="00113825">
        <w:t xml:space="preserve"> For example</w:t>
      </w:r>
      <w:r w:rsidR="0046500D" w:rsidRPr="00113825">
        <w:t>, in the</w:t>
      </w:r>
      <w:r w:rsidR="009A226D" w:rsidRPr="00113825">
        <w:t xml:space="preserve"> study by Hansen </w:t>
      </w:r>
      <w:r w:rsidR="00550664" w:rsidRPr="00113825">
        <w:t xml:space="preserve">et al. </w:t>
      </w:r>
      <w:r w:rsidR="009A226D" w:rsidRPr="00113825">
        <w:fldChar w:fldCharType="begin" w:fldLock="1"/>
      </w:r>
      <w:r w:rsidR="0089363E" w:rsidRPr="00113825">
        <w:instrText>ADDIN CSL_CITATION {"citationItems":[{"id":"ITEM-1","itemData":{"DOI":"10.1126/science.1244693","abstract":"Forests worldwide are in a state of flux, with accelerating losses in some regions and gains in others. Hansen et al. (p. 850) examined global Landsat data at a 30-meter spatial resolution to characterize forest extent, loss, and gain from 2000 to 2012. Globally, 2.3 million square kilometers of forest were lost during the 12-year study period and 0.8 million square kilometers of new forest were gained. The tropics exhibited both the greatest losses and the greatest gains (through regrowth and plantation), with losses outstripping gains. 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 G","non-dropping-particle":"","parse-names":false,"suffix":""}],"container-title":"Science","id":"ITEM-1","issue":"6160","issued":{"date-parts":[["2013","11","15"]]},"page":"850 LP  - 853","title":"High-Resolution Global Maps of 21st-Century Forest Cover Change","type":"article-journal","volume":"342"},"uris":["http://www.mendeley.com/documents/?uuid=74035367-730e-4a84-ba9a-a5a1404682ad"]}],"mendeley":{"formattedCitation":"[80]","plainTextFormattedCitation":"[80]","previouslyFormattedCitation":"(Hansen &lt;i&gt;et al.&lt;/i&gt;, 2013)"},"properties":{"noteIndex":0},"schema":"https://github.com/citation-style-language/schema/raw/master/csl-citation.json"}</w:instrText>
      </w:r>
      <w:r w:rsidR="009A226D" w:rsidRPr="00113825">
        <w:fldChar w:fldCharType="separate"/>
      </w:r>
      <w:r w:rsidR="0089363E" w:rsidRPr="00113825">
        <w:rPr>
          <w:noProof/>
        </w:rPr>
        <w:t>[80]</w:t>
      </w:r>
      <w:r w:rsidR="009A226D" w:rsidRPr="00113825">
        <w:fldChar w:fldCharType="end"/>
      </w:r>
      <w:r w:rsidR="009A226D" w:rsidRPr="00113825">
        <w:t xml:space="preserve">, </w:t>
      </w:r>
      <w:r w:rsidR="00550664" w:rsidRPr="00113825">
        <w:t xml:space="preserve">high-resolution global maps were produced using </w:t>
      </w:r>
      <w:r w:rsidR="009A226D" w:rsidRPr="00113825">
        <w:t>Landsat data at a 30</w:t>
      </w:r>
      <w:r w:rsidR="00A97F27" w:rsidRPr="00113825">
        <w:t>-</w:t>
      </w:r>
      <w:r w:rsidR="009A226D" w:rsidRPr="00113825">
        <w:t xml:space="preserve">meter spatial resolution to characterize the forest extent, loss and gain from 2000 to 2012. </w:t>
      </w:r>
      <w:r w:rsidR="00550664" w:rsidRPr="00113825">
        <w:t xml:space="preserve">Another study by </w:t>
      </w:r>
      <w:proofErr w:type="spellStart"/>
      <w:r w:rsidR="00550664" w:rsidRPr="00113825">
        <w:t>Inglada</w:t>
      </w:r>
      <w:proofErr w:type="spellEnd"/>
      <w:r w:rsidR="00550664" w:rsidRPr="00113825">
        <w:t xml:space="preserve"> et al. </w:t>
      </w:r>
      <w:r w:rsidR="00550664" w:rsidRPr="00113825">
        <w:fldChar w:fldCharType="begin" w:fldLock="1"/>
      </w:r>
      <w:r w:rsidR="0089363E" w:rsidRPr="00113825">
        <w:instrText>ADDIN CSL_CITATION {"citationItems":[{"id":"ITEM-1","itemData":{"DOI":"10.3390/rs9010095","abstract":"A detailed and accurate knowledge of land cover is crucial for many scientific and operational applications, and as such, it has been identified as an Essential Climate Variable. This accurate knowledge needs frequent updates. This paper presents a methodology for the fully automatic production of land cover maps at country scale using high resolution optical image time series which is based on supervised classification and uses existing databases as reference data for training and validation. The originality of the approach resides in the use of all available image data, a simple pre-processing step leading to a homogeneous set of acquisition dates over the whole area and the use of a supervised classifier which is robust to errors in the reference data. The produced maps have a kappa coefficient of 0.86 with 17 land cover classes. The processing is efficient, allowing a fast delivery of the maps after the acquisition of the image data, does not need expensive field surveys for model calibration and validation, nor human operators for decision making, and uses open and freely available imagery. The land cover maps are provided with a confidence map which gives information at the pixel level about the expected quality of the result.","author":[{"dropping-particle":"","family":"Inglada","given":"Jordi","non-dropping-particle":"","parse-names":false,"suffix":""},{"dropping-particle":"","family":"Vincent","given":"Arthur","non-dropping-particle":"","parse-names":false,"suffix":""},{"dropping-particle":"","family":"Arias","given":"Marcela","non-dropping-particle":"","parse-names":false,"suffix":""},{"dropping-particle":"","family":"Tardy","given":"Benjamin","non-dropping-particle":"","parse-names":false,"suffix":""},{"dropping-particle":"","family":"Morin","given":"David","non-dropping-particle":"","parse-names":false,"suffix":""},{"dropping-particle":"","family":"Rodes","given":"Isabel","non-dropping-particle":"","parse-names":false,"suffix":""}],"container-title":"Remote Sensing","id":"ITEM-1","issue":"1","issued":{"date-parts":[["2017"]]},"page":"95","title":"Operational High Resolution Land Cover Map Production at the Country Scale Using Satellite Image Time Series","type":"article-journal","volume":"9"},"uris":["http://www.mendeley.com/documents/?uuid=59a34237-633e-4211-a81a-d1a8f86481e0"]}],"mendeley":{"formattedCitation":"[81]","plainTextFormattedCitation":"[81]","previouslyFormattedCitation":"(Inglada &lt;i&gt;et al.&lt;/i&gt;, 2017)"},"properties":{"noteIndex":0},"schema":"https://github.com/citation-style-language/schema/raw/master/csl-citation.json"}</w:instrText>
      </w:r>
      <w:r w:rsidR="00550664" w:rsidRPr="00113825">
        <w:fldChar w:fldCharType="separate"/>
      </w:r>
      <w:r w:rsidR="0089363E" w:rsidRPr="00113825">
        <w:rPr>
          <w:noProof/>
        </w:rPr>
        <w:t>[81]</w:t>
      </w:r>
      <w:r w:rsidR="00550664" w:rsidRPr="00113825">
        <w:fldChar w:fldCharType="end"/>
      </w:r>
      <w:r w:rsidR="00550664" w:rsidRPr="00113825">
        <w:t xml:space="preserve"> reported using Landsat 8 data (30</w:t>
      </w:r>
      <w:r w:rsidR="009807B6" w:rsidRPr="00113825">
        <w:t>-</w:t>
      </w:r>
      <w:r w:rsidR="00550664" w:rsidRPr="00113825">
        <w:t>m</w:t>
      </w:r>
      <w:r w:rsidR="009807B6" w:rsidRPr="00113825">
        <w:t>eter</w:t>
      </w:r>
      <w:r w:rsidR="00550664" w:rsidRPr="00113825">
        <w:t xml:space="preserve"> / pixel) for producing high-resolution land cover maps at the country scale (France). It may be argued that as per curre</w:t>
      </w:r>
      <w:r w:rsidR="009807B6" w:rsidRPr="00113825">
        <w:t>nt standards a resolution of 30-</w:t>
      </w:r>
      <w:r w:rsidR="00550664" w:rsidRPr="00113825">
        <w:t>m</w:t>
      </w:r>
      <w:r w:rsidR="009807B6" w:rsidRPr="00113825">
        <w:t>eter</w:t>
      </w:r>
      <w:r w:rsidR="00550664" w:rsidRPr="00113825">
        <w:t xml:space="preserve"> will correspond to being </w:t>
      </w:r>
      <w:r w:rsidR="00E24FFB" w:rsidRPr="00113825">
        <w:t xml:space="preserve">a </w:t>
      </w:r>
      <w:r w:rsidR="00550664" w:rsidRPr="00113825">
        <w:t xml:space="preserve">medium resolution, and high spatial resolution will range anywhere from </w:t>
      </w:r>
      <w:r w:rsidR="009807B6" w:rsidRPr="00113825">
        <w:t>10-</w:t>
      </w:r>
      <w:r w:rsidR="00550664" w:rsidRPr="00113825">
        <w:t>m</w:t>
      </w:r>
      <w:r w:rsidR="009807B6" w:rsidRPr="00113825">
        <w:t>eter</w:t>
      </w:r>
      <w:r w:rsidR="00550664" w:rsidRPr="00113825">
        <w:t xml:space="preserve"> to the minimum extent possible </w:t>
      </w:r>
      <w:r w:rsidR="00550664" w:rsidRPr="00113825">
        <w:fldChar w:fldCharType="begin" w:fldLock="1"/>
      </w:r>
      <w:r w:rsidR="0089363E" w:rsidRPr="00113825">
        <w:instrText>ADDIN CSL_CITATION {"citationItems":[{"id":"ITEM-1","itemData":{"URL":"https://eos.com/blog/satellite-data-what-spatial-resolution-is-enough-for-you/","accessed":{"date-parts":[["2019","10","10"]]},"id":"ITEM-1","issued":{"date-parts":[["0"]]},"title":"Satellite Data: What Spatial Resolution Is Enough for You?","type":"webpage"},"uris":["http://www.mendeley.com/documents/?uuid=a58f5593-9d07-3d14-b3da-e25d1795bd8f"]}],"mendeley":{"formattedCitation":"[82]","plainTextFormattedCitation":"[82]","previouslyFormattedCitation":"(&lt;i&gt;Satellite Data: What Spatial Resolution Is Enough for You?&lt;/i&gt;, no date)"},"properties":{"noteIndex":0},"schema":"https://github.com/citation-style-language/schema/raw/master/csl-citation.json"}</w:instrText>
      </w:r>
      <w:r w:rsidR="00550664" w:rsidRPr="00113825">
        <w:fldChar w:fldCharType="separate"/>
      </w:r>
      <w:r w:rsidR="0089363E" w:rsidRPr="00113825">
        <w:rPr>
          <w:noProof/>
        </w:rPr>
        <w:t>[82]</w:t>
      </w:r>
      <w:r w:rsidR="00550664" w:rsidRPr="00113825">
        <w:fldChar w:fldCharType="end"/>
      </w:r>
      <w:r w:rsidR="00550664" w:rsidRPr="00113825">
        <w:t xml:space="preserve">. </w:t>
      </w:r>
      <w:r w:rsidR="004D6FAD" w:rsidRPr="00113825">
        <w:t>On the other hand</w:t>
      </w:r>
      <w:r w:rsidR="00B92848" w:rsidRPr="00113825">
        <w:t xml:space="preserve">, the scale or </w:t>
      </w:r>
      <w:r w:rsidR="00F0376D" w:rsidRPr="00113825">
        <w:t xml:space="preserve">geographic </w:t>
      </w:r>
      <w:r w:rsidR="00B92848" w:rsidRPr="00113825">
        <w:t xml:space="preserve">extent of the study is </w:t>
      </w:r>
      <w:r w:rsidR="004D6FAD" w:rsidRPr="00113825">
        <w:t>a key determining factor</w:t>
      </w:r>
      <w:r w:rsidR="00B92848" w:rsidRPr="00113825">
        <w:t xml:space="preserve"> in defining what can be considered as </w:t>
      </w:r>
      <w:r w:rsidR="006138B6" w:rsidRPr="00113825">
        <w:t xml:space="preserve">a </w:t>
      </w:r>
      <w:r w:rsidR="00B92848" w:rsidRPr="00113825">
        <w:t xml:space="preserve">high resolution or not. </w:t>
      </w:r>
      <w:r w:rsidR="00F0376D" w:rsidRPr="00113825">
        <w:t xml:space="preserve">Furthermore, </w:t>
      </w:r>
      <w:r w:rsidR="00B92848" w:rsidRPr="00113825">
        <w:t>creating land cover maps using high-resolution satellit</w:t>
      </w:r>
      <w:r w:rsidR="009807B6" w:rsidRPr="00113825">
        <w:t>e imagery (&gt; 1</w:t>
      </w:r>
      <w:r w:rsidR="00E24FFB" w:rsidRPr="00113825">
        <w:t>0</w:t>
      </w:r>
      <w:r w:rsidR="009807B6" w:rsidRPr="00113825">
        <w:t>-</w:t>
      </w:r>
      <w:r w:rsidR="00B92848" w:rsidRPr="00113825">
        <w:t>m</w:t>
      </w:r>
      <w:r w:rsidR="009807B6" w:rsidRPr="00113825">
        <w:t>eter</w:t>
      </w:r>
      <w:r w:rsidR="00B92848" w:rsidRPr="00113825">
        <w:t>) has multiple cons</w:t>
      </w:r>
      <w:r w:rsidR="004D6FAD" w:rsidRPr="00113825">
        <w:t>. These include</w:t>
      </w:r>
      <w:r w:rsidR="00B92848" w:rsidRPr="00113825">
        <w:t xml:space="preserve"> </w:t>
      </w:r>
      <w:r w:rsidR="00B92848" w:rsidRPr="00113825">
        <w:rPr>
          <w:i/>
        </w:rPr>
        <w:t>high cost</w:t>
      </w:r>
      <w:r w:rsidR="004D6FAD" w:rsidRPr="00113825">
        <w:rPr>
          <w:i/>
        </w:rPr>
        <w:t>s,</w:t>
      </w:r>
      <w:r w:rsidR="00B92848" w:rsidRPr="00113825">
        <w:t xml:space="preserve"> as commercial satellites carrying the most advanced sensors</w:t>
      </w:r>
      <w:r w:rsidR="008F004E" w:rsidRPr="00113825">
        <w:t>,</w:t>
      </w:r>
      <w:r w:rsidR="00B92848" w:rsidRPr="00113825">
        <w:t xml:space="preserve"> are expensive; </w:t>
      </w:r>
      <w:r w:rsidR="00B92848" w:rsidRPr="00113825">
        <w:rPr>
          <w:i/>
        </w:rPr>
        <w:t>Small coverage area or swath</w:t>
      </w:r>
      <w:r w:rsidR="00B92848" w:rsidRPr="00113825">
        <w:t>, as the higher the resolution, the less total ground area can be covered in a scene</w:t>
      </w:r>
      <w:r w:rsidR="00632314" w:rsidRPr="00113825">
        <w:t>.</w:t>
      </w:r>
      <w:r w:rsidR="004870D5" w:rsidRPr="00113825">
        <w:t xml:space="preserve"> </w:t>
      </w:r>
      <w:r w:rsidR="00E24FFB" w:rsidRPr="00113825">
        <w:t>Contrarily</w:t>
      </w:r>
      <w:r w:rsidR="004870D5" w:rsidRPr="00113825">
        <w:t>, low spatial resolution data contain lower level of detail</w:t>
      </w:r>
      <w:r w:rsidR="004D6FAD" w:rsidRPr="00113825">
        <w:t>s</w:t>
      </w:r>
      <w:r w:rsidR="004870D5" w:rsidRPr="00113825">
        <w:t xml:space="preserve"> which might not be suitable for </w:t>
      </w:r>
      <w:r w:rsidR="00DC1A27" w:rsidRPr="00113825">
        <w:t xml:space="preserve">supporting </w:t>
      </w:r>
      <w:r w:rsidR="004870D5" w:rsidRPr="00113825">
        <w:t>local bioeconom</w:t>
      </w:r>
      <w:r w:rsidR="00DC1A27" w:rsidRPr="00113825">
        <w:t>y</w:t>
      </w:r>
      <w:r w:rsidR="004870D5" w:rsidRPr="00113825">
        <w:t xml:space="preserve"> </w:t>
      </w:r>
      <w:r w:rsidR="00DC1A27" w:rsidRPr="00113825">
        <w:t>decisions.</w:t>
      </w:r>
      <w:r w:rsidR="004870D5" w:rsidRPr="00113825">
        <w:t xml:space="preserve">  </w:t>
      </w:r>
    </w:p>
    <w:p w14:paraId="4575642E" w14:textId="40BEC5C2" w:rsidR="004B6DDC" w:rsidRPr="00113825" w:rsidRDefault="00ED10C4">
      <w:pPr>
        <w:keepNext/>
        <w:jc w:val="both"/>
      </w:pPr>
      <w:r w:rsidRPr="00113825">
        <w:t xml:space="preserve">As there are no standard procedures to decide what spatial resolution would be ideal for spatial quantification of PFRs at the country scale, we propose a metric based on computational complexity (in terms of size of data and processing time) and the deviation of estimated results at different spatial resolutions. To test this case, the theoretical potential of above-ground PFRs of conifer forests in the </w:t>
      </w:r>
      <w:proofErr w:type="spellStart"/>
      <w:r w:rsidRPr="00113825">
        <w:t>Occitanie</w:t>
      </w:r>
      <w:proofErr w:type="spellEnd"/>
      <w:r w:rsidRPr="00113825">
        <w:t xml:space="preserve"> region was evaluated. The conifer forest of the </w:t>
      </w:r>
      <w:proofErr w:type="spellStart"/>
      <w:r w:rsidRPr="00113825">
        <w:t>Occitanie</w:t>
      </w:r>
      <w:proofErr w:type="spellEnd"/>
      <w:r w:rsidRPr="00113825">
        <w:t xml:space="preserve"> region was sampled at </w:t>
      </w:r>
      <w:r w:rsidR="0046500D" w:rsidRPr="00113825">
        <w:t>the</w:t>
      </w:r>
      <w:r w:rsidR="00A97F27" w:rsidRPr="00113825">
        <w:t xml:space="preserve"> spatial resolution of 100-</w:t>
      </w:r>
      <w:r w:rsidRPr="00113825">
        <w:t>m</w:t>
      </w:r>
      <w:r w:rsidR="004B6DDC" w:rsidRPr="00113825">
        <w:t>eter</w:t>
      </w:r>
      <w:r w:rsidR="00A97F27" w:rsidRPr="00113825">
        <w:t>, 30-</w:t>
      </w:r>
      <w:r w:rsidRPr="00113825">
        <w:t>m</w:t>
      </w:r>
      <w:r w:rsidR="004B6DDC" w:rsidRPr="00113825">
        <w:t>eter</w:t>
      </w:r>
      <w:r w:rsidR="00A97F27" w:rsidRPr="00113825">
        <w:t>, 20-</w:t>
      </w:r>
      <w:r w:rsidRPr="00113825">
        <w:t>m</w:t>
      </w:r>
      <w:r w:rsidR="004B6DDC" w:rsidRPr="00113825">
        <w:t>eter</w:t>
      </w:r>
      <w:r w:rsidR="00A97F27" w:rsidRPr="00113825">
        <w:t>, 10-</w:t>
      </w:r>
      <w:r w:rsidRPr="00113825">
        <w:t>m</w:t>
      </w:r>
      <w:r w:rsidR="004B6DDC" w:rsidRPr="00113825">
        <w:t>eter</w:t>
      </w:r>
      <w:r w:rsidR="00A97F27" w:rsidRPr="00113825">
        <w:t>, 5-</w:t>
      </w:r>
      <w:r w:rsidRPr="00113825">
        <w:t>m</w:t>
      </w:r>
      <w:r w:rsidR="004B6DDC" w:rsidRPr="00113825">
        <w:t>eter</w:t>
      </w:r>
      <w:r w:rsidR="00A97F27" w:rsidRPr="00113825">
        <w:t>, and 1-</w:t>
      </w:r>
      <w:r w:rsidRPr="00113825">
        <w:t>m</w:t>
      </w:r>
      <w:r w:rsidR="004B6DDC" w:rsidRPr="00113825">
        <w:t>eter</w:t>
      </w:r>
      <w:r w:rsidRPr="00113825">
        <w:t xml:space="preserve"> </w:t>
      </w:r>
      <w:r w:rsidR="00DC1A27" w:rsidRPr="00113825">
        <w:t>(step 2)</w:t>
      </w:r>
      <w:r w:rsidRPr="00113825">
        <w:t xml:space="preserve">. </w:t>
      </w:r>
    </w:p>
    <w:p w14:paraId="54CEE362" w14:textId="6195471C" w:rsidR="0071273E" w:rsidRPr="00113825" w:rsidRDefault="007B1E76" w:rsidP="00C53CF3">
      <w:pPr>
        <w:keepNext/>
        <w:spacing w:after="120" w:line="240" w:lineRule="auto"/>
        <w:jc w:val="both"/>
      </w:pPr>
      <w:r w:rsidRPr="00113825">
        <w:rPr>
          <w:i/>
        </w:rPr>
        <w:fldChar w:fldCharType="begin"/>
      </w:r>
      <w:r w:rsidRPr="00113825">
        <w:rPr>
          <w:i/>
        </w:rPr>
        <w:instrText xml:space="preserve"> REF _Ref22025654 \h  \* MERGEFORMAT </w:instrText>
      </w:r>
      <w:r w:rsidRPr="00113825">
        <w:rPr>
          <w:i/>
        </w:rPr>
      </w:r>
      <w:r w:rsidRPr="00113825">
        <w:rPr>
          <w:i/>
        </w:rPr>
        <w:fldChar w:fldCharType="separate"/>
      </w:r>
      <w:r w:rsidR="00113825" w:rsidRPr="00113825">
        <w:rPr>
          <w:i/>
        </w:rPr>
        <w:t xml:space="preserve">Figure </w:t>
      </w:r>
      <w:r w:rsidR="00113825" w:rsidRPr="00113825">
        <w:rPr>
          <w:i/>
          <w:noProof/>
        </w:rPr>
        <w:t>4</w:t>
      </w:r>
      <w:r w:rsidRPr="00113825">
        <w:rPr>
          <w:i/>
        </w:rPr>
        <w:fldChar w:fldCharType="end"/>
      </w:r>
      <w:r w:rsidR="00ED10C4" w:rsidRPr="00113825">
        <w:t xml:space="preserve"> shows the generated forest raster at different spatial resolutions overlaid on a base map. </w:t>
      </w:r>
      <w:r w:rsidRPr="00113825">
        <w:rPr>
          <w:i/>
        </w:rPr>
        <w:fldChar w:fldCharType="begin"/>
      </w:r>
      <w:r w:rsidRPr="00113825">
        <w:rPr>
          <w:i/>
        </w:rPr>
        <w:instrText xml:space="preserve"> REF _Ref22025654 \h  \* MERGEFORMAT </w:instrText>
      </w:r>
      <w:r w:rsidRPr="00113825">
        <w:rPr>
          <w:i/>
        </w:rPr>
      </w:r>
      <w:r w:rsidRPr="00113825">
        <w:rPr>
          <w:i/>
        </w:rPr>
        <w:fldChar w:fldCharType="separate"/>
      </w:r>
      <w:r w:rsidR="00113825" w:rsidRPr="00113825">
        <w:rPr>
          <w:i/>
        </w:rPr>
        <w:t xml:space="preserve">Figure </w:t>
      </w:r>
      <w:r w:rsidR="00113825" w:rsidRPr="00113825">
        <w:rPr>
          <w:i/>
          <w:noProof/>
        </w:rPr>
        <w:t>4</w:t>
      </w:r>
      <w:r w:rsidRPr="00113825">
        <w:rPr>
          <w:i/>
        </w:rPr>
        <w:fldChar w:fldCharType="end"/>
      </w:r>
      <w:r w:rsidRPr="00113825">
        <w:t xml:space="preserve"> </w:t>
      </w:r>
      <w:r w:rsidR="00DC1A27" w:rsidRPr="00113825">
        <w:t>highlights</w:t>
      </w:r>
      <w:r w:rsidR="00ED10C4" w:rsidRPr="00113825">
        <w:t xml:space="preserve"> that the coarser</w:t>
      </w:r>
      <w:r w:rsidR="00DC1A27" w:rsidRPr="00113825">
        <w:t xml:space="preserve"> </w:t>
      </w:r>
      <w:r w:rsidR="00ED10C4" w:rsidRPr="00113825">
        <w:t>res</w:t>
      </w:r>
      <w:r w:rsidR="00A97F27" w:rsidRPr="00113825">
        <w:t>olution data especially the 100-</w:t>
      </w:r>
      <w:r w:rsidR="00ED10C4" w:rsidRPr="00113825">
        <w:t>m</w:t>
      </w:r>
      <w:r w:rsidR="00A97F27" w:rsidRPr="00113825">
        <w:t>eter</w:t>
      </w:r>
      <w:r w:rsidR="00ED10C4" w:rsidRPr="00113825">
        <w:t xml:space="preserve"> one may mask other land cover type</w:t>
      </w:r>
      <w:r w:rsidR="00A97F27" w:rsidRPr="00113825">
        <w:t>s</w:t>
      </w:r>
      <w:r w:rsidR="004E0B2A" w:rsidRPr="00113825">
        <w:t>, while resolutions of 20-m</w:t>
      </w:r>
      <w:r w:rsidR="009807B6" w:rsidRPr="00113825">
        <w:t>eter</w:t>
      </w:r>
      <w:r w:rsidR="004E0B2A" w:rsidRPr="00113825">
        <w:t xml:space="preserve"> and below</w:t>
      </w:r>
      <w:r w:rsidR="00ED10C4" w:rsidRPr="00113825">
        <w:t xml:space="preserve"> are </w:t>
      </w:r>
      <w:r w:rsidR="009C653C" w:rsidRPr="00113825">
        <w:t>less likely to mask</w:t>
      </w:r>
      <w:r w:rsidR="00ED10C4" w:rsidRPr="00113825">
        <w:t xml:space="preserve"> other land cover types. On the other hand, the sampling of large vector datasets to smaller cell sizes may excessively enhance the computational budget in terms of processing time and storage </w:t>
      </w:r>
      <w:r w:rsidR="00ED10C4" w:rsidRPr="00113825">
        <w:fldChar w:fldCharType="begin" w:fldLock="1"/>
      </w:r>
      <w:r w:rsidR="0089363E" w:rsidRPr="00113825">
        <w:instrText>ADDIN CSL_CITATION {"citationItems":[{"id":"ITEM-1","itemData":{"DOI":"10.1016/j.biombioe.2017.08.023","ISSN":"18732909","abstract":"Plant location can be a major factor in the financial success of a company when feedstock transport costs are high, such as for wood-based biorefineries. Biorefineries sited near large amounts of forest residue can better mitigate against the risk of reduced feedstock availability due to exogenous market constraints. Two methodologies for estimating the volume and cost of delivered forest residues to a biorefinery are presented. Both methodologies are based on data provided by the U.S. Forest Service Forest Inventory and Analysis (FIA) program. The first methodology is past-predictive in that it uses individual state Timber Product Output (TPO) datasets, while the second methodology is future-predictive in that it uses a spatially explicit economic optimization model of the U.S. forestry sector coupled with stand data at FIA plot locations to project near- and medium-term residue volumes. A Total Delivered Feedstock Cost Model is used with both biomass estimation methods to enable comparison of facility supply curves. A case study assesses four pulp mills, considered as candidate repurposed biorefinery locations, for their ability to procure sufficient biomass under average- and low-yield scenarios utilizing both methods. The facility that procures sufficient feedstock to meet annual biorefinery demand at the least cost under both yield scenarios theoretically provides the least risk to investors in terms of insufficient feedstock availability. The past-predictive methodology was found to be best-suited for refining a list of candidate facilities for further analysis. The future-predictive methodology is best-suited for a robust analysis of facilities using multiple economic and policy scenarios.","author":[{"dropping-particle":"","family":"Martinkus","given":"Natalie","non-dropping-particle":"","parse-names":false,"suffix":""},{"dropping-particle":"","family":"Latta","given":"Greg","non-dropping-particle":"","parse-names":false,"suffix":""},{"dropping-particle":"","family":"Morgan","given":"Todd","non-dropping-particle":"","parse-names":false,"suffix":""},{"dropping-particle":"","family":"Wolcott","given":"Michael","non-dropping-particle":"","parse-names":false,"suffix":""}],"container-title":"Biomass and Bioenergy","id":"ITEM-1","issued":{"date-parts":[["2017"]]},"page":"83-94","publisher":"Elsevier Ltd","title":"A comparison of methodologies for estimating delivered forest residue volume and cost to a wood-based biorefinery","type":"article-journal","volume":"106"},"uris":["http://www.mendeley.com/documents/?uuid=49b95439-18b6-41ca-b0da-750d013b677a"]}],"mendeley":{"formattedCitation":"[83]","plainTextFormattedCitation":"[83]","previouslyFormattedCitation":"(Martinkus &lt;i&gt;et al.&lt;/i&gt;, 2017)"},"properties":{"noteIndex":0},"schema":"https://github.com/citation-style-language/schema/raw/master/csl-citation.json"}</w:instrText>
      </w:r>
      <w:r w:rsidR="00ED10C4" w:rsidRPr="00113825">
        <w:fldChar w:fldCharType="separate"/>
      </w:r>
      <w:r w:rsidR="0089363E" w:rsidRPr="00113825">
        <w:rPr>
          <w:noProof/>
        </w:rPr>
        <w:t>[83]</w:t>
      </w:r>
      <w:r w:rsidR="00ED10C4" w:rsidRPr="00113825">
        <w:fldChar w:fldCharType="end"/>
      </w:r>
      <w:r w:rsidR="00ED10C4" w:rsidRPr="00113825">
        <w:t xml:space="preserve">. This can be witnessed in </w:t>
      </w:r>
      <w:r w:rsidRPr="00113825">
        <w:rPr>
          <w:i/>
        </w:rPr>
        <w:fldChar w:fldCharType="begin"/>
      </w:r>
      <w:r w:rsidRPr="00113825">
        <w:rPr>
          <w:i/>
        </w:rPr>
        <w:instrText xml:space="preserve"> REF _Ref21607967 \h  \* MERGEFORMAT </w:instrText>
      </w:r>
      <w:r w:rsidRPr="00113825">
        <w:rPr>
          <w:i/>
        </w:rPr>
      </w:r>
      <w:r w:rsidRPr="00113825">
        <w:rPr>
          <w:i/>
        </w:rPr>
        <w:fldChar w:fldCharType="separate"/>
      </w:r>
      <w:r w:rsidR="00113825" w:rsidRPr="00113825">
        <w:rPr>
          <w:i/>
          <w:iCs/>
        </w:rPr>
        <w:t xml:space="preserve">Figure </w:t>
      </w:r>
      <w:r w:rsidR="00113825" w:rsidRPr="00113825">
        <w:rPr>
          <w:i/>
          <w:noProof/>
        </w:rPr>
        <w:t>5</w:t>
      </w:r>
      <w:r w:rsidRPr="00113825">
        <w:rPr>
          <w:i/>
        </w:rPr>
        <w:fldChar w:fldCharType="end"/>
      </w:r>
      <w:r w:rsidR="00ED10C4" w:rsidRPr="00113825">
        <w:t xml:space="preserve">, where the processing time and the space requirement </w:t>
      </w:r>
      <w:r w:rsidR="00C07C8E" w:rsidRPr="00113825">
        <w:t>increases</w:t>
      </w:r>
      <w:r w:rsidR="00ED10C4" w:rsidRPr="00113825">
        <w:t xml:space="preserve"> at a logarithmic scale, especially for the data being processed at less than 10</w:t>
      </w:r>
      <w:r w:rsidR="009807B6" w:rsidRPr="00113825">
        <w:t>-</w:t>
      </w:r>
      <w:r w:rsidR="00ED10C4" w:rsidRPr="00113825">
        <w:t>m</w:t>
      </w:r>
      <w:r w:rsidR="004B6DDC" w:rsidRPr="00113825">
        <w:t>eter</w:t>
      </w:r>
      <w:r w:rsidR="00A97F27" w:rsidRPr="00113825">
        <w:t>s</w:t>
      </w:r>
      <w:r w:rsidR="00ED10C4" w:rsidRPr="00113825">
        <w:t>.</w:t>
      </w:r>
      <w:r w:rsidR="004B6DDC" w:rsidRPr="00113825">
        <w:t xml:space="preserve"> The conversion of complex forest shapefile (Vector) to raster at 1-meter resolution took 20475 seconds, compared to</w:t>
      </w:r>
      <w:r w:rsidR="00F13579" w:rsidRPr="00113825">
        <w:t xml:space="preserve"> 34</w:t>
      </w:r>
      <w:r w:rsidR="004B6DDC" w:rsidRPr="00113825">
        <w:t xml:space="preserve"> seconds for the same data </w:t>
      </w:r>
      <w:r w:rsidR="00C07C8E" w:rsidRPr="00113825">
        <w:t xml:space="preserve">at </w:t>
      </w:r>
      <w:r w:rsidR="00F13579" w:rsidRPr="00113825">
        <w:t>10</w:t>
      </w:r>
      <w:r w:rsidR="004B6DDC" w:rsidRPr="00113825">
        <w:t xml:space="preserve">-meter resolution, which is nearly </w:t>
      </w:r>
      <w:r w:rsidR="00F13579" w:rsidRPr="00113825">
        <w:t>600</w:t>
      </w:r>
      <w:r w:rsidR="004B6DDC" w:rsidRPr="00113825">
        <w:t xml:space="preserve"> times more. Similarly, the size of the processed raster image was nearly </w:t>
      </w:r>
      <w:r w:rsidR="00F13579" w:rsidRPr="00113825">
        <w:t>8</w:t>
      </w:r>
      <w:r w:rsidR="00103F8D" w:rsidRPr="00113825">
        <w:t>0 times more for the 1-meter sampled data (1002314 k</w:t>
      </w:r>
      <w:r w:rsidR="004272DE" w:rsidRPr="00113825">
        <w:t>ilo</w:t>
      </w:r>
      <w:r w:rsidR="00103F8D" w:rsidRPr="00113825">
        <w:t>b</w:t>
      </w:r>
      <w:r w:rsidR="004272DE" w:rsidRPr="00113825">
        <w:t>yte</w:t>
      </w:r>
      <w:r w:rsidR="000C4808" w:rsidRPr="00113825">
        <w:t>s</w:t>
      </w:r>
      <w:r w:rsidR="00103F8D" w:rsidRPr="00113825">
        <w:t xml:space="preserve">) compared to the </w:t>
      </w:r>
      <w:r w:rsidR="00F13579" w:rsidRPr="00113825">
        <w:t>10</w:t>
      </w:r>
      <w:r w:rsidR="00103F8D" w:rsidRPr="00113825">
        <w:t>-meter one (</w:t>
      </w:r>
      <w:r w:rsidR="00F13579" w:rsidRPr="00113825">
        <w:t>12468</w:t>
      </w:r>
      <w:r w:rsidR="00103F8D" w:rsidRPr="00113825">
        <w:t xml:space="preserve"> k</w:t>
      </w:r>
      <w:r w:rsidR="004272DE" w:rsidRPr="00113825">
        <w:t>ilo</w:t>
      </w:r>
      <w:r w:rsidR="00103F8D" w:rsidRPr="00113825">
        <w:t>b</w:t>
      </w:r>
      <w:r w:rsidR="004272DE" w:rsidRPr="00113825">
        <w:t>yte</w:t>
      </w:r>
      <w:r w:rsidR="000C4808" w:rsidRPr="00113825">
        <w:t>s</w:t>
      </w:r>
      <w:r w:rsidR="00103F8D" w:rsidRPr="00113825">
        <w:t>).</w:t>
      </w:r>
      <w:r w:rsidR="0013424E" w:rsidRPr="00113825">
        <w:t xml:space="preserve"> </w:t>
      </w:r>
      <w:r w:rsidR="00AD1B9B" w:rsidRPr="00113825">
        <w:t xml:space="preserve">The final uncompressed size of the processed raster containing information on the location and quantity of PFRs for </w:t>
      </w:r>
      <w:r w:rsidR="006138B6" w:rsidRPr="00113825">
        <w:t xml:space="preserve">the </w:t>
      </w:r>
      <w:r w:rsidR="00AD1B9B" w:rsidRPr="00113825">
        <w:t xml:space="preserve">conifer forest of </w:t>
      </w:r>
      <w:r w:rsidR="000C4808" w:rsidRPr="00113825">
        <w:t xml:space="preserve">the </w:t>
      </w:r>
      <w:proofErr w:type="spellStart"/>
      <w:r w:rsidR="00AD1B9B" w:rsidRPr="00113825">
        <w:t>Occitanie</w:t>
      </w:r>
      <w:proofErr w:type="spellEnd"/>
      <w:r w:rsidR="00AD1B9B" w:rsidRPr="00113825">
        <w:t xml:space="preserve"> region was 490 </w:t>
      </w:r>
      <w:r w:rsidR="004272DE" w:rsidRPr="00113825">
        <w:t>gigabyte</w:t>
      </w:r>
      <w:r w:rsidR="000C4808" w:rsidRPr="00113825">
        <w:t>s</w:t>
      </w:r>
      <w:r w:rsidR="00AD1B9B" w:rsidRPr="00113825">
        <w:t xml:space="preserve"> for the 1-meter resolution data (</w:t>
      </w:r>
      <w:r w:rsidR="00B16C28" w:rsidRPr="00113825">
        <w:rPr>
          <w:i/>
        </w:rPr>
        <w:t>S</w:t>
      </w:r>
      <w:r w:rsidR="00324423" w:rsidRPr="00113825">
        <w:rPr>
          <w:i/>
        </w:rPr>
        <w:t>upplementary Table 1</w:t>
      </w:r>
      <w:r w:rsidR="00AD1B9B" w:rsidRPr="00113825">
        <w:t>).</w:t>
      </w:r>
      <w:r w:rsidR="00103F8D" w:rsidRPr="00113825">
        <w:t xml:space="preserve"> </w:t>
      </w:r>
      <w:r w:rsidR="00830290" w:rsidRPr="00113825">
        <w:t xml:space="preserve">The values highlighted in </w:t>
      </w:r>
      <w:r w:rsidR="00B16C28" w:rsidRPr="00113825">
        <w:t>bold</w:t>
      </w:r>
      <w:r w:rsidR="00830290" w:rsidRPr="00113825">
        <w:t xml:space="preserve"> in </w:t>
      </w:r>
      <w:r w:rsidR="00A00444" w:rsidRPr="00113825">
        <w:rPr>
          <w:i/>
        </w:rPr>
        <w:fldChar w:fldCharType="begin"/>
      </w:r>
      <w:r w:rsidR="00A00444" w:rsidRPr="00113825">
        <w:rPr>
          <w:i/>
        </w:rPr>
        <w:instrText xml:space="preserve"> REF _Ref21607967 \h </w:instrText>
      </w:r>
      <w:r w:rsidR="00861BDB" w:rsidRPr="00113825">
        <w:rPr>
          <w:i/>
        </w:rPr>
        <w:instrText xml:space="preserve"> \* MERGEFORMAT </w:instrText>
      </w:r>
      <w:r w:rsidR="00A00444" w:rsidRPr="00113825">
        <w:rPr>
          <w:i/>
        </w:rPr>
      </w:r>
      <w:r w:rsidR="00A00444" w:rsidRPr="00113825">
        <w:rPr>
          <w:i/>
        </w:rPr>
        <w:fldChar w:fldCharType="separate"/>
      </w:r>
      <w:r w:rsidR="00113825" w:rsidRPr="00113825">
        <w:rPr>
          <w:i/>
        </w:rPr>
        <w:t xml:space="preserve">Figure </w:t>
      </w:r>
      <w:r w:rsidR="00113825" w:rsidRPr="00113825">
        <w:rPr>
          <w:i/>
          <w:noProof/>
        </w:rPr>
        <w:t>5</w:t>
      </w:r>
      <w:r w:rsidR="00A00444" w:rsidRPr="00113825">
        <w:rPr>
          <w:i/>
        </w:rPr>
        <w:fldChar w:fldCharType="end"/>
      </w:r>
      <w:r w:rsidR="00830290" w:rsidRPr="00113825">
        <w:t xml:space="preserve"> show the increase in the complexity in terms of time per pixel area and file size per pixel area. There is a substantial increase from 10-meter spatial resolution data to 5-meter data for both processing time and file size. </w:t>
      </w:r>
      <w:r w:rsidR="00103F8D" w:rsidRPr="00113825">
        <w:t xml:space="preserve">This test was performed only for one </w:t>
      </w:r>
      <w:r w:rsidR="00103F8D" w:rsidRPr="00113825">
        <w:lastRenderedPageBreak/>
        <w:t xml:space="preserve">forest type of one region of </w:t>
      </w:r>
      <w:r w:rsidR="0013424E" w:rsidRPr="00113825">
        <w:t>France;</w:t>
      </w:r>
      <w:r w:rsidR="00103F8D" w:rsidRPr="00113825">
        <w:t xml:space="preserve"> thus, </w:t>
      </w:r>
      <w:r w:rsidR="00297591" w:rsidRPr="00113825">
        <w:t xml:space="preserve">the </w:t>
      </w:r>
      <w:r w:rsidR="00103F8D" w:rsidRPr="00113825">
        <w:t xml:space="preserve">estimation of PFRs for the entire country at </w:t>
      </w:r>
      <w:r w:rsidR="00297591" w:rsidRPr="00113825">
        <w:t xml:space="preserve">a </w:t>
      </w:r>
      <w:r w:rsidR="00C07C8E" w:rsidRPr="00113825">
        <w:t>very high spatial</w:t>
      </w:r>
      <w:r w:rsidR="00103F8D" w:rsidRPr="00113825">
        <w:t xml:space="preserve"> resolution would </w:t>
      </w:r>
      <w:r w:rsidR="00F82B01" w:rsidRPr="00113825">
        <w:t>be rather tedious</w:t>
      </w:r>
      <w:r w:rsidR="00103F8D" w:rsidRPr="00113825">
        <w:t>.</w:t>
      </w:r>
      <w:r w:rsidR="0013424E" w:rsidRPr="00113825">
        <w:t xml:space="preserve"> </w:t>
      </w:r>
    </w:p>
    <w:p w14:paraId="4F213713" w14:textId="3776CA75" w:rsidR="00055365" w:rsidRPr="00113825" w:rsidRDefault="00055365" w:rsidP="00055365">
      <w:pPr>
        <w:jc w:val="both"/>
        <w:rPr>
          <w:szCs w:val="21"/>
        </w:rPr>
      </w:pPr>
      <w:r w:rsidRPr="00113825">
        <w:rPr>
          <w:i/>
          <w:szCs w:val="21"/>
        </w:rPr>
        <w:t>Supplementary Table 2</w:t>
      </w:r>
      <w:r w:rsidRPr="00113825">
        <w:rPr>
          <w:szCs w:val="21"/>
        </w:rPr>
        <w:t xml:space="preserve"> shows the results of the theoretical potential of above-ground PFRs (Conifers) for different departments of the </w:t>
      </w:r>
      <w:proofErr w:type="spellStart"/>
      <w:r w:rsidRPr="00113825">
        <w:rPr>
          <w:szCs w:val="21"/>
        </w:rPr>
        <w:t>Occitanie</w:t>
      </w:r>
      <w:proofErr w:type="spellEnd"/>
      <w:r w:rsidRPr="00113825">
        <w:rPr>
          <w:szCs w:val="21"/>
        </w:rPr>
        <w:t xml:space="preserve"> region in Mg</w:t>
      </w:r>
      <w:r w:rsidRPr="00113825">
        <w:rPr>
          <w:szCs w:val="21"/>
          <w:vertAlign w:val="subscript"/>
        </w:rPr>
        <w:t xml:space="preserve">dry matter </w:t>
      </w:r>
      <w:r w:rsidRPr="00113825">
        <w:rPr>
          <w:szCs w:val="21"/>
        </w:rPr>
        <w:t>year</w:t>
      </w:r>
      <w:r w:rsidRPr="00113825">
        <w:rPr>
          <w:szCs w:val="21"/>
          <w:vertAlign w:val="superscript"/>
        </w:rPr>
        <w:t>-1</w:t>
      </w:r>
      <w:r w:rsidRPr="00113825">
        <w:rPr>
          <w:szCs w:val="21"/>
        </w:rPr>
        <w:t xml:space="preserve"> at different spatial resolutions. A pairwise comparison was then made to establish the percentage difference in the results of spatial quantification at different resolutions. This highlights that for most of the cases, the percentage difference in estimation was marginal (&gt; 0.2%). In view of these results, it was decided to select 10-meter as the most optimal resolution based on the computational budget and comparison with other resolutions.</w:t>
      </w:r>
    </w:p>
    <w:p w14:paraId="36E7E053" w14:textId="06F0C698" w:rsidR="00A00444" w:rsidRPr="00113825" w:rsidRDefault="0047491B" w:rsidP="00885D42">
      <w:pPr>
        <w:keepNext/>
        <w:spacing w:after="0" w:line="240" w:lineRule="auto"/>
        <w:jc w:val="both"/>
      </w:pPr>
      <w:r w:rsidRPr="00113825">
        <w:rPr>
          <w:noProof/>
        </w:rPr>
        <w:drawing>
          <wp:inline distT="0" distB="0" distL="0" distR="0" wp14:anchorId="48DFAD42" wp14:editId="062705A8">
            <wp:extent cx="5719313" cy="3554738"/>
            <wp:effectExtent l="57150" t="57150" r="110490" b="1219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319" cy="35553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72C77A" w14:textId="1FE4F7C8" w:rsidR="00621A0D" w:rsidRPr="00113825" w:rsidRDefault="00A00444" w:rsidP="00C53CF3">
      <w:pPr>
        <w:pStyle w:val="Caption"/>
        <w:spacing w:after="60"/>
        <w:jc w:val="center"/>
        <w:rPr>
          <w:color w:val="auto"/>
          <w:sz w:val="20"/>
        </w:rPr>
      </w:pPr>
      <w:bookmarkStart w:id="10" w:name="_Ref22025654"/>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4</w:t>
      </w:r>
      <w:r w:rsidRPr="00113825">
        <w:rPr>
          <w:color w:val="auto"/>
          <w:sz w:val="20"/>
        </w:rPr>
        <w:fldChar w:fldCharType="end"/>
      </w:r>
      <w:bookmarkEnd w:id="10"/>
      <w:r w:rsidRPr="00113825">
        <w:rPr>
          <w:color w:val="auto"/>
          <w:sz w:val="20"/>
        </w:rPr>
        <w:t xml:space="preserve">: </w:t>
      </w:r>
      <w:r w:rsidR="009C653C" w:rsidRPr="00113825">
        <w:rPr>
          <w:color w:val="auto"/>
          <w:sz w:val="20"/>
        </w:rPr>
        <w:t xml:space="preserve">Visual representation of different spatial resolutions for conifers in a given area of the French </w:t>
      </w:r>
      <w:proofErr w:type="spellStart"/>
      <w:r w:rsidR="009C653C" w:rsidRPr="00113825">
        <w:rPr>
          <w:color w:val="auto"/>
          <w:sz w:val="20"/>
        </w:rPr>
        <w:t>Occitanie</w:t>
      </w:r>
      <w:proofErr w:type="spellEnd"/>
      <w:r w:rsidR="009C653C" w:rsidRPr="00113825">
        <w:rPr>
          <w:color w:val="auto"/>
          <w:sz w:val="20"/>
        </w:rPr>
        <w:t xml:space="preserve"> Region. The areas in light green are the areas considered to be conifer forest, for the selected resolution.</w:t>
      </w:r>
    </w:p>
    <w:p w14:paraId="3669B7A7" w14:textId="2D95F738" w:rsidR="00ED10C4" w:rsidRPr="00113825" w:rsidRDefault="00E82D31" w:rsidP="00C53CF3">
      <w:pPr>
        <w:keepNext/>
        <w:spacing w:after="120" w:line="240" w:lineRule="auto"/>
        <w:jc w:val="center"/>
      </w:pPr>
      <w:r w:rsidRPr="00113825">
        <w:rPr>
          <w:noProof/>
        </w:rPr>
        <w:lastRenderedPageBreak/>
        <w:drawing>
          <wp:inline distT="0" distB="0" distL="0" distR="0" wp14:anchorId="76EA46CC" wp14:editId="5F1F3801">
            <wp:extent cx="5760720" cy="4389120"/>
            <wp:effectExtent l="57150" t="57150" r="106680" b="1066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760720" cy="4389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810C38" w14:textId="7F63FBA8" w:rsidR="00492280" w:rsidRPr="00113825" w:rsidRDefault="00ED10C4" w:rsidP="00C53CF3">
      <w:pPr>
        <w:pStyle w:val="Caption"/>
        <w:jc w:val="center"/>
        <w:rPr>
          <w:color w:val="auto"/>
        </w:rPr>
      </w:pPr>
      <w:bookmarkStart w:id="11" w:name="_Ref21607967"/>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5</w:t>
      </w:r>
      <w:r w:rsidRPr="00113825">
        <w:rPr>
          <w:color w:val="auto"/>
          <w:sz w:val="20"/>
        </w:rPr>
        <w:fldChar w:fldCharType="end"/>
      </w:r>
      <w:bookmarkEnd w:id="11"/>
      <w:r w:rsidRPr="00113825">
        <w:rPr>
          <w:color w:val="auto"/>
          <w:sz w:val="20"/>
        </w:rPr>
        <w:t xml:space="preserve">: </w:t>
      </w:r>
      <w:r w:rsidR="00F82B01" w:rsidRPr="00113825">
        <w:rPr>
          <w:color w:val="auto"/>
          <w:sz w:val="20"/>
        </w:rPr>
        <w:t>F</w:t>
      </w:r>
      <w:r w:rsidRPr="00113825">
        <w:rPr>
          <w:color w:val="auto"/>
          <w:sz w:val="20"/>
        </w:rPr>
        <w:t>ile size and processing time at different spatial resolutions</w:t>
      </w:r>
      <w:r w:rsidR="006156D4" w:rsidRPr="00113825">
        <w:rPr>
          <w:color w:val="auto"/>
          <w:sz w:val="20"/>
        </w:rPr>
        <w:t xml:space="preserve">. The labels on the x-axis are qualitative and represent the size of </w:t>
      </w:r>
      <w:r w:rsidR="00A97F27" w:rsidRPr="00113825">
        <w:rPr>
          <w:color w:val="auto"/>
          <w:sz w:val="20"/>
        </w:rPr>
        <w:t xml:space="preserve">a </w:t>
      </w:r>
      <w:r w:rsidR="006156D4" w:rsidRPr="00113825">
        <w:rPr>
          <w:color w:val="auto"/>
          <w:sz w:val="20"/>
        </w:rPr>
        <w:t>pixel (e.g., 100 m corresponds to an area of 100</w:t>
      </w:r>
      <w:r w:rsidR="006156D4" w:rsidRPr="00113825">
        <w:rPr>
          <w:color w:val="auto"/>
          <w:sz w:val="20"/>
          <w:vertAlign w:val="superscript"/>
        </w:rPr>
        <w:t>2</w:t>
      </w:r>
      <w:r w:rsidR="006156D4" w:rsidRPr="00113825">
        <w:rPr>
          <w:color w:val="auto"/>
          <w:sz w:val="20"/>
        </w:rPr>
        <w:t xml:space="preserve"> m</w:t>
      </w:r>
      <w:r w:rsidR="006156D4" w:rsidRPr="00113825">
        <w:rPr>
          <w:color w:val="auto"/>
          <w:sz w:val="20"/>
          <w:vertAlign w:val="superscript"/>
        </w:rPr>
        <w:t>2</w:t>
      </w:r>
      <w:r w:rsidR="006156D4" w:rsidRPr="00113825">
        <w:rPr>
          <w:color w:val="auto"/>
          <w:sz w:val="20"/>
        </w:rPr>
        <w:t>)</w:t>
      </w:r>
    </w:p>
    <w:p w14:paraId="1A0F473C" w14:textId="2549D666" w:rsidR="00107E1D" w:rsidRPr="00113825" w:rsidRDefault="00107E1D" w:rsidP="007304A1">
      <w:pPr>
        <w:pStyle w:val="Heading2"/>
      </w:pPr>
      <w:r w:rsidRPr="00113825">
        <w:t>4.</w:t>
      </w:r>
      <w:r w:rsidR="00EE51B3" w:rsidRPr="00113825">
        <w:t>3</w:t>
      </w:r>
      <w:r w:rsidRPr="00113825">
        <w:t xml:space="preserve"> </w:t>
      </w:r>
      <w:r w:rsidR="00F21DED" w:rsidRPr="00113825">
        <w:t>Exemplification results</w:t>
      </w:r>
    </w:p>
    <w:p w14:paraId="65320F83" w14:textId="422377CC" w:rsidR="000D01F5" w:rsidRPr="00113825" w:rsidRDefault="00885D42" w:rsidP="00C53CF3">
      <w:pPr>
        <w:jc w:val="both"/>
      </w:pPr>
      <w:r w:rsidRPr="00113825">
        <w:t xml:space="preserve">Figure 6 </w:t>
      </w:r>
      <w:r w:rsidR="000D01F5" w:rsidRPr="00113825">
        <w:t xml:space="preserve">shows the theoretical potential of PFRs for France in terms of </w:t>
      </w:r>
      <w:r w:rsidR="006C1969" w:rsidRPr="00113825">
        <w:t>Mg</w:t>
      </w:r>
      <w:r w:rsidR="000D01F5" w:rsidRPr="00113825">
        <w:rPr>
          <w:vertAlign w:val="subscript"/>
        </w:rPr>
        <w:t xml:space="preserve">dry matter </w:t>
      </w:r>
      <w:r w:rsidR="006167B1" w:rsidRPr="00113825">
        <w:t>year</w:t>
      </w:r>
      <w:r w:rsidR="000D01F5" w:rsidRPr="00113825">
        <w:rPr>
          <w:vertAlign w:val="superscript"/>
        </w:rPr>
        <w:t>-1</w:t>
      </w:r>
      <w:r w:rsidR="000D01F5" w:rsidRPr="00113825">
        <w:t>. The spatial quantification result is illustrated in the form of 10-meter x 10-meter pixels (100 m</w:t>
      </w:r>
      <w:r w:rsidR="000D01F5" w:rsidRPr="00113825">
        <w:rPr>
          <w:vertAlign w:val="superscript"/>
        </w:rPr>
        <w:t>2</w:t>
      </w:r>
      <w:r w:rsidR="000D01F5" w:rsidRPr="00113825">
        <w:t>), which is the first-ever high-resolution map of available potential of PFRs at a country scale. The advantage of using discrete high-resolution pixels is that it allows for aggregation of these pixels at different administrative levels such as regions of departments.</w:t>
      </w:r>
      <w:r w:rsidR="000D01F5" w:rsidRPr="00113825">
        <w:rPr>
          <w:vertAlign w:val="superscript"/>
        </w:rPr>
        <w:t xml:space="preserve"> </w:t>
      </w:r>
      <w:r w:rsidR="000D01F5" w:rsidRPr="00113825">
        <w:t>The theoretical potential for PFRs in France</w:t>
      </w:r>
      <w:r w:rsidR="0021366E" w:rsidRPr="00113825">
        <w:t>, when observed at the pixel level (here 100 m</w:t>
      </w:r>
      <w:r w:rsidR="0021366E" w:rsidRPr="00113825">
        <w:rPr>
          <w:vertAlign w:val="superscript"/>
        </w:rPr>
        <w:t>2</w:t>
      </w:r>
      <w:r w:rsidR="0021366E" w:rsidRPr="00113825">
        <w:t xml:space="preserve"> </w:t>
      </w:r>
      <w:r w:rsidR="009807B6" w:rsidRPr="00113825">
        <w:t xml:space="preserve">per </w:t>
      </w:r>
      <w:r w:rsidR="0021366E" w:rsidRPr="00113825">
        <w:t>pixel),</w:t>
      </w:r>
      <w:r w:rsidR="000D01F5" w:rsidRPr="00113825">
        <w:t xml:space="preserve"> varies from </w:t>
      </w:r>
      <w:r w:rsidR="000D01F5" w:rsidRPr="00113825">
        <w:rPr>
          <w:rFonts w:cstheme="majorHAnsi"/>
        </w:rPr>
        <w:t>≤</w:t>
      </w:r>
      <w:r w:rsidR="000D01F5" w:rsidRPr="00113825">
        <w:t xml:space="preserve"> 0.15 </w:t>
      </w:r>
      <w:r w:rsidR="006C1969" w:rsidRPr="00113825">
        <w:t>Mg</w:t>
      </w:r>
      <w:r w:rsidR="000D01F5" w:rsidRPr="00113825">
        <w:rPr>
          <w:vertAlign w:val="subscript"/>
        </w:rPr>
        <w:t xml:space="preserve">dry matter </w:t>
      </w:r>
      <w:r w:rsidR="006167B1" w:rsidRPr="00113825">
        <w:t>year</w:t>
      </w:r>
      <w:r w:rsidR="000D01F5" w:rsidRPr="00113825">
        <w:rPr>
          <w:vertAlign w:val="superscript"/>
        </w:rPr>
        <w:t>-1</w:t>
      </w:r>
      <w:r w:rsidR="000D01F5" w:rsidRPr="00113825">
        <w:t xml:space="preserve"> </w:t>
      </w:r>
      <w:r w:rsidR="009807B6" w:rsidRPr="00113825">
        <w:t xml:space="preserve">per </w:t>
      </w:r>
      <w:r w:rsidR="00025B55" w:rsidRPr="00113825">
        <w:t xml:space="preserve">pixel </w:t>
      </w:r>
      <w:r w:rsidR="000D01F5" w:rsidRPr="00113825">
        <w:t xml:space="preserve">to a maximum of 0.91 </w:t>
      </w:r>
      <w:r w:rsidR="006C1969" w:rsidRPr="00113825">
        <w:t>Mg</w:t>
      </w:r>
      <w:r w:rsidR="000D01F5" w:rsidRPr="00113825">
        <w:rPr>
          <w:vertAlign w:val="subscript"/>
        </w:rPr>
        <w:t xml:space="preserve">dry matter </w:t>
      </w:r>
      <w:r w:rsidR="006167B1" w:rsidRPr="00113825">
        <w:t>year</w:t>
      </w:r>
      <w:r w:rsidR="000D01F5" w:rsidRPr="00113825">
        <w:rPr>
          <w:vertAlign w:val="superscript"/>
        </w:rPr>
        <w:t>-1</w:t>
      </w:r>
      <w:r w:rsidR="00025B55" w:rsidRPr="00113825">
        <w:t xml:space="preserve"> </w:t>
      </w:r>
      <w:r w:rsidR="009807B6" w:rsidRPr="00113825">
        <w:t xml:space="preserve">per </w:t>
      </w:r>
      <w:r w:rsidR="00025B55" w:rsidRPr="00113825">
        <w:t>pixel.</w:t>
      </w:r>
      <w:r w:rsidR="000D01F5" w:rsidRPr="00113825">
        <w:t xml:space="preserve"> From </w:t>
      </w:r>
      <w:r w:rsidR="00580995" w:rsidRPr="00113825">
        <w:t>Figure 6</w:t>
      </w:r>
      <w:r w:rsidR="000D01F5" w:rsidRPr="00113825">
        <w:t xml:space="preserve"> it can </w:t>
      </w:r>
      <w:r w:rsidR="006138B6" w:rsidRPr="00113825">
        <w:t xml:space="preserve">be </w:t>
      </w:r>
      <w:r w:rsidR="000D01F5" w:rsidRPr="00113825">
        <w:t xml:space="preserve">observed that the residues are mainly concentrated in the Mediterranean basin in the regions of </w:t>
      </w:r>
      <w:proofErr w:type="spellStart"/>
      <w:r w:rsidR="000D01F5" w:rsidRPr="00113825">
        <w:rPr>
          <w:i/>
        </w:rPr>
        <w:t>Occitanie</w:t>
      </w:r>
      <w:proofErr w:type="spellEnd"/>
      <w:r w:rsidR="000D01F5" w:rsidRPr="00113825">
        <w:t xml:space="preserve"> and </w:t>
      </w:r>
      <w:r w:rsidR="000D01F5" w:rsidRPr="00113825">
        <w:rPr>
          <w:i/>
        </w:rPr>
        <w:t>Provence-</w:t>
      </w:r>
      <w:proofErr w:type="spellStart"/>
      <w:r w:rsidR="000D01F5" w:rsidRPr="00113825">
        <w:rPr>
          <w:i/>
        </w:rPr>
        <w:t>Alpes</w:t>
      </w:r>
      <w:proofErr w:type="spellEnd"/>
      <w:r w:rsidR="000D01F5" w:rsidRPr="00113825">
        <w:rPr>
          <w:i/>
        </w:rPr>
        <w:t>- Côte d'Azur</w:t>
      </w:r>
      <w:r w:rsidR="000D01F5" w:rsidRPr="00113825">
        <w:t xml:space="preserve">, the </w:t>
      </w:r>
      <w:proofErr w:type="spellStart"/>
      <w:r w:rsidR="000D01F5" w:rsidRPr="00113825">
        <w:t>Landes</w:t>
      </w:r>
      <w:proofErr w:type="spellEnd"/>
      <w:r w:rsidR="000D01F5" w:rsidRPr="00113825">
        <w:t xml:space="preserve"> forest in the south-western part of the country in the </w:t>
      </w:r>
      <w:r w:rsidR="000D01F5" w:rsidRPr="00113825">
        <w:rPr>
          <w:i/>
        </w:rPr>
        <w:t>Nouvelle-Aquitaine</w:t>
      </w:r>
      <w:r w:rsidR="0048432B" w:rsidRPr="00113825">
        <w:t xml:space="preserve"> region, the e</w:t>
      </w:r>
      <w:r w:rsidR="000D01F5" w:rsidRPr="00113825">
        <w:t xml:space="preserve">ast of the country in the </w:t>
      </w:r>
      <w:r w:rsidR="000D01F5" w:rsidRPr="00113825">
        <w:rPr>
          <w:i/>
        </w:rPr>
        <w:t>Grand-Est</w:t>
      </w:r>
      <w:r w:rsidR="000D01F5" w:rsidRPr="00113825">
        <w:t xml:space="preserve"> and </w:t>
      </w:r>
      <w:r w:rsidR="000D01F5" w:rsidRPr="00113825">
        <w:rPr>
          <w:i/>
        </w:rPr>
        <w:t>Bourgogne-Franche-Comté</w:t>
      </w:r>
      <w:r w:rsidR="000D01F5" w:rsidRPr="00113825">
        <w:t xml:space="preserve"> regions and in the mountainous region of </w:t>
      </w:r>
      <w:r w:rsidR="000D01F5" w:rsidRPr="00113825">
        <w:rPr>
          <w:i/>
        </w:rPr>
        <w:t>Auvergne-Rhône-Alpes</w:t>
      </w:r>
      <w:r w:rsidR="000D01F5" w:rsidRPr="00113825">
        <w:t xml:space="preserve">. The regions in the north and north-west of France have scattered PFRs, </w:t>
      </w:r>
      <w:r w:rsidR="00433DC3" w:rsidRPr="00113825">
        <w:t>reflecting</w:t>
      </w:r>
      <w:r w:rsidR="000D01F5" w:rsidRPr="00113825">
        <w:t xml:space="preserve"> the forest structure in these regions. The island region of Corse, despite having the highest concentration of forests in terms of total percent cover of land area (</w:t>
      </w:r>
      <w:r w:rsidR="00D05877" w:rsidRPr="00113825">
        <w:rPr>
          <w:i/>
        </w:rPr>
        <w:t xml:space="preserve">Supplementary Table </w:t>
      </w:r>
      <w:r w:rsidR="00324423" w:rsidRPr="00113825">
        <w:rPr>
          <w:i/>
        </w:rPr>
        <w:t>3</w:t>
      </w:r>
      <w:r w:rsidR="000D01F5" w:rsidRPr="00113825">
        <w:t xml:space="preserve">), produces </w:t>
      </w:r>
      <w:r w:rsidR="00433DC3" w:rsidRPr="00113825">
        <w:t xml:space="preserve">a rather </w:t>
      </w:r>
      <w:r w:rsidR="000D01F5" w:rsidRPr="00113825">
        <w:t>l</w:t>
      </w:r>
      <w:r w:rsidR="00433DC3" w:rsidRPr="00113825">
        <w:t>ow</w:t>
      </w:r>
      <w:r w:rsidR="000D01F5" w:rsidRPr="00113825">
        <w:t xml:space="preserve"> quantity of residues</w:t>
      </w:r>
      <w:r w:rsidR="00433DC3" w:rsidRPr="00113825">
        <w:t xml:space="preserve"> (</w:t>
      </w:r>
      <w:r w:rsidR="000D01F5" w:rsidRPr="00113825">
        <w:t xml:space="preserve">0.15 – 0.45 </w:t>
      </w:r>
      <w:r w:rsidR="006C1969" w:rsidRPr="00113825">
        <w:t>Mg</w:t>
      </w:r>
      <w:r w:rsidR="000D01F5" w:rsidRPr="00113825">
        <w:rPr>
          <w:vertAlign w:val="subscript"/>
        </w:rPr>
        <w:t xml:space="preserve">dry matter </w:t>
      </w:r>
      <w:r w:rsidR="00433DC3" w:rsidRPr="00113825">
        <w:t>y</w:t>
      </w:r>
      <w:r w:rsidR="006167B1" w:rsidRPr="00113825">
        <w:t>ea</w:t>
      </w:r>
      <w:r w:rsidR="000D01F5" w:rsidRPr="00113825">
        <w:t>r</w:t>
      </w:r>
      <w:r w:rsidR="000D01F5" w:rsidRPr="00113825">
        <w:rPr>
          <w:vertAlign w:val="superscript"/>
        </w:rPr>
        <w:t>-1</w:t>
      </w:r>
      <w:r w:rsidR="0048700D" w:rsidRPr="00113825">
        <w:t xml:space="preserve"> per pixel</w:t>
      </w:r>
      <w:r w:rsidR="00433DC3" w:rsidRPr="00113825">
        <w:t>) in comparison to other French Regions.</w:t>
      </w:r>
      <w:r w:rsidR="000D01F5" w:rsidRPr="00113825">
        <w:t xml:space="preserve"> From a mechanistic viewpoint, the only variable that contributes to the quantity of residues being l</w:t>
      </w:r>
      <w:r w:rsidR="00433DC3" w:rsidRPr="00113825">
        <w:t>ower</w:t>
      </w:r>
      <w:r w:rsidR="000D01F5" w:rsidRPr="00113825">
        <w:t xml:space="preserve"> in this region is the annual increment. Similarly, the </w:t>
      </w:r>
      <w:r w:rsidR="0048432B" w:rsidRPr="00113825">
        <w:t>s</w:t>
      </w:r>
      <w:r w:rsidR="000D01F5" w:rsidRPr="00113825">
        <w:t xml:space="preserve">outh-eastern and southern parts of France, especially in the Mediterranean basin have </w:t>
      </w:r>
      <w:r w:rsidR="00297591" w:rsidRPr="00113825">
        <w:t xml:space="preserve">a </w:t>
      </w:r>
      <w:r w:rsidR="000D01F5" w:rsidRPr="00113825">
        <w:t>lower quantity of PFRs</w:t>
      </w:r>
      <w:r w:rsidR="00885A43" w:rsidRPr="00113825">
        <w:t>, ranging</w:t>
      </w:r>
      <w:r w:rsidR="000D01F5" w:rsidRPr="00113825">
        <w:t xml:space="preserve"> from </w:t>
      </w:r>
      <w:r w:rsidR="000D01F5" w:rsidRPr="00113825">
        <w:rPr>
          <w:rFonts w:cstheme="majorHAnsi"/>
        </w:rPr>
        <w:t>≤</w:t>
      </w:r>
      <w:r w:rsidR="000D01F5" w:rsidRPr="00113825">
        <w:t xml:space="preserve"> 0.15 </w:t>
      </w:r>
      <w:r w:rsidR="006C1969" w:rsidRPr="00113825">
        <w:t>Mg</w:t>
      </w:r>
      <w:r w:rsidR="000D01F5" w:rsidRPr="00113825">
        <w:rPr>
          <w:vertAlign w:val="subscript"/>
        </w:rPr>
        <w:t xml:space="preserve">dry matter </w:t>
      </w:r>
      <w:r w:rsidR="00885A43" w:rsidRPr="00113825">
        <w:t>y</w:t>
      </w:r>
      <w:r w:rsidR="006167B1" w:rsidRPr="00113825">
        <w:t>ea</w:t>
      </w:r>
      <w:r w:rsidR="000D01F5" w:rsidRPr="00113825">
        <w:t>r</w:t>
      </w:r>
      <w:r w:rsidR="000D01F5" w:rsidRPr="00113825">
        <w:rPr>
          <w:vertAlign w:val="superscript"/>
        </w:rPr>
        <w:t>-1</w:t>
      </w:r>
      <w:r w:rsidR="000D01F5" w:rsidRPr="00113825">
        <w:t xml:space="preserve"> to 0.30 </w:t>
      </w:r>
      <w:r w:rsidR="006C1969" w:rsidRPr="00113825">
        <w:t>Mg</w:t>
      </w:r>
      <w:r w:rsidR="000D01F5" w:rsidRPr="00113825">
        <w:rPr>
          <w:vertAlign w:val="subscript"/>
        </w:rPr>
        <w:t xml:space="preserve">dry matter </w:t>
      </w:r>
      <w:r w:rsidR="00885A43" w:rsidRPr="00113825">
        <w:t>y</w:t>
      </w:r>
      <w:r w:rsidR="006167B1" w:rsidRPr="00113825">
        <w:t>ea</w:t>
      </w:r>
      <w:r w:rsidR="000D01F5" w:rsidRPr="00113825">
        <w:t>r</w:t>
      </w:r>
      <w:r w:rsidR="000D01F5" w:rsidRPr="00113825">
        <w:rPr>
          <w:vertAlign w:val="superscript"/>
        </w:rPr>
        <w:t>-1</w:t>
      </w:r>
      <w:r w:rsidR="000D01F5" w:rsidRPr="00113825">
        <w:t xml:space="preserve"> per pixel.</w:t>
      </w:r>
    </w:p>
    <w:p w14:paraId="4F123D5E" w14:textId="77777777" w:rsidR="004C7E7D" w:rsidRPr="00113825" w:rsidRDefault="004C7E7D" w:rsidP="0028125C">
      <w:pPr>
        <w:pStyle w:val="Caption"/>
        <w:rPr>
          <w:color w:val="auto"/>
        </w:rPr>
        <w:sectPr w:rsidR="004C7E7D" w:rsidRPr="00113825" w:rsidSect="009A08A6">
          <w:headerReference w:type="default" r:id="rId14"/>
          <w:pgSz w:w="11906" w:h="16838" w:code="9"/>
          <w:pgMar w:top="1417" w:right="1417" w:bottom="1417" w:left="1417" w:header="720" w:footer="596" w:gutter="0"/>
          <w:cols w:space="720"/>
          <w:docGrid w:linePitch="360"/>
        </w:sectPr>
      </w:pPr>
    </w:p>
    <w:p w14:paraId="13A07ADE" w14:textId="77777777" w:rsidR="007C32F2" w:rsidRPr="00113825" w:rsidRDefault="004C7E7D" w:rsidP="00C53CF3">
      <w:pPr>
        <w:pStyle w:val="Caption"/>
        <w:spacing w:after="120"/>
        <w:jc w:val="center"/>
        <w:rPr>
          <w:color w:val="auto"/>
        </w:rPr>
      </w:pPr>
      <w:r w:rsidRPr="00113825">
        <w:rPr>
          <w:noProof/>
          <w:color w:val="auto"/>
        </w:rPr>
        <w:lastRenderedPageBreak/>
        <w:drawing>
          <wp:inline distT="0" distB="0" distL="0" distR="0" wp14:anchorId="7643DAD7" wp14:editId="4496C216">
            <wp:extent cx="6821805" cy="5760720"/>
            <wp:effectExtent l="57150" t="57150" r="112395" b="1066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ults.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6821805" cy="57607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2" w:name="_Ref21940872"/>
    </w:p>
    <w:p w14:paraId="6425DAC1" w14:textId="34ABAEF3" w:rsidR="004C7E7D" w:rsidRPr="00113825" w:rsidRDefault="0028125C">
      <w:pPr>
        <w:pStyle w:val="Caption"/>
        <w:jc w:val="center"/>
        <w:rPr>
          <w:color w:val="auto"/>
          <w:sz w:val="20"/>
        </w:rPr>
        <w:sectPr w:rsidR="004C7E7D" w:rsidRPr="00113825" w:rsidSect="00C53CF3">
          <w:pgSz w:w="16838" w:h="11906" w:orient="landscape" w:code="9"/>
          <w:pgMar w:top="630" w:right="1417" w:bottom="630" w:left="1417" w:header="720" w:footer="596" w:gutter="0"/>
          <w:cols w:space="720"/>
          <w:docGrid w:linePitch="360"/>
        </w:sectPr>
      </w:pPr>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6</w:t>
      </w:r>
      <w:r w:rsidRPr="00113825">
        <w:rPr>
          <w:color w:val="auto"/>
          <w:sz w:val="20"/>
        </w:rPr>
        <w:fldChar w:fldCharType="end"/>
      </w:r>
      <w:bookmarkEnd w:id="12"/>
      <w:r w:rsidRPr="00113825">
        <w:rPr>
          <w:color w:val="auto"/>
          <w:sz w:val="20"/>
        </w:rPr>
        <w:t xml:space="preserve">: Theoretical potential of </w:t>
      </w:r>
      <w:r w:rsidR="008576F1" w:rsidRPr="00113825">
        <w:rPr>
          <w:color w:val="auto"/>
          <w:sz w:val="20"/>
        </w:rPr>
        <w:t xml:space="preserve">(a) </w:t>
      </w:r>
      <w:r w:rsidRPr="00113825">
        <w:rPr>
          <w:color w:val="auto"/>
          <w:sz w:val="20"/>
        </w:rPr>
        <w:t xml:space="preserve">primary forestry residues </w:t>
      </w:r>
      <w:r w:rsidR="00025B55" w:rsidRPr="00113825">
        <w:rPr>
          <w:color w:val="auto"/>
          <w:sz w:val="20"/>
        </w:rPr>
        <w:t>(</w:t>
      </w:r>
      <w:r w:rsidR="008576F1" w:rsidRPr="00113825">
        <w:rPr>
          <w:color w:val="auto"/>
          <w:sz w:val="20"/>
        </w:rPr>
        <w:t>b</w:t>
      </w:r>
      <w:r w:rsidR="00025B55" w:rsidRPr="00113825">
        <w:rPr>
          <w:color w:val="auto"/>
          <w:sz w:val="20"/>
        </w:rPr>
        <w:t xml:space="preserve">) </w:t>
      </w:r>
      <w:r w:rsidRPr="00113825">
        <w:rPr>
          <w:color w:val="auto"/>
          <w:sz w:val="20"/>
        </w:rPr>
        <w:t xml:space="preserve">with </w:t>
      </w:r>
      <w:r w:rsidR="00025B55" w:rsidRPr="00113825">
        <w:rPr>
          <w:color w:val="auto"/>
          <w:sz w:val="20"/>
        </w:rPr>
        <w:t xml:space="preserve">high </w:t>
      </w:r>
      <w:r w:rsidRPr="00113825">
        <w:rPr>
          <w:color w:val="auto"/>
          <w:sz w:val="20"/>
        </w:rPr>
        <w:t>uncertainty</w:t>
      </w:r>
      <w:r w:rsidR="00025B55" w:rsidRPr="00113825">
        <w:rPr>
          <w:color w:val="auto"/>
          <w:sz w:val="20"/>
        </w:rPr>
        <w:t xml:space="preserve"> (</w:t>
      </w:r>
      <w:r w:rsidR="008576F1" w:rsidRPr="00113825">
        <w:rPr>
          <w:color w:val="auto"/>
          <w:sz w:val="20"/>
        </w:rPr>
        <w:t>c</w:t>
      </w:r>
      <w:r w:rsidR="00025B55" w:rsidRPr="00113825">
        <w:rPr>
          <w:color w:val="auto"/>
          <w:sz w:val="20"/>
        </w:rPr>
        <w:t xml:space="preserve">) and low uncertainty </w:t>
      </w:r>
      <w:r w:rsidRPr="00113825">
        <w:rPr>
          <w:color w:val="auto"/>
          <w:sz w:val="20"/>
        </w:rPr>
        <w:t>a</w:t>
      </w:r>
      <w:r w:rsidR="00025B55" w:rsidRPr="00113825">
        <w:rPr>
          <w:color w:val="auto"/>
          <w:sz w:val="20"/>
        </w:rPr>
        <w:t>t a</w:t>
      </w:r>
      <w:r w:rsidRPr="00113825">
        <w:rPr>
          <w:color w:val="auto"/>
          <w:sz w:val="20"/>
        </w:rPr>
        <w:t xml:space="preserve"> harmonized scale </w:t>
      </w:r>
    </w:p>
    <w:p w14:paraId="725080D3" w14:textId="5ED69C90" w:rsidR="00B074C9" w:rsidRPr="00113825" w:rsidRDefault="00A00444" w:rsidP="006031C7">
      <w:pPr>
        <w:jc w:val="both"/>
      </w:pPr>
      <w:r w:rsidRPr="00113825">
        <w:rPr>
          <w:i/>
        </w:rPr>
        <w:lastRenderedPageBreak/>
        <w:fldChar w:fldCharType="begin"/>
      </w:r>
      <w:r w:rsidRPr="00113825">
        <w:rPr>
          <w:i/>
        </w:rPr>
        <w:instrText xml:space="preserve"> REF _Ref22025798 \h </w:instrText>
      </w:r>
      <w:r w:rsidR="007C32F2" w:rsidRPr="00113825">
        <w:rPr>
          <w:i/>
        </w:rPr>
        <w:instrText xml:space="preserve"> \* MERGEFORMAT </w:instrText>
      </w:r>
      <w:r w:rsidRPr="00113825">
        <w:rPr>
          <w:i/>
        </w:rPr>
      </w:r>
      <w:r w:rsidRPr="00113825">
        <w:rPr>
          <w:i/>
        </w:rPr>
        <w:fldChar w:fldCharType="separate"/>
      </w:r>
      <w:r w:rsidR="00113825" w:rsidRPr="00113825">
        <w:rPr>
          <w:i/>
        </w:rPr>
        <w:t xml:space="preserve">Figure </w:t>
      </w:r>
      <w:r w:rsidR="00113825">
        <w:rPr>
          <w:i/>
          <w:noProof/>
        </w:rPr>
        <w:t>7</w:t>
      </w:r>
      <w:r w:rsidRPr="00113825">
        <w:rPr>
          <w:i/>
        </w:rPr>
        <w:fldChar w:fldCharType="end"/>
      </w:r>
      <w:r w:rsidR="00443A41" w:rsidRPr="00113825">
        <w:t xml:space="preserve"> sho</w:t>
      </w:r>
      <w:r w:rsidR="00D6569C" w:rsidRPr="00113825">
        <w:t>ws the aggregated distribution</w:t>
      </w:r>
      <w:r w:rsidR="00443A41" w:rsidRPr="00113825">
        <w:t xml:space="preserve"> of </w:t>
      </w:r>
      <w:r w:rsidR="00291D6F" w:rsidRPr="00113825">
        <w:t xml:space="preserve">PFRs in terms of </w:t>
      </w:r>
      <w:r w:rsidR="009432CF" w:rsidRPr="00113825">
        <w:t xml:space="preserve">Million </w:t>
      </w:r>
      <w:r w:rsidR="006C1969" w:rsidRPr="00113825">
        <w:t>Mg</w:t>
      </w:r>
      <w:r w:rsidR="00291D6F" w:rsidRPr="00113825">
        <w:rPr>
          <w:vertAlign w:val="subscript"/>
        </w:rPr>
        <w:t>dry matter</w:t>
      </w:r>
      <w:r w:rsidR="00291D6F" w:rsidRPr="00113825">
        <w:t xml:space="preserve"> </w:t>
      </w:r>
      <w:r w:rsidR="006167B1" w:rsidRPr="00113825">
        <w:t>year</w:t>
      </w:r>
      <w:r w:rsidR="00291D6F" w:rsidRPr="00113825">
        <w:rPr>
          <w:vertAlign w:val="superscript"/>
        </w:rPr>
        <w:t>-1</w:t>
      </w:r>
      <w:r w:rsidR="00443A41" w:rsidRPr="00113825">
        <w:t xml:space="preserve"> to the departmental and the regional </w:t>
      </w:r>
      <w:r w:rsidR="00354AA1" w:rsidRPr="00113825">
        <w:t xml:space="preserve">administrative </w:t>
      </w:r>
      <w:r w:rsidR="00443A41" w:rsidRPr="00113825">
        <w:t>level</w:t>
      </w:r>
      <w:r w:rsidR="00291D6F" w:rsidRPr="00113825">
        <w:t>s</w:t>
      </w:r>
      <w:r w:rsidR="00025B55" w:rsidRPr="00113825">
        <w:t xml:space="preserve">, while </w:t>
      </w:r>
      <w:r w:rsidR="00765B46" w:rsidRPr="00113825">
        <w:t>Table 4</w:t>
      </w:r>
      <w:r w:rsidR="00025B55" w:rsidRPr="00113825">
        <w:t xml:space="preserve"> shows the overall absolute potentials per region</w:t>
      </w:r>
      <w:r w:rsidR="00443A41" w:rsidRPr="00113825">
        <w:t xml:space="preserve">. </w:t>
      </w:r>
      <w:r w:rsidR="00BD79CE" w:rsidRPr="00113825">
        <w:t xml:space="preserve">The total theoretically available potential of PFRs in France is about 8.4 </w:t>
      </w:r>
      <w:r w:rsidR="009432CF" w:rsidRPr="00113825">
        <w:t xml:space="preserve">Million </w:t>
      </w:r>
      <w:r w:rsidR="00EF060D" w:rsidRPr="00113825">
        <w:t>Mg</w:t>
      </w:r>
      <w:r w:rsidR="00BD79CE" w:rsidRPr="00113825">
        <w:rPr>
          <w:vertAlign w:val="subscript"/>
        </w:rPr>
        <w:t>dry matter</w:t>
      </w:r>
      <w:r w:rsidR="00BD79CE" w:rsidRPr="00113825">
        <w:t xml:space="preserve"> </w:t>
      </w:r>
      <w:r w:rsidR="006167B1" w:rsidRPr="00113825">
        <w:t>year</w:t>
      </w:r>
      <w:r w:rsidR="00BD79CE" w:rsidRPr="00113825">
        <w:rPr>
          <w:vertAlign w:val="superscript"/>
        </w:rPr>
        <w:t>-1</w:t>
      </w:r>
      <w:r w:rsidR="00761FCE" w:rsidRPr="00113825">
        <w:t xml:space="preserve">, ranging between 4.4 </w:t>
      </w:r>
      <w:r w:rsidR="009432CF" w:rsidRPr="00113825">
        <w:t xml:space="preserve">Million </w:t>
      </w:r>
      <w:r w:rsidR="00EF060D" w:rsidRPr="00113825">
        <w:t>Mg</w:t>
      </w:r>
      <w:r w:rsidR="00761FCE" w:rsidRPr="00113825">
        <w:rPr>
          <w:vertAlign w:val="subscript"/>
        </w:rPr>
        <w:t>dry matter</w:t>
      </w:r>
      <w:r w:rsidR="00761FCE" w:rsidRPr="00113825">
        <w:t xml:space="preserve"> </w:t>
      </w:r>
      <w:r w:rsidR="006167B1" w:rsidRPr="00113825">
        <w:t>year</w:t>
      </w:r>
      <w:r w:rsidR="00761FCE" w:rsidRPr="00113825">
        <w:rPr>
          <w:vertAlign w:val="superscript"/>
        </w:rPr>
        <w:t>-1</w:t>
      </w:r>
      <w:r w:rsidR="00761FCE" w:rsidRPr="00113825">
        <w:t xml:space="preserve"> with the lower values of the uncertainty range and about 13.9 </w:t>
      </w:r>
      <w:r w:rsidR="009432CF" w:rsidRPr="00113825">
        <w:t xml:space="preserve">Million </w:t>
      </w:r>
      <w:r w:rsidR="00EF060D" w:rsidRPr="00113825">
        <w:t>Mg</w:t>
      </w:r>
      <w:r w:rsidR="00761FCE" w:rsidRPr="00113825">
        <w:rPr>
          <w:vertAlign w:val="subscript"/>
        </w:rPr>
        <w:t>dry matter</w:t>
      </w:r>
      <w:r w:rsidR="00761FCE" w:rsidRPr="00113825">
        <w:t xml:space="preserve"> </w:t>
      </w:r>
      <w:r w:rsidR="006167B1" w:rsidRPr="00113825">
        <w:t>year</w:t>
      </w:r>
      <w:r w:rsidR="00761FCE" w:rsidRPr="00113825">
        <w:rPr>
          <w:vertAlign w:val="superscript"/>
        </w:rPr>
        <w:t>-1</w:t>
      </w:r>
      <w:r w:rsidR="00761FCE" w:rsidRPr="00113825">
        <w:t xml:space="preserve"> with the higher values of the uncertainty range.</w:t>
      </w:r>
      <w:r w:rsidR="00BD79CE" w:rsidRPr="00113825">
        <w:t xml:space="preserve"> </w:t>
      </w:r>
      <w:r w:rsidR="00A10849" w:rsidRPr="00113825">
        <w:t>The department</w:t>
      </w:r>
      <w:r w:rsidR="00761FCE" w:rsidRPr="00113825">
        <w:t>al</w:t>
      </w:r>
      <w:r w:rsidR="00A10849" w:rsidRPr="00113825">
        <w:t xml:space="preserve"> distribution of PFRs is </w:t>
      </w:r>
      <w:r w:rsidR="00F21DED" w:rsidRPr="00113825">
        <w:t>presented</w:t>
      </w:r>
      <w:r w:rsidR="00A10849" w:rsidRPr="00113825">
        <w:t xml:space="preserve"> in </w:t>
      </w:r>
      <w:r w:rsidR="00A10849" w:rsidRPr="00113825">
        <w:rPr>
          <w:i/>
        </w:rPr>
        <w:t xml:space="preserve">Supplementary Table </w:t>
      </w:r>
      <w:r w:rsidR="00324423" w:rsidRPr="00113825">
        <w:rPr>
          <w:i/>
        </w:rPr>
        <w:t>4</w:t>
      </w:r>
      <w:r w:rsidR="00A10849" w:rsidRPr="00113825">
        <w:t>.</w:t>
      </w:r>
      <w:r w:rsidR="00DE7223" w:rsidRPr="00113825">
        <w:t xml:space="preserve"> </w:t>
      </w:r>
      <w:r w:rsidR="00F21DED" w:rsidRPr="00113825">
        <w:t xml:space="preserve">The </w:t>
      </w:r>
      <w:r w:rsidR="001C4203" w:rsidRPr="00113825">
        <w:t xml:space="preserve">Vosges department in the region of Grand-Est has the </w:t>
      </w:r>
      <w:r w:rsidR="0021366E" w:rsidRPr="00113825">
        <w:t>greatest</w:t>
      </w:r>
      <w:r w:rsidR="001C4203" w:rsidRPr="00113825">
        <w:t xml:space="preserve"> availability of PFRs at about </w:t>
      </w:r>
      <w:r w:rsidR="0048432B" w:rsidRPr="00113825">
        <w:t>0.</w:t>
      </w:r>
      <w:r w:rsidR="001C4203" w:rsidRPr="00113825">
        <w:t>235</w:t>
      </w:r>
      <w:r w:rsidR="0048432B" w:rsidRPr="00113825">
        <w:t xml:space="preserve"> Million</w:t>
      </w:r>
      <w:r w:rsidR="001C4203" w:rsidRPr="00113825">
        <w:t xml:space="preserve"> </w:t>
      </w:r>
      <w:r w:rsidR="006C1969" w:rsidRPr="00113825">
        <w:t>Mg</w:t>
      </w:r>
      <w:r w:rsidR="001C4203" w:rsidRPr="00113825">
        <w:rPr>
          <w:vertAlign w:val="subscript"/>
        </w:rPr>
        <w:t xml:space="preserve">dry matter </w:t>
      </w:r>
      <w:r w:rsidR="006167B1" w:rsidRPr="00113825">
        <w:t>year</w:t>
      </w:r>
      <w:r w:rsidR="00BD79CE" w:rsidRPr="00113825">
        <w:rPr>
          <w:vertAlign w:val="superscript"/>
        </w:rPr>
        <w:t>-1</w:t>
      </w:r>
      <w:r w:rsidR="001C4203" w:rsidRPr="00113825">
        <w:t>.</w:t>
      </w:r>
      <w:r w:rsidR="00761FCE" w:rsidRPr="00113825">
        <w:t xml:space="preserve"> All of the regions showed high fluctuation of estimated PFRs between the lower range and higher range values, and nearly all of the higher values were approximately three times more than the lower values for all regions (</w:t>
      </w:r>
      <w:r w:rsidR="00765B46" w:rsidRPr="00113825">
        <w:t>Table 4</w:t>
      </w:r>
      <w:r w:rsidR="00761FCE" w:rsidRPr="00113825">
        <w:t>).</w:t>
      </w:r>
    </w:p>
    <w:p w14:paraId="3B190E0D" w14:textId="1068F288" w:rsidR="00761FCE" w:rsidRPr="00113825" w:rsidRDefault="000D01F5" w:rsidP="000D01F5">
      <w:pPr>
        <w:jc w:val="both"/>
      </w:pPr>
      <w:r w:rsidRPr="00113825">
        <w:rPr>
          <w:i/>
        </w:rPr>
        <w:fldChar w:fldCharType="begin"/>
      </w:r>
      <w:r w:rsidRPr="00113825">
        <w:rPr>
          <w:i/>
        </w:rPr>
        <w:instrText xml:space="preserve"> REF _Ref21963725 \h </w:instrText>
      </w:r>
      <w:r w:rsidR="007C32F2" w:rsidRPr="00113825">
        <w:rPr>
          <w:i/>
        </w:rPr>
        <w:instrText xml:space="preserve"> \* MERGEFORMAT </w:instrText>
      </w:r>
      <w:r w:rsidRPr="00113825">
        <w:rPr>
          <w:i/>
        </w:rPr>
      </w:r>
      <w:r w:rsidRPr="00113825">
        <w:rPr>
          <w:i/>
        </w:rPr>
        <w:fldChar w:fldCharType="separate"/>
      </w:r>
      <w:r w:rsidR="00113825" w:rsidRPr="00113825">
        <w:rPr>
          <w:i/>
        </w:rPr>
        <w:t xml:space="preserve">Figure </w:t>
      </w:r>
      <w:r w:rsidR="00113825" w:rsidRPr="00113825">
        <w:rPr>
          <w:i/>
          <w:noProof/>
        </w:rPr>
        <w:t>8</w:t>
      </w:r>
      <w:r w:rsidRPr="00113825">
        <w:rPr>
          <w:i/>
        </w:rPr>
        <w:fldChar w:fldCharType="end"/>
      </w:r>
      <w:r w:rsidRPr="00113825">
        <w:t xml:space="preserve"> illustrates the distribution of PFRs for private and public forests in France. A clear distinction can be made in the spatial distribution of these resources, as private forests are evenly spread across France compared to the public forests which are concentrated in the region of Grand-Est and other mountainous regions covering the French Alps and the </w:t>
      </w:r>
      <w:r w:rsidR="007E7E2E" w:rsidRPr="00113825">
        <w:t>P</w:t>
      </w:r>
      <w:r w:rsidR="006167B1" w:rsidRPr="00113825">
        <w:t>yr</w:t>
      </w:r>
      <w:r w:rsidR="007E7E2E" w:rsidRPr="00113825">
        <w:t>enees</w:t>
      </w:r>
      <w:r w:rsidRPr="00113825">
        <w:t xml:space="preserve">. Private forests having the larger share of forestland naturally produce more forestry residues compared to the public forests. The ratio of </w:t>
      </w:r>
      <w:r w:rsidR="007E7E2E" w:rsidRPr="00113825">
        <w:t xml:space="preserve">produced </w:t>
      </w:r>
      <w:r w:rsidRPr="00113825">
        <w:t xml:space="preserve">PFRs for private and public forests is almost 3:1. The cumulative amount of PFRs available from private forests in a </w:t>
      </w:r>
      <w:r w:rsidR="006167B1" w:rsidRPr="00113825">
        <w:t>year</w:t>
      </w:r>
      <w:r w:rsidRPr="00113825">
        <w:t xml:space="preserve"> is almost 6.2 Million </w:t>
      </w:r>
      <w:r w:rsidR="006C1969" w:rsidRPr="00113825">
        <w:t>Mg</w:t>
      </w:r>
      <w:r w:rsidRPr="00113825">
        <w:rPr>
          <w:vertAlign w:val="subscript"/>
        </w:rPr>
        <w:t>dry mater</w:t>
      </w:r>
      <w:r w:rsidRPr="00113825">
        <w:t xml:space="preserve">, compared to approximately 2.1 Million </w:t>
      </w:r>
      <w:r w:rsidR="006C1969" w:rsidRPr="00113825">
        <w:t>Mg</w:t>
      </w:r>
      <w:r w:rsidRPr="00113825">
        <w:rPr>
          <w:vertAlign w:val="subscript"/>
        </w:rPr>
        <w:t>dry matter</w:t>
      </w:r>
      <w:r w:rsidRPr="00113825">
        <w:t xml:space="preserve"> for public forests (</w:t>
      </w:r>
      <w:r w:rsidR="00765B46" w:rsidRPr="00113825">
        <w:t>Table 4</w:t>
      </w:r>
      <w:r w:rsidRPr="00113825">
        <w:t xml:space="preserve">). </w:t>
      </w:r>
    </w:p>
    <w:p w14:paraId="11AC8865" w14:textId="03F57663" w:rsidR="00861BDB" w:rsidRPr="00113825" w:rsidRDefault="00861BDB" w:rsidP="00C53CF3">
      <w:pPr>
        <w:spacing w:after="120" w:line="240" w:lineRule="auto"/>
        <w:jc w:val="both"/>
      </w:pPr>
      <w:r w:rsidRPr="00113825">
        <w:rPr>
          <w:noProof/>
        </w:rPr>
        <w:drawing>
          <wp:inline distT="0" distB="0" distL="0" distR="0" wp14:anchorId="7ACB6377" wp14:editId="1C39E677">
            <wp:extent cx="5760720" cy="25507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ion_Depart.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760720" cy="2550795"/>
                    </a:xfrm>
                    <a:prstGeom prst="rect">
                      <a:avLst/>
                    </a:prstGeom>
                  </pic:spPr>
                </pic:pic>
              </a:graphicData>
            </a:graphic>
          </wp:inline>
        </w:drawing>
      </w:r>
    </w:p>
    <w:p w14:paraId="1A78D31B" w14:textId="2DEEF3B1" w:rsidR="00EE20D3" w:rsidRPr="00113825" w:rsidRDefault="0041137B" w:rsidP="00C53CF3">
      <w:pPr>
        <w:jc w:val="center"/>
      </w:pPr>
      <w:bookmarkStart w:id="13" w:name="_Ref22025798"/>
      <w:r w:rsidRPr="00113825">
        <w:rPr>
          <w:i/>
        </w:rPr>
        <w:t xml:space="preserve">Figure </w:t>
      </w:r>
      <w:r w:rsidRPr="00113825">
        <w:rPr>
          <w:i/>
        </w:rPr>
        <w:fldChar w:fldCharType="begin"/>
      </w:r>
      <w:r w:rsidRPr="00113825">
        <w:rPr>
          <w:i/>
        </w:rPr>
        <w:instrText xml:space="preserve"> SEQ Figure \* ARABIC </w:instrText>
      </w:r>
      <w:r w:rsidRPr="00113825">
        <w:rPr>
          <w:i/>
        </w:rPr>
        <w:fldChar w:fldCharType="separate"/>
      </w:r>
      <w:r w:rsidR="00113825">
        <w:rPr>
          <w:i/>
          <w:noProof/>
        </w:rPr>
        <w:t>7</w:t>
      </w:r>
      <w:r w:rsidRPr="00113825">
        <w:rPr>
          <w:i/>
        </w:rPr>
        <w:fldChar w:fldCharType="end"/>
      </w:r>
      <w:bookmarkEnd w:id="13"/>
      <w:r w:rsidRPr="00113825">
        <w:rPr>
          <w:i/>
        </w:rPr>
        <w:t>: Distribution of PRFs aggregated to departmental and regional administrative levels</w:t>
      </w:r>
    </w:p>
    <w:p w14:paraId="6A6B6D1B" w14:textId="0825E5CF" w:rsidR="00F21DED" w:rsidRPr="00113825" w:rsidRDefault="004C7E7D" w:rsidP="00C53CF3">
      <w:pPr>
        <w:keepNext/>
        <w:spacing w:after="120" w:line="240" w:lineRule="auto"/>
        <w:jc w:val="both"/>
      </w:pPr>
      <w:r w:rsidRPr="00113825">
        <w:rPr>
          <w:noProof/>
        </w:rPr>
        <w:drawing>
          <wp:inline distT="0" distB="0" distL="0" distR="0" wp14:anchorId="30EDEE79" wp14:editId="7DB0C899">
            <wp:extent cx="5760720" cy="25507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blic Private.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760720" cy="2550795"/>
                    </a:xfrm>
                    <a:prstGeom prst="rect">
                      <a:avLst/>
                    </a:prstGeom>
                  </pic:spPr>
                </pic:pic>
              </a:graphicData>
            </a:graphic>
          </wp:inline>
        </w:drawing>
      </w:r>
    </w:p>
    <w:p w14:paraId="79DDCDB1" w14:textId="648D8A9F" w:rsidR="00F21DED" w:rsidRPr="00113825" w:rsidRDefault="00F21DED" w:rsidP="00C53CF3">
      <w:pPr>
        <w:pStyle w:val="Caption"/>
        <w:jc w:val="center"/>
        <w:rPr>
          <w:color w:val="auto"/>
        </w:rPr>
      </w:pPr>
      <w:bookmarkStart w:id="14" w:name="_Ref21963725"/>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8</w:t>
      </w:r>
      <w:r w:rsidRPr="00113825">
        <w:rPr>
          <w:color w:val="auto"/>
          <w:sz w:val="20"/>
        </w:rPr>
        <w:fldChar w:fldCharType="end"/>
      </w:r>
      <w:bookmarkEnd w:id="14"/>
      <w:r w:rsidRPr="00113825">
        <w:rPr>
          <w:color w:val="auto"/>
          <w:sz w:val="20"/>
        </w:rPr>
        <w:t xml:space="preserve">: Distribution of </w:t>
      </w:r>
      <w:r w:rsidR="007E7E2E" w:rsidRPr="00113825">
        <w:rPr>
          <w:color w:val="auto"/>
          <w:sz w:val="20"/>
        </w:rPr>
        <w:t>PFRs</w:t>
      </w:r>
      <w:r w:rsidRPr="00113825">
        <w:rPr>
          <w:color w:val="auto"/>
          <w:sz w:val="20"/>
        </w:rPr>
        <w:t xml:space="preserve"> for private and public forests of France</w:t>
      </w:r>
    </w:p>
    <w:p w14:paraId="4A9C054B" w14:textId="77777777" w:rsidR="00E52D33" w:rsidRPr="00113825" w:rsidRDefault="00E52D33" w:rsidP="006167B1">
      <w:pPr>
        <w:rPr>
          <w:i/>
        </w:rPr>
      </w:pPr>
      <w:bookmarkStart w:id="15" w:name="_Ref26868370"/>
    </w:p>
    <w:p w14:paraId="51FA5755" w14:textId="77777777" w:rsidR="00E52D33" w:rsidRPr="00113825" w:rsidRDefault="00E52D33" w:rsidP="006167B1">
      <w:pPr>
        <w:rPr>
          <w:i/>
        </w:rPr>
      </w:pPr>
    </w:p>
    <w:p w14:paraId="5C88543E" w14:textId="22705194" w:rsidR="00D05877" w:rsidRPr="00113825" w:rsidRDefault="00D05877" w:rsidP="006167B1">
      <w:pPr>
        <w:rPr>
          <w:i/>
          <w:vertAlign w:val="superscript"/>
        </w:rPr>
      </w:pPr>
      <w:r w:rsidRPr="00113825">
        <w:rPr>
          <w:i/>
        </w:rPr>
        <w:lastRenderedPageBreak/>
        <w:t xml:space="preserve">Table </w:t>
      </w:r>
      <w:r w:rsidRPr="00113825">
        <w:rPr>
          <w:i/>
        </w:rPr>
        <w:fldChar w:fldCharType="begin"/>
      </w:r>
      <w:r w:rsidRPr="00113825">
        <w:rPr>
          <w:i/>
        </w:rPr>
        <w:instrText xml:space="preserve"> SEQ Table \* ARABIC </w:instrText>
      </w:r>
      <w:r w:rsidRPr="00113825">
        <w:rPr>
          <w:i/>
        </w:rPr>
        <w:fldChar w:fldCharType="separate"/>
      </w:r>
      <w:r w:rsidR="00113825">
        <w:rPr>
          <w:i/>
          <w:noProof/>
        </w:rPr>
        <w:t>4</w:t>
      </w:r>
      <w:r w:rsidRPr="00113825">
        <w:rPr>
          <w:i/>
        </w:rPr>
        <w:fldChar w:fldCharType="end"/>
      </w:r>
      <w:bookmarkEnd w:id="15"/>
      <w:r w:rsidRPr="00113825">
        <w:rPr>
          <w:i/>
        </w:rPr>
        <w:t>: Absolute PFRs produced per region, in</w:t>
      </w:r>
      <w:r w:rsidR="006C1969" w:rsidRPr="00113825">
        <w:rPr>
          <w:i/>
        </w:rPr>
        <w:t xml:space="preserve"> Million</w:t>
      </w:r>
      <w:r w:rsidRPr="00113825">
        <w:rPr>
          <w:i/>
        </w:rPr>
        <w:t xml:space="preserve"> </w:t>
      </w:r>
      <w:r w:rsidR="006C1969" w:rsidRPr="00113825">
        <w:rPr>
          <w:i/>
        </w:rPr>
        <w:t>Mg</w:t>
      </w:r>
      <w:r w:rsidRPr="00113825">
        <w:rPr>
          <w:i/>
          <w:vertAlign w:val="subscript"/>
        </w:rPr>
        <w:t>dry matter</w:t>
      </w:r>
      <w:r w:rsidR="006C1969" w:rsidRPr="00113825">
        <w:rPr>
          <w:i/>
          <w:vertAlign w:val="subscript"/>
        </w:rPr>
        <w:t xml:space="preserve"> </w:t>
      </w:r>
      <w:r w:rsidR="006167B1" w:rsidRPr="00113825">
        <w:rPr>
          <w:i/>
        </w:rPr>
        <w:t>year</w:t>
      </w:r>
      <w:r w:rsidR="006C1969" w:rsidRPr="00113825">
        <w:rPr>
          <w:i/>
          <w:vertAlign w:val="superscript"/>
        </w:rPr>
        <w:t>-1</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050"/>
        <w:gridCol w:w="1417"/>
        <w:gridCol w:w="1118"/>
        <w:gridCol w:w="1080"/>
        <w:gridCol w:w="1170"/>
        <w:gridCol w:w="1080"/>
      </w:tblGrid>
      <w:tr w:rsidR="00DE6E0A" w:rsidRPr="00113825" w14:paraId="4DE63AF6" w14:textId="77777777" w:rsidTr="00C53CF3">
        <w:trPr>
          <w:jc w:val="center"/>
        </w:trPr>
        <w:tc>
          <w:tcPr>
            <w:tcW w:w="0" w:type="auto"/>
            <w:shd w:val="clear" w:color="auto" w:fill="FFC000"/>
          </w:tcPr>
          <w:p w14:paraId="2A80512F" w14:textId="6FB55517" w:rsidR="001C4203" w:rsidRPr="00113825" w:rsidRDefault="001C4203" w:rsidP="00B02CE5">
            <w:pPr>
              <w:rPr>
                <w:b/>
                <w:sz w:val="16"/>
                <w:szCs w:val="16"/>
              </w:rPr>
            </w:pPr>
          </w:p>
        </w:tc>
        <w:tc>
          <w:tcPr>
            <w:tcW w:w="5865" w:type="dxa"/>
            <w:gridSpan w:val="5"/>
            <w:shd w:val="clear" w:color="auto" w:fill="FFC000"/>
          </w:tcPr>
          <w:p w14:paraId="673F6BAF" w14:textId="3E868451" w:rsidR="001C4203" w:rsidRPr="00113825" w:rsidRDefault="006C1969" w:rsidP="00C53CF3">
            <w:pPr>
              <w:jc w:val="center"/>
              <w:rPr>
                <w:b/>
                <w:sz w:val="16"/>
                <w:szCs w:val="16"/>
                <w:vertAlign w:val="superscript"/>
              </w:rPr>
            </w:pPr>
            <w:r w:rsidRPr="00113825">
              <w:rPr>
                <w:b/>
                <w:sz w:val="16"/>
                <w:szCs w:val="16"/>
              </w:rPr>
              <w:t>Million Mg</w:t>
            </w:r>
            <w:r w:rsidR="001C4203" w:rsidRPr="00113825">
              <w:rPr>
                <w:b/>
                <w:sz w:val="16"/>
                <w:szCs w:val="16"/>
                <w:vertAlign w:val="subscript"/>
              </w:rPr>
              <w:t>dry matter</w:t>
            </w:r>
            <w:r w:rsidR="001C4203" w:rsidRPr="00113825">
              <w:rPr>
                <w:b/>
                <w:sz w:val="16"/>
                <w:szCs w:val="16"/>
              </w:rPr>
              <w:t xml:space="preserve"> y</w:t>
            </w:r>
            <w:r w:rsidRPr="00113825">
              <w:rPr>
                <w:b/>
                <w:sz w:val="16"/>
                <w:szCs w:val="16"/>
              </w:rPr>
              <w:t>ear</w:t>
            </w:r>
            <w:r w:rsidR="001C4203" w:rsidRPr="00113825">
              <w:rPr>
                <w:b/>
                <w:sz w:val="16"/>
                <w:szCs w:val="16"/>
                <w:vertAlign w:val="superscript"/>
              </w:rPr>
              <w:t>-1</w:t>
            </w:r>
          </w:p>
        </w:tc>
      </w:tr>
      <w:tr w:rsidR="00DE6E0A" w:rsidRPr="00113825" w14:paraId="1A45A262" w14:textId="72F941B3" w:rsidTr="00C53CF3">
        <w:trPr>
          <w:jc w:val="center"/>
        </w:trPr>
        <w:tc>
          <w:tcPr>
            <w:tcW w:w="2050" w:type="dxa"/>
            <w:shd w:val="clear" w:color="auto" w:fill="FFC000"/>
          </w:tcPr>
          <w:p w14:paraId="4F14267F" w14:textId="4FE397EA" w:rsidR="001C4203" w:rsidRPr="00113825" w:rsidRDefault="001C4203" w:rsidP="00B02CE5">
            <w:r w:rsidRPr="00113825">
              <w:rPr>
                <w:b/>
                <w:sz w:val="16"/>
                <w:szCs w:val="16"/>
              </w:rPr>
              <w:t>Region Name</w:t>
            </w:r>
          </w:p>
        </w:tc>
        <w:tc>
          <w:tcPr>
            <w:tcW w:w="1417" w:type="dxa"/>
            <w:shd w:val="clear" w:color="auto" w:fill="FFC000"/>
          </w:tcPr>
          <w:p w14:paraId="046185F6" w14:textId="046C8D6C" w:rsidR="001C4203" w:rsidRPr="00113825" w:rsidDel="001C4203" w:rsidRDefault="001C4203" w:rsidP="001C4203">
            <w:pPr>
              <w:jc w:val="center"/>
              <w:rPr>
                <w:b/>
                <w:sz w:val="16"/>
                <w:szCs w:val="16"/>
              </w:rPr>
            </w:pPr>
            <w:r w:rsidRPr="00113825">
              <w:rPr>
                <w:b/>
                <w:sz w:val="16"/>
                <w:szCs w:val="16"/>
              </w:rPr>
              <w:t>Available Potential</w:t>
            </w:r>
          </w:p>
        </w:tc>
        <w:tc>
          <w:tcPr>
            <w:tcW w:w="1118" w:type="dxa"/>
            <w:shd w:val="clear" w:color="auto" w:fill="FFC000"/>
          </w:tcPr>
          <w:p w14:paraId="5315B286" w14:textId="0871F5EB" w:rsidR="001C4203" w:rsidRPr="00113825" w:rsidRDefault="001C4203" w:rsidP="00C53CF3">
            <w:pPr>
              <w:jc w:val="center"/>
            </w:pPr>
            <w:r w:rsidRPr="00113825">
              <w:rPr>
                <w:b/>
                <w:sz w:val="16"/>
                <w:szCs w:val="16"/>
              </w:rPr>
              <w:t>Lower Range</w:t>
            </w:r>
          </w:p>
        </w:tc>
        <w:tc>
          <w:tcPr>
            <w:tcW w:w="1080" w:type="dxa"/>
            <w:shd w:val="clear" w:color="auto" w:fill="FFC000"/>
          </w:tcPr>
          <w:p w14:paraId="67A75A71" w14:textId="16F3EBDA" w:rsidR="001C4203" w:rsidRPr="00113825" w:rsidRDefault="001C4203" w:rsidP="00B02CE5">
            <w:r w:rsidRPr="00113825">
              <w:rPr>
                <w:b/>
                <w:sz w:val="16"/>
                <w:szCs w:val="16"/>
              </w:rPr>
              <w:t>Higher Range</w:t>
            </w:r>
          </w:p>
        </w:tc>
        <w:tc>
          <w:tcPr>
            <w:tcW w:w="1170" w:type="dxa"/>
            <w:shd w:val="clear" w:color="auto" w:fill="FFC000"/>
          </w:tcPr>
          <w:p w14:paraId="7B1234AF" w14:textId="39BCED53" w:rsidR="001C4203" w:rsidRPr="00113825" w:rsidRDefault="001C4203" w:rsidP="00B02CE5">
            <w:pPr>
              <w:rPr>
                <w:b/>
                <w:sz w:val="16"/>
                <w:szCs w:val="16"/>
              </w:rPr>
            </w:pPr>
            <w:r w:rsidRPr="00113825">
              <w:rPr>
                <w:b/>
                <w:sz w:val="16"/>
                <w:szCs w:val="16"/>
              </w:rPr>
              <w:t>Private Forests</w:t>
            </w:r>
          </w:p>
        </w:tc>
        <w:tc>
          <w:tcPr>
            <w:tcW w:w="1080" w:type="dxa"/>
            <w:shd w:val="clear" w:color="auto" w:fill="FFC000"/>
          </w:tcPr>
          <w:p w14:paraId="5F5A564E" w14:textId="0E292C23" w:rsidR="001C4203" w:rsidRPr="00113825" w:rsidRDefault="001C4203" w:rsidP="00B02CE5">
            <w:pPr>
              <w:rPr>
                <w:b/>
                <w:sz w:val="16"/>
                <w:szCs w:val="16"/>
              </w:rPr>
            </w:pPr>
            <w:r w:rsidRPr="00113825">
              <w:rPr>
                <w:b/>
                <w:sz w:val="16"/>
                <w:szCs w:val="16"/>
              </w:rPr>
              <w:t>Public Forest</w:t>
            </w:r>
          </w:p>
        </w:tc>
      </w:tr>
      <w:tr w:rsidR="00DE6E0A" w:rsidRPr="00113825" w14:paraId="0C9575D3" w14:textId="27ADC5EE" w:rsidTr="00C53CF3">
        <w:trPr>
          <w:jc w:val="center"/>
        </w:trPr>
        <w:tc>
          <w:tcPr>
            <w:tcW w:w="0" w:type="auto"/>
            <w:vAlign w:val="center"/>
          </w:tcPr>
          <w:p w14:paraId="7C734158" w14:textId="06D919DF" w:rsidR="006C1969" w:rsidRPr="00113825" w:rsidRDefault="006C1969" w:rsidP="006C1969">
            <w:r w:rsidRPr="00113825">
              <w:rPr>
                <w:sz w:val="16"/>
                <w:szCs w:val="16"/>
              </w:rPr>
              <w:t>Auvergne-Rhône-Alpes</w:t>
            </w:r>
          </w:p>
        </w:tc>
        <w:tc>
          <w:tcPr>
            <w:tcW w:w="0" w:type="auto"/>
          </w:tcPr>
          <w:p w14:paraId="0073C29D" w14:textId="26ABB581" w:rsidR="006C1969" w:rsidRPr="00113825" w:rsidRDefault="006C1969" w:rsidP="006C1969">
            <w:pPr>
              <w:jc w:val="right"/>
              <w:rPr>
                <w:rFonts w:cstheme="majorHAnsi"/>
                <w:sz w:val="16"/>
                <w:szCs w:val="16"/>
              </w:rPr>
            </w:pPr>
            <w:r w:rsidRPr="00113825">
              <w:rPr>
                <w:rFonts w:cstheme="majorHAnsi"/>
                <w:sz w:val="16"/>
                <w:szCs w:val="16"/>
              </w:rPr>
              <w:t>1.316</w:t>
            </w:r>
          </w:p>
        </w:tc>
        <w:tc>
          <w:tcPr>
            <w:tcW w:w="0" w:type="auto"/>
          </w:tcPr>
          <w:p w14:paraId="6C9ED290" w14:textId="31A81D04" w:rsidR="006C1969" w:rsidRPr="00113825" w:rsidRDefault="006C1969" w:rsidP="00C53CF3">
            <w:pPr>
              <w:jc w:val="right"/>
              <w:rPr>
                <w:rFonts w:cstheme="majorHAnsi"/>
                <w:sz w:val="16"/>
                <w:szCs w:val="16"/>
              </w:rPr>
            </w:pPr>
            <w:r w:rsidRPr="00113825">
              <w:rPr>
                <w:rFonts w:cstheme="majorHAnsi"/>
                <w:sz w:val="16"/>
                <w:szCs w:val="16"/>
              </w:rPr>
              <w:t>0.708</w:t>
            </w:r>
          </w:p>
        </w:tc>
        <w:tc>
          <w:tcPr>
            <w:tcW w:w="1080" w:type="dxa"/>
          </w:tcPr>
          <w:p w14:paraId="4FA1C87E" w14:textId="284CDF43" w:rsidR="006C1969" w:rsidRPr="00113825" w:rsidRDefault="006C1969" w:rsidP="00C53CF3">
            <w:pPr>
              <w:jc w:val="right"/>
              <w:rPr>
                <w:rFonts w:cstheme="majorHAnsi"/>
                <w:sz w:val="16"/>
                <w:szCs w:val="16"/>
              </w:rPr>
            </w:pPr>
            <w:r w:rsidRPr="00113825">
              <w:rPr>
                <w:rFonts w:cstheme="majorHAnsi"/>
                <w:sz w:val="16"/>
                <w:szCs w:val="16"/>
              </w:rPr>
              <w:t>2.292</w:t>
            </w:r>
          </w:p>
        </w:tc>
        <w:tc>
          <w:tcPr>
            <w:tcW w:w="1170" w:type="dxa"/>
          </w:tcPr>
          <w:p w14:paraId="28D9E9AE" w14:textId="40FC29DC" w:rsidR="006C1969" w:rsidRPr="00113825" w:rsidRDefault="006C1969" w:rsidP="006C1969">
            <w:pPr>
              <w:jc w:val="right"/>
              <w:rPr>
                <w:rFonts w:cstheme="majorHAnsi"/>
                <w:sz w:val="16"/>
                <w:szCs w:val="16"/>
              </w:rPr>
            </w:pPr>
            <w:r w:rsidRPr="00113825">
              <w:rPr>
                <w:rFonts w:cstheme="majorHAnsi"/>
                <w:sz w:val="16"/>
                <w:szCs w:val="16"/>
              </w:rPr>
              <w:t>1.067</w:t>
            </w:r>
          </w:p>
        </w:tc>
        <w:tc>
          <w:tcPr>
            <w:tcW w:w="1080" w:type="dxa"/>
          </w:tcPr>
          <w:p w14:paraId="508EFBE6" w14:textId="2F3A7D35" w:rsidR="006C1969" w:rsidRPr="00113825" w:rsidRDefault="006C1969" w:rsidP="006C1969">
            <w:pPr>
              <w:jc w:val="right"/>
              <w:rPr>
                <w:rFonts w:cstheme="majorHAnsi"/>
                <w:sz w:val="16"/>
                <w:szCs w:val="16"/>
              </w:rPr>
            </w:pPr>
            <w:r w:rsidRPr="00113825">
              <w:rPr>
                <w:rFonts w:cstheme="majorHAnsi"/>
                <w:sz w:val="16"/>
                <w:szCs w:val="16"/>
              </w:rPr>
              <w:t>0.249</w:t>
            </w:r>
          </w:p>
        </w:tc>
      </w:tr>
      <w:tr w:rsidR="00DE6E0A" w:rsidRPr="00113825" w14:paraId="0397FB9F" w14:textId="1862887D" w:rsidTr="00C53CF3">
        <w:trPr>
          <w:jc w:val="center"/>
        </w:trPr>
        <w:tc>
          <w:tcPr>
            <w:tcW w:w="0" w:type="auto"/>
            <w:vAlign w:val="center"/>
          </w:tcPr>
          <w:p w14:paraId="5CD5D048" w14:textId="6EF538E3" w:rsidR="006C1969" w:rsidRPr="00113825" w:rsidRDefault="006C1969" w:rsidP="006C1969">
            <w:r w:rsidRPr="00113825">
              <w:rPr>
                <w:sz w:val="16"/>
                <w:szCs w:val="16"/>
              </w:rPr>
              <w:t>Bourgogne-Franche-Comté</w:t>
            </w:r>
          </w:p>
        </w:tc>
        <w:tc>
          <w:tcPr>
            <w:tcW w:w="0" w:type="auto"/>
          </w:tcPr>
          <w:p w14:paraId="65FA6329" w14:textId="71E22FE5" w:rsidR="006C1969" w:rsidRPr="00113825" w:rsidRDefault="006C1969" w:rsidP="006C1969">
            <w:pPr>
              <w:jc w:val="right"/>
              <w:rPr>
                <w:rFonts w:cstheme="majorHAnsi"/>
                <w:sz w:val="16"/>
                <w:szCs w:val="16"/>
              </w:rPr>
            </w:pPr>
            <w:r w:rsidRPr="00113825">
              <w:rPr>
                <w:rFonts w:cstheme="majorHAnsi"/>
                <w:sz w:val="16"/>
                <w:szCs w:val="16"/>
              </w:rPr>
              <w:t>1.160</w:t>
            </w:r>
          </w:p>
        </w:tc>
        <w:tc>
          <w:tcPr>
            <w:tcW w:w="0" w:type="auto"/>
          </w:tcPr>
          <w:p w14:paraId="11A42F94" w14:textId="0E82529F" w:rsidR="006C1969" w:rsidRPr="00113825" w:rsidRDefault="006C1969" w:rsidP="00C53CF3">
            <w:pPr>
              <w:jc w:val="right"/>
              <w:rPr>
                <w:rFonts w:cstheme="majorHAnsi"/>
                <w:sz w:val="16"/>
                <w:szCs w:val="16"/>
              </w:rPr>
            </w:pPr>
            <w:r w:rsidRPr="00113825">
              <w:rPr>
                <w:rFonts w:cstheme="majorHAnsi"/>
                <w:sz w:val="16"/>
                <w:szCs w:val="16"/>
              </w:rPr>
              <w:t>0.603</w:t>
            </w:r>
          </w:p>
        </w:tc>
        <w:tc>
          <w:tcPr>
            <w:tcW w:w="1080" w:type="dxa"/>
          </w:tcPr>
          <w:p w14:paraId="462B3B8A" w14:textId="2CDF7BB8" w:rsidR="006C1969" w:rsidRPr="00113825" w:rsidRDefault="006C1969" w:rsidP="00C53CF3">
            <w:pPr>
              <w:jc w:val="right"/>
              <w:rPr>
                <w:rFonts w:cstheme="majorHAnsi"/>
                <w:sz w:val="16"/>
                <w:szCs w:val="16"/>
              </w:rPr>
            </w:pPr>
            <w:r w:rsidRPr="00113825">
              <w:rPr>
                <w:rFonts w:cstheme="majorHAnsi"/>
                <w:sz w:val="16"/>
                <w:szCs w:val="16"/>
              </w:rPr>
              <w:t>1.894</w:t>
            </w:r>
          </w:p>
        </w:tc>
        <w:tc>
          <w:tcPr>
            <w:tcW w:w="1170" w:type="dxa"/>
          </w:tcPr>
          <w:p w14:paraId="06E8D7A7" w14:textId="1F673475" w:rsidR="006C1969" w:rsidRPr="00113825" w:rsidRDefault="006C1969" w:rsidP="006C1969">
            <w:pPr>
              <w:jc w:val="right"/>
              <w:rPr>
                <w:rFonts w:cstheme="majorHAnsi"/>
                <w:sz w:val="16"/>
                <w:szCs w:val="16"/>
              </w:rPr>
            </w:pPr>
            <w:r w:rsidRPr="00113825">
              <w:rPr>
                <w:rFonts w:cstheme="majorHAnsi"/>
                <w:sz w:val="16"/>
                <w:szCs w:val="16"/>
              </w:rPr>
              <w:t>0.710</w:t>
            </w:r>
          </w:p>
        </w:tc>
        <w:tc>
          <w:tcPr>
            <w:tcW w:w="1080" w:type="dxa"/>
          </w:tcPr>
          <w:p w14:paraId="171AE666" w14:textId="5554358F" w:rsidR="006C1969" w:rsidRPr="00113825" w:rsidRDefault="006C1969" w:rsidP="006C1969">
            <w:pPr>
              <w:jc w:val="right"/>
              <w:rPr>
                <w:rFonts w:cstheme="majorHAnsi"/>
                <w:sz w:val="16"/>
                <w:szCs w:val="16"/>
              </w:rPr>
            </w:pPr>
            <w:r w:rsidRPr="00113825">
              <w:rPr>
                <w:rFonts w:cstheme="majorHAnsi"/>
                <w:sz w:val="16"/>
                <w:szCs w:val="16"/>
              </w:rPr>
              <w:t>0.450</w:t>
            </w:r>
          </w:p>
        </w:tc>
      </w:tr>
      <w:tr w:rsidR="00DE6E0A" w:rsidRPr="00113825" w14:paraId="57B3139D" w14:textId="7E05995D" w:rsidTr="00C53CF3">
        <w:trPr>
          <w:jc w:val="center"/>
        </w:trPr>
        <w:tc>
          <w:tcPr>
            <w:tcW w:w="0" w:type="auto"/>
            <w:vAlign w:val="center"/>
          </w:tcPr>
          <w:p w14:paraId="789CB81C" w14:textId="50BAA245" w:rsidR="006C1969" w:rsidRPr="00113825" w:rsidRDefault="006C1969" w:rsidP="006C1969">
            <w:r w:rsidRPr="00113825">
              <w:rPr>
                <w:sz w:val="16"/>
                <w:szCs w:val="16"/>
              </w:rPr>
              <w:t>Bretagne</w:t>
            </w:r>
          </w:p>
        </w:tc>
        <w:tc>
          <w:tcPr>
            <w:tcW w:w="0" w:type="auto"/>
          </w:tcPr>
          <w:p w14:paraId="0D6EF397" w14:textId="1A978C9D" w:rsidR="006C1969" w:rsidRPr="00113825" w:rsidRDefault="006C1969" w:rsidP="006C1969">
            <w:pPr>
              <w:jc w:val="right"/>
              <w:rPr>
                <w:rFonts w:cstheme="majorHAnsi"/>
                <w:sz w:val="16"/>
                <w:szCs w:val="16"/>
              </w:rPr>
            </w:pPr>
            <w:r w:rsidRPr="00113825">
              <w:rPr>
                <w:rFonts w:cstheme="majorHAnsi"/>
                <w:sz w:val="16"/>
                <w:szCs w:val="16"/>
              </w:rPr>
              <w:t>0.267</w:t>
            </w:r>
          </w:p>
        </w:tc>
        <w:tc>
          <w:tcPr>
            <w:tcW w:w="0" w:type="auto"/>
          </w:tcPr>
          <w:p w14:paraId="2F4FF09A" w14:textId="55444273" w:rsidR="006C1969" w:rsidRPr="00113825" w:rsidRDefault="006C1969" w:rsidP="00C53CF3">
            <w:pPr>
              <w:jc w:val="right"/>
              <w:rPr>
                <w:rFonts w:cstheme="majorHAnsi"/>
                <w:sz w:val="16"/>
                <w:szCs w:val="16"/>
              </w:rPr>
            </w:pPr>
            <w:r w:rsidRPr="00113825">
              <w:rPr>
                <w:rFonts w:cstheme="majorHAnsi"/>
                <w:sz w:val="16"/>
                <w:szCs w:val="16"/>
              </w:rPr>
              <w:t>0.138</w:t>
            </w:r>
          </w:p>
        </w:tc>
        <w:tc>
          <w:tcPr>
            <w:tcW w:w="1080" w:type="dxa"/>
          </w:tcPr>
          <w:p w14:paraId="025A27BC" w14:textId="02C3E397" w:rsidR="006C1969" w:rsidRPr="00113825" w:rsidRDefault="006C1969" w:rsidP="00C53CF3">
            <w:pPr>
              <w:jc w:val="right"/>
              <w:rPr>
                <w:rFonts w:cstheme="majorHAnsi"/>
                <w:sz w:val="16"/>
                <w:szCs w:val="16"/>
              </w:rPr>
            </w:pPr>
            <w:r w:rsidRPr="00113825">
              <w:rPr>
                <w:rFonts w:cstheme="majorHAnsi"/>
                <w:sz w:val="16"/>
                <w:szCs w:val="16"/>
              </w:rPr>
              <w:t>0.437</w:t>
            </w:r>
          </w:p>
        </w:tc>
        <w:tc>
          <w:tcPr>
            <w:tcW w:w="1170" w:type="dxa"/>
          </w:tcPr>
          <w:p w14:paraId="4F674D2C" w14:textId="1CB2B1E4" w:rsidR="006C1969" w:rsidRPr="00113825" w:rsidRDefault="006C1969" w:rsidP="006C1969">
            <w:pPr>
              <w:jc w:val="right"/>
              <w:rPr>
                <w:rFonts w:cstheme="majorHAnsi"/>
                <w:sz w:val="16"/>
                <w:szCs w:val="16"/>
              </w:rPr>
            </w:pPr>
            <w:r w:rsidRPr="00113825">
              <w:rPr>
                <w:rFonts w:cstheme="majorHAnsi"/>
                <w:sz w:val="16"/>
                <w:szCs w:val="16"/>
              </w:rPr>
              <w:t>0.248</w:t>
            </w:r>
          </w:p>
        </w:tc>
        <w:tc>
          <w:tcPr>
            <w:tcW w:w="1080" w:type="dxa"/>
          </w:tcPr>
          <w:p w14:paraId="37D97B79" w14:textId="0E5F296F" w:rsidR="006C1969" w:rsidRPr="00113825" w:rsidRDefault="006C1969" w:rsidP="006C1969">
            <w:pPr>
              <w:jc w:val="right"/>
              <w:rPr>
                <w:rFonts w:cstheme="majorHAnsi"/>
                <w:sz w:val="16"/>
                <w:szCs w:val="16"/>
              </w:rPr>
            </w:pPr>
            <w:r w:rsidRPr="00113825">
              <w:rPr>
                <w:rFonts w:cstheme="majorHAnsi"/>
                <w:sz w:val="16"/>
                <w:szCs w:val="16"/>
              </w:rPr>
              <w:t>0.019</w:t>
            </w:r>
          </w:p>
        </w:tc>
      </w:tr>
      <w:tr w:rsidR="00DE6E0A" w:rsidRPr="00113825" w14:paraId="76415B84" w14:textId="2D62A002" w:rsidTr="00C53CF3">
        <w:trPr>
          <w:jc w:val="center"/>
        </w:trPr>
        <w:tc>
          <w:tcPr>
            <w:tcW w:w="0" w:type="auto"/>
            <w:vAlign w:val="center"/>
          </w:tcPr>
          <w:p w14:paraId="0C045059" w14:textId="4F90BBAB" w:rsidR="006C1969" w:rsidRPr="00113825" w:rsidRDefault="006C1969" w:rsidP="006C1969">
            <w:r w:rsidRPr="00113825">
              <w:rPr>
                <w:sz w:val="16"/>
                <w:szCs w:val="16"/>
              </w:rPr>
              <w:t>Centre-Val de Loire</w:t>
            </w:r>
          </w:p>
        </w:tc>
        <w:tc>
          <w:tcPr>
            <w:tcW w:w="0" w:type="auto"/>
          </w:tcPr>
          <w:p w14:paraId="7AFE7A1D" w14:textId="73C5443D" w:rsidR="006C1969" w:rsidRPr="00113825" w:rsidRDefault="006C1969" w:rsidP="006C1969">
            <w:pPr>
              <w:jc w:val="right"/>
              <w:rPr>
                <w:rFonts w:cstheme="majorHAnsi"/>
                <w:sz w:val="16"/>
                <w:szCs w:val="16"/>
              </w:rPr>
            </w:pPr>
            <w:r w:rsidRPr="00113825">
              <w:rPr>
                <w:rFonts w:cstheme="majorHAnsi"/>
                <w:sz w:val="16"/>
                <w:szCs w:val="16"/>
              </w:rPr>
              <w:t>0.601</w:t>
            </w:r>
          </w:p>
        </w:tc>
        <w:tc>
          <w:tcPr>
            <w:tcW w:w="0" w:type="auto"/>
          </w:tcPr>
          <w:p w14:paraId="1C8B1670" w14:textId="3D979D58" w:rsidR="006C1969" w:rsidRPr="00113825" w:rsidRDefault="006C1969" w:rsidP="00C53CF3">
            <w:pPr>
              <w:jc w:val="right"/>
              <w:rPr>
                <w:rFonts w:cstheme="majorHAnsi"/>
                <w:sz w:val="16"/>
                <w:szCs w:val="16"/>
              </w:rPr>
            </w:pPr>
            <w:r w:rsidRPr="00113825">
              <w:rPr>
                <w:rFonts w:cstheme="majorHAnsi"/>
                <w:sz w:val="16"/>
                <w:szCs w:val="16"/>
              </w:rPr>
              <w:t>0.307</w:t>
            </w:r>
          </w:p>
        </w:tc>
        <w:tc>
          <w:tcPr>
            <w:tcW w:w="1080" w:type="dxa"/>
          </w:tcPr>
          <w:p w14:paraId="5B2A0652" w14:textId="40A7ECD3" w:rsidR="006C1969" w:rsidRPr="00113825" w:rsidRDefault="006C1969" w:rsidP="00C53CF3">
            <w:pPr>
              <w:jc w:val="right"/>
              <w:rPr>
                <w:rFonts w:cstheme="majorHAnsi"/>
                <w:sz w:val="16"/>
                <w:szCs w:val="16"/>
              </w:rPr>
            </w:pPr>
            <w:r w:rsidRPr="00113825">
              <w:rPr>
                <w:rFonts w:cstheme="majorHAnsi"/>
                <w:sz w:val="16"/>
                <w:szCs w:val="16"/>
              </w:rPr>
              <w:t>0.947</w:t>
            </w:r>
          </w:p>
        </w:tc>
        <w:tc>
          <w:tcPr>
            <w:tcW w:w="1170" w:type="dxa"/>
          </w:tcPr>
          <w:p w14:paraId="627B57E2" w14:textId="617E033A" w:rsidR="006C1969" w:rsidRPr="00113825" w:rsidRDefault="006C1969" w:rsidP="006C1969">
            <w:pPr>
              <w:jc w:val="right"/>
              <w:rPr>
                <w:rFonts w:cstheme="majorHAnsi"/>
                <w:sz w:val="16"/>
                <w:szCs w:val="16"/>
              </w:rPr>
            </w:pPr>
            <w:r w:rsidRPr="00113825">
              <w:rPr>
                <w:rFonts w:cstheme="majorHAnsi"/>
                <w:sz w:val="16"/>
                <w:szCs w:val="16"/>
              </w:rPr>
              <w:t>0.531</w:t>
            </w:r>
          </w:p>
        </w:tc>
        <w:tc>
          <w:tcPr>
            <w:tcW w:w="1080" w:type="dxa"/>
          </w:tcPr>
          <w:p w14:paraId="3BA13868" w14:textId="3A4EAB80" w:rsidR="006C1969" w:rsidRPr="00113825" w:rsidRDefault="006C1969" w:rsidP="006C1969">
            <w:pPr>
              <w:jc w:val="right"/>
              <w:rPr>
                <w:rFonts w:cstheme="majorHAnsi"/>
                <w:sz w:val="16"/>
                <w:szCs w:val="16"/>
              </w:rPr>
            </w:pPr>
            <w:r w:rsidRPr="00113825">
              <w:rPr>
                <w:rFonts w:cstheme="majorHAnsi"/>
                <w:sz w:val="16"/>
                <w:szCs w:val="16"/>
              </w:rPr>
              <w:t>0.070</w:t>
            </w:r>
          </w:p>
        </w:tc>
      </w:tr>
      <w:tr w:rsidR="00DE6E0A" w:rsidRPr="00113825" w14:paraId="0787E31D" w14:textId="32FDB2CB" w:rsidTr="00C53CF3">
        <w:trPr>
          <w:jc w:val="center"/>
        </w:trPr>
        <w:tc>
          <w:tcPr>
            <w:tcW w:w="0" w:type="auto"/>
            <w:vAlign w:val="center"/>
          </w:tcPr>
          <w:p w14:paraId="4460CE17" w14:textId="2EA543CE" w:rsidR="006C1969" w:rsidRPr="00113825" w:rsidRDefault="006C1969" w:rsidP="006C1969">
            <w:r w:rsidRPr="00113825">
              <w:rPr>
                <w:sz w:val="16"/>
                <w:szCs w:val="16"/>
              </w:rPr>
              <w:t>Corse</w:t>
            </w:r>
          </w:p>
        </w:tc>
        <w:tc>
          <w:tcPr>
            <w:tcW w:w="0" w:type="auto"/>
          </w:tcPr>
          <w:p w14:paraId="78D683E4" w14:textId="771628C2" w:rsidR="006C1969" w:rsidRPr="00113825" w:rsidRDefault="006C1969" w:rsidP="006C1969">
            <w:pPr>
              <w:jc w:val="right"/>
              <w:rPr>
                <w:rFonts w:cstheme="majorHAnsi"/>
                <w:sz w:val="16"/>
                <w:szCs w:val="16"/>
              </w:rPr>
            </w:pPr>
            <w:r w:rsidRPr="00113825">
              <w:rPr>
                <w:rFonts w:cstheme="majorHAnsi"/>
                <w:sz w:val="16"/>
                <w:szCs w:val="16"/>
              </w:rPr>
              <w:t>0.132</w:t>
            </w:r>
          </w:p>
        </w:tc>
        <w:tc>
          <w:tcPr>
            <w:tcW w:w="0" w:type="auto"/>
          </w:tcPr>
          <w:p w14:paraId="50CF1B00" w14:textId="364FF4B6" w:rsidR="006C1969" w:rsidRPr="00113825" w:rsidRDefault="006C1969" w:rsidP="00C53CF3">
            <w:pPr>
              <w:jc w:val="right"/>
              <w:rPr>
                <w:rFonts w:cstheme="majorHAnsi"/>
                <w:sz w:val="16"/>
                <w:szCs w:val="16"/>
              </w:rPr>
            </w:pPr>
            <w:r w:rsidRPr="00113825">
              <w:rPr>
                <w:rFonts w:cstheme="majorHAnsi"/>
                <w:sz w:val="16"/>
                <w:szCs w:val="16"/>
              </w:rPr>
              <w:t>0.069</w:t>
            </w:r>
          </w:p>
        </w:tc>
        <w:tc>
          <w:tcPr>
            <w:tcW w:w="1080" w:type="dxa"/>
          </w:tcPr>
          <w:p w14:paraId="579B9AA0" w14:textId="221EC426" w:rsidR="006C1969" w:rsidRPr="00113825" w:rsidRDefault="006C1969" w:rsidP="00C53CF3">
            <w:pPr>
              <w:jc w:val="right"/>
              <w:rPr>
                <w:rFonts w:cstheme="majorHAnsi"/>
                <w:sz w:val="16"/>
                <w:szCs w:val="16"/>
              </w:rPr>
            </w:pPr>
            <w:r w:rsidRPr="00113825">
              <w:rPr>
                <w:rFonts w:cstheme="majorHAnsi"/>
                <w:sz w:val="16"/>
                <w:szCs w:val="16"/>
              </w:rPr>
              <w:t>0.219</w:t>
            </w:r>
          </w:p>
        </w:tc>
        <w:tc>
          <w:tcPr>
            <w:tcW w:w="1170" w:type="dxa"/>
          </w:tcPr>
          <w:p w14:paraId="38E3B101" w14:textId="37B9CC06" w:rsidR="006C1969" w:rsidRPr="00113825" w:rsidRDefault="006C1969" w:rsidP="006C1969">
            <w:pPr>
              <w:jc w:val="right"/>
              <w:rPr>
                <w:rFonts w:cstheme="majorHAnsi"/>
                <w:sz w:val="16"/>
                <w:szCs w:val="16"/>
              </w:rPr>
            </w:pPr>
            <w:r w:rsidRPr="00113825">
              <w:rPr>
                <w:rFonts w:cstheme="majorHAnsi"/>
                <w:sz w:val="16"/>
                <w:szCs w:val="16"/>
              </w:rPr>
              <w:t>0.100</w:t>
            </w:r>
          </w:p>
        </w:tc>
        <w:tc>
          <w:tcPr>
            <w:tcW w:w="1080" w:type="dxa"/>
          </w:tcPr>
          <w:p w14:paraId="49C0D463" w14:textId="6DD4D3A0" w:rsidR="006C1969" w:rsidRPr="00113825" w:rsidRDefault="006C1969" w:rsidP="006C1969">
            <w:pPr>
              <w:jc w:val="right"/>
              <w:rPr>
                <w:rFonts w:cstheme="majorHAnsi"/>
                <w:sz w:val="16"/>
                <w:szCs w:val="16"/>
              </w:rPr>
            </w:pPr>
            <w:r w:rsidRPr="00113825">
              <w:rPr>
                <w:rFonts w:cstheme="majorHAnsi"/>
                <w:sz w:val="16"/>
                <w:szCs w:val="16"/>
              </w:rPr>
              <w:t>0.032</w:t>
            </w:r>
          </w:p>
        </w:tc>
      </w:tr>
      <w:tr w:rsidR="00DE6E0A" w:rsidRPr="00113825" w14:paraId="5727C193" w14:textId="05A0AE1D" w:rsidTr="00C53CF3">
        <w:trPr>
          <w:jc w:val="center"/>
        </w:trPr>
        <w:tc>
          <w:tcPr>
            <w:tcW w:w="0" w:type="auto"/>
            <w:vAlign w:val="center"/>
          </w:tcPr>
          <w:p w14:paraId="03209419" w14:textId="3396C0FB" w:rsidR="006C1969" w:rsidRPr="00113825" w:rsidRDefault="006C1969" w:rsidP="006C1969">
            <w:r w:rsidRPr="00113825">
              <w:rPr>
                <w:sz w:val="16"/>
                <w:szCs w:val="16"/>
              </w:rPr>
              <w:t>Grand Est</w:t>
            </w:r>
          </w:p>
        </w:tc>
        <w:tc>
          <w:tcPr>
            <w:tcW w:w="0" w:type="auto"/>
          </w:tcPr>
          <w:p w14:paraId="75C53519" w14:textId="18C78BFA" w:rsidR="006C1969" w:rsidRPr="00113825" w:rsidRDefault="006C1969" w:rsidP="006C1969">
            <w:pPr>
              <w:jc w:val="right"/>
              <w:rPr>
                <w:rFonts w:cstheme="majorHAnsi"/>
                <w:sz w:val="16"/>
                <w:szCs w:val="16"/>
              </w:rPr>
            </w:pPr>
            <w:r w:rsidRPr="00113825">
              <w:rPr>
                <w:rFonts w:cstheme="majorHAnsi"/>
                <w:sz w:val="16"/>
                <w:szCs w:val="16"/>
              </w:rPr>
              <w:t>1.335</w:t>
            </w:r>
          </w:p>
        </w:tc>
        <w:tc>
          <w:tcPr>
            <w:tcW w:w="0" w:type="auto"/>
          </w:tcPr>
          <w:p w14:paraId="13DE3E47" w14:textId="0F4547B0" w:rsidR="006C1969" w:rsidRPr="00113825" w:rsidRDefault="006C1969" w:rsidP="00C53CF3">
            <w:pPr>
              <w:jc w:val="right"/>
              <w:rPr>
                <w:rFonts w:cstheme="majorHAnsi"/>
                <w:sz w:val="16"/>
                <w:szCs w:val="16"/>
              </w:rPr>
            </w:pPr>
            <w:r w:rsidRPr="00113825">
              <w:rPr>
                <w:rFonts w:cstheme="majorHAnsi"/>
                <w:sz w:val="16"/>
                <w:szCs w:val="16"/>
              </w:rPr>
              <w:t>0.696</w:t>
            </w:r>
          </w:p>
        </w:tc>
        <w:tc>
          <w:tcPr>
            <w:tcW w:w="1080" w:type="dxa"/>
          </w:tcPr>
          <w:p w14:paraId="5B9AA7E4" w14:textId="606C2021" w:rsidR="006C1969" w:rsidRPr="00113825" w:rsidRDefault="006C1969" w:rsidP="00C53CF3">
            <w:pPr>
              <w:jc w:val="right"/>
              <w:rPr>
                <w:rFonts w:cstheme="majorHAnsi"/>
                <w:sz w:val="16"/>
                <w:szCs w:val="16"/>
              </w:rPr>
            </w:pPr>
            <w:r w:rsidRPr="00113825">
              <w:rPr>
                <w:rFonts w:cstheme="majorHAnsi"/>
                <w:sz w:val="16"/>
                <w:szCs w:val="16"/>
              </w:rPr>
              <w:t>2.194</w:t>
            </w:r>
          </w:p>
        </w:tc>
        <w:tc>
          <w:tcPr>
            <w:tcW w:w="1170" w:type="dxa"/>
          </w:tcPr>
          <w:p w14:paraId="2DD6915E" w14:textId="60F08C3B" w:rsidR="006C1969" w:rsidRPr="00113825" w:rsidRDefault="006C1969" w:rsidP="006C1969">
            <w:pPr>
              <w:jc w:val="right"/>
              <w:rPr>
                <w:rFonts w:cstheme="majorHAnsi"/>
                <w:sz w:val="16"/>
                <w:szCs w:val="16"/>
              </w:rPr>
            </w:pPr>
            <w:r w:rsidRPr="00113825">
              <w:rPr>
                <w:rFonts w:cstheme="majorHAnsi"/>
                <w:sz w:val="16"/>
                <w:szCs w:val="16"/>
              </w:rPr>
              <w:t>0.587</w:t>
            </w:r>
          </w:p>
        </w:tc>
        <w:tc>
          <w:tcPr>
            <w:tcW w:w="1080" w:type="dxa"/>
          </w:tcPr>
          <w:p w14:paraId="00444157" w14:textId="0740AC86" w:rsidR="006C1969" w:rsidRPr="00113825" w:rsidRDefault="006C1969" w:rsidP="006C1969">
            <w:pPr>
              <w:jc w:val="right"/>
              <w:rPr>
                <w:rFonts w:cstheme="majorHAnsi"/>
                <w:sz w:val="16"/>
                <w:szCs w:val="16"/>
              </w:rPr>
            </w:pPr>
            <w:r w:rsidRPr="00113825">
              <w:rPr>
                <w:rFonts w:cstheme="majorHAnsi"/>
                <w:sz w:val="16"/>
                <w:szCs w:val="16"/>
              </w:rPr>
              <w:t>0.748</w:t>
            </w:r>
          </w:p>
        </w:tc>
      </w:tr>
      <w:tr w:rsidR="00DE6E0A" w:rsidRPr="00113825" w14:paraId="1AD080E7" w14:textId="558B5FED" w:rsidTr="00C53CF3">
        <w:trPr>
          <w:jc w:val="center"/>
        </w:trPr>
        <w:tc>
          <w:tcPr>
            <w:tcW w:w="0" w:type="auto"/>
            <w:vAlign w:val="center"/>
          </w:tcPr>
          <w:p w14:paraId="2B3A05E3" w14:textId="3E1C1BBC" w:rsidR="006C1969" w:rsidRPr="00113825" w:rsidRDefault="006C1969" w:rsidP="006C1969">
            <w:proofErr w:type="spellStart"/>
            <w:r w:rsidRPr="00113825">
              <w:rPr>
                <w:sz w:val="16"/>
                <w:szCs w:val="16"/>
              </w:rPr>
              <w:t>Hauts</w:t>
            </w:r>
            <w:proofErr w:type="spellEnd"/>
            <w:r w:rsidRPr="00113825">
              <w:rPr>
                <w:sz w:val="16"/>
                <w:szCs w:val="16"/>
              </w:rPr>
              <w:t>-de-France</w:t>
            </w:r>
          </w:p>
        </w:tc>
        <w:tc>
          <w:tcPr>
            <w:tcW w:w="0" w:type="auto"/>
          </w:tcPr>
          <w:p w14:paraId="071FE69D" w14:textId="5727322C" w:rsidR="006C1969" w:rsidRPr="00113825" w:rsidRDefault="006C1969" w:rsidP="006C1969">
            <w:pPr>
              <w:jc w:val="right"/>
              <w:rPr>
                <w:rFonts w:cstheme="majorHAnsi"/>
                <w:sz w:val="16"/>
                <w:szCs w:val="16"/>
              </w:rPr>
            </w:pPr>
            <w:r w:rsidRPr="00113825">
              <w:rPr>
                <w:rFonts w:cstheme="majorHAnsi"/>
                <w:sz w:val="16"/>
                <w:szCs w:val="16"/>
              </w:rPr>
              <w:t>0.287</w:t>
            </w:r>
          </w:p>
        </w:tc>
        <w:tc>
          <w:tcPr>
            <w:tcW w:w="0" w:type="auto"/>
          </w:tcPr>
          <w:p w14:paraId="6C009500" w14:textId="18263DA0" w:rsidR="006C1969" w:rsidRPr="00113825" w:rsidRDefault="006C1969" w:rsidP="00C53CF3">
            <w:pPr>
              <w:jc w:val="right"/>
              <w:rPr>
                <w:rFonts w:cstheme="majorHAnsi"/>
                <w:sz w:val="16"/>
                <w:szCs w:val="16"/>
              </w:rPr>
            </w:pPr>
            <w:r w:rsidRPr="00113825">
              <w:rPr>
                <w:rFonts w:cstheme="majorHAnsi"/>
                <w:sz w:val="16"/>
                <w:szCs w:val="16"/>
              </w:rPr>
              <w:t>0.146</w:t>
            </w:r>
          </w:p>
        </w:tc>
        <w:tc>
          <w:tcPr>
            <w:tcW w:w="1080" w:type="dxa"/>
          </w:tcPr>
          <w:p w14:paraId="42719792" w14:textId="1E1C7925" w:rsidR="006C1969" w:rsidRPr="00113825" w:rsidRDefault="006C1969" w:rsidP="00C53CF3">
            <w:pPr>
              <w:jc w:val="right"/>
              <w:rPr>
                <w:rFonts w:cstheme="majorHAnsi"/>
                <w:sz w:val="16"/>
                <w:szCs w:val="16"/>
              </w:rPr>
            </w:pPr>
            <w:r w:rsidRPr="00113825">
              <w:rPr>
                <w:rFonts w:cstheme="majorHAnsi"/>
                <w:sz w:val="16"/>
                <w:szCs w:val="16"/>
              </w:rPr>
              <w:t>0.442</w:t>
            </w:r>
          </w:p>
        </w:tc>
        <w:tc>
          <w:tcPr>
            <w:tcW w:w="1170" w:type="dxa"/>
          </w:tcPr>
          <w:p w14:paraId="09760206" w14:textId="2C9D9FB8" w:rsidR="006C1969" w:rsidRPr="00113825" w:rsidRDefault="006C1969" w:rsidP="006C1969">
            <w:pPr>
              <w:jc w:val="right"/>
              <w:rPr>
                <w:rFonts w:cstheme="majorHAnsi"/>
                <w:sz w:val="16"/>
                <w:szCs w:val="16"/>
              </w:rPr>
            </w:pPr>
            <w:r w:rsidRPr="00113825">
              <w:rPr>
                <w:rFonts w:cstheme="majorHAnsi"/>
                <w:sz w:val="16"/>
                <w:szCs w:val="16"/>
              </w:rPr>
              <w:t>0.216</w:t>
            </w:r>
          </w:p>
        </w:tc>
        <w:tc>
          <w:tcPr>
            <w:tcW w:w="1080" w:type="dxa"/>
          </w:tcPr>
          <w:p w14:paraId="5EEBDF37" w14:textId="360522CC" w:rsidR="006C1969" w:rsidRPr="00113825" w:rsidRDefault="006C1969" w:rsidP="006C1969">
            <w:pPr>
              <w:jc w:val="right"/>
              <w:rPr>
                <w:rFonts w:cstheme="majorHAnsi"/>
                <w:sz w:val="16"/>
                <w:szCs w:val="16"/>
              </w:rPr>
            </w:pPr>
            <w:r w:rsidRPr="00113825">
              <w:rPr>
                <w:rFonts w:cstheme="majorHAnsi"/>
                <w:sz w:val="16"/>
                <w:szCs w:val="16"/>
              </w:rPr>
              <w:t>0.071</w:t>
            </w:r>
          </w:p>
        </w:tc>
      </w:tr>
      <w:tr w:rsidR="00DE6E0A" w:rsidRPr="00113825" w14:paraId="2E9CC481" w14:textId="19DF1A39" w:rsidTr="00C53CF3">
        <w:trPr>
          <w:jc w:val="center"/>
        </w:trPr>
        <w:tc>
          <w:tcPr>
            <w:tcW w:w="0" w:type="auto"/>
            <w:vAlign w:val="center"/>
          </w:tcPr>
          <w:p w14:paraId="4BEDCE9F" w14:textId="714C6359" w:rsidR="006C1969" w:rsidRPr="00113825" w:rsidRDefault="006C1969" w:rsidP="006C1969">
            <w:r w:rsidRPr="00113825">
              <w:rPr>
                <w:sz w:val="16"/>
                <w:szCs w:val="16"/>
              </w:rPr>
              <w:t>Île-de-France</w:t>
            </w:r>
          </w:p>
        </w:tc>
        <w:tc>
          <w:tcPr>
            <w:tcW w:w="0" w:type="auto"/>
          </w:tcPr>
          <w:p w14:paraId="1626C21E" w14:textId="7E14BFFD" w:rsidR="006C1969" w:rsidRPr="00113825" w:rsidRDefault="006C1969" w:rsidP="006C1969">
            <w:pPr>
              <w:jc w:val="right"/>
              <w:rPr>
                <w:rFonts w:cstheme="majorHAnsi"/>
                <w:sz w:val="16"/>
                <w:szCs w:val="16"/>
              </w:rPr>
            </w:pPr>
            <w:r w:rsidRPr="00113825">
              <w:rPr>
                <w:rFonts w:cstheme="majorHAnsi"/>
                <w:sz w:val="16"/>
                <w:szCs w:val="16"/>
              </w:rPr>
              <w:t>0.177</w:t>
            </w:r>
          </w:p>
        </w:tc>
        <w:tc>
          <w:tcPr>
            <w:tcW w:w="0" w:type="auto"/>
          </w:tcPr>
          <w:p w14:paraId="7D1C8625" w14:textId="395556DF" w:rsidR="006C1969" w:rsidRPr="00113825" w:rsidRDefault="006C1969" w:rsidP="00C53CF3">
            <w:pPr>
              <w:jc w:val="right"/>
              <w:rPr>
                <w:rFonts w:cstheme="majorHAnsi"/>
                <w:sz w:val="16"/>
                <w:szCs w:val="16"/>
              </w:rPr>
            </w:pPr>
            <w:r w:rsidRPr="00113825">
              <w:rPr>
                <w:rFonts w:cstheme="majorHAnsi"/>
                <w:sz w:val="16"/>
                <w:szCs w:val="16"/>
              </w:rPr>
              <w:t>0.090</w:t>
            </w:r>
          </w:p>
        </w:tc>
        <w:tc>
          <w:tcPr>
            <w:tcW w:w="1080" w:type="dxa"/>
          </w:tcPr>
          <w:p w14:paraId="75A0A311" w14:textId="093663FD" w:rsidR="006C1969" w:rsidRPr="00113825" w:rsidRDefault="006C1969" w:rsidP="00C53CF3">
            <w:pPr>
              <w:jc w:val="right"/>
              <w:rPr>
                <w:rFonts w:cstheme="majorHAnsi"/>
                <w:sz w:val="16"/>
                <w:szCs w:val="16"/>
              </w:rPr>
            </w:pPr>
            <w:r w:rsidRPr="00113825">
              <w:rPr>
                <w:rFonts w:cstheme="majorHAnsi"/>
                <w:sz w:val="16"/>
                <w:szCs w:val="16"/>
              </w:rPr>
              <w:t>0.273</w:t>
            </w:r>
          </w:p>
        </w:tc>
        <w:tc>
          <w:tcPr>
            <w:tcW w:w="1170" w:type="dxa"/>
          </w:tcPr>
          <w:p w14:paraId="010D6D44" w14:textId="152DD45C" w:rsidR="006C1969" w:rsidRPr="00113825" w:rsidRDefault="006C1969" w:rsidP="006C1969">
            <w:pPr>
              <w:jc w:val="right"/>
              <w:rPr>
                <w:rFonts w:cstheme="majorHAnsi"/>
                <w:sz w:val="16"/>
                <w:szCs w:val="16"/>
              </w:rPr>
            </w:pPr>
            <w:r w:rsidRPr="00113825">
              <w:rPr>
                <w:rFonts w:cstheme="majorHAnsi"/>
                <w:sz w:val="16"/>
                <w:szCs w:val="16"/>
              </w:rPr>
              <w:t>0.124</w:t>
            </w:r>
          </w:p>
        </w:tc>
        <w:tc>
          <w:tcPr>
            <w:tcW w:w="1080" w:type="dxa"/>
          </w:tcPr>
          <w:p w14:paraId="1EFDBCFF" w14:textId="1A388505" w:rsidR="006C1969" w:rsidRPr="00113825" w:rsidRDefault="006C1969" w:rsidP="006C1969">
            <w:pPr>
              <w:jc w:val="right"/>
              <w:rPr>
                <w:rFonts w:cstheme="majorHAnsi"/>
                <w:sz w:val="16"/>
                <w:szCs w:val="16"/>
              </w:rPr>
            </w:pPr>
            <w:r w:rsidRPr="00113825">
              <w:rPr>
                <w:rFonts w:cstheme="majorHAnsi"/>
                <w:sz w:val="16"/>
                <w:szCs w:val="16"/>
              </w:rPr>
              <w:t>0.053</w:t>
            </w:r>
          </w:p>
        </w:tc>
      </w:tr>
      <w:tr w:rsidR="00DE6E0A" w:rsidRPr="00113825" w14:paraId="5C25AC23" w14:textId="074856A3" w:rsidTr="00C53CF3">
        <w:trPr>
          <w:jc w:val="center"/>
        </w:trPr>
        <w:tc>
          <w:tcPr>
            <w:tcW w:w="0" w:type="auto"/>
            <w:vAlign w:val="center"/>
          </w:tcPr>
          <w:p w14:paraId="4F2B501F" w14:textId="0DB3743A" w:rsidR="006C1969" w:rsidRPr="00113825" w:rsidRDefault="006C1969" w:rsidP="006C1969">
            <w:proofErr w:type="spellStart"/>
            <w:r w:rsidRPr="00113825">
              <w:rPr>
                <w:sz w:val="16"/>
                <w:szCs w:val="16"/>
              </w:rPr>
              <w:t>Normandie</w:t>
            </w:r>
            <w:proofErr w:type="spellEnd"/>
          </w:p>
        </w:tc>
        <w:tc>
          <w:tcPr>
            <w:tcW w:w="0" w:type="auto"/>
          </w:tcPr>
          <w:p w14:paraId="415CC348" w14:textId="0553E21E" w:rsidR="006C1969" w:rsidRPr="00113825" w:rsidRDefault="006C1969" w:rsidP="006C1969">
            <w:pPr>
              <w:jc w:val="right"/>
              <w:rPr>
                <w:rFonts w:cstheme="majorHAnsi"/>
                <w:sz w:val="16"/>
                <w:szCs w:val="16"/>
              </w:rPr>
            </w:pPr>
            <w:r w:rsidRPr="00113825">
              <w:rPr>
                <w:rFonts w:cstheme="majorHAnsi"/>
                <w:sz w:val="16"/>
                <w:szCs w:val="16"/>
              </w:rPr>
              <w:t>0.263</w:t>
            </w:r>
          </w:p>
        </w:tc>
        <w:tc>
          <w:tcPr>
            <w:tcW w:w="0" w:type="auto"/>
          </w:tcPr>
          <w:p w14:paraId="4BAD8523" w14:textId="25C6D386" w:rsidR="006C1969" w:rsidRPr="00113825" w:rsidRDefault="006C1969" w:rsidP="00C53CF3">
            <w:pPr>
              <w:jc w:val="right"/>
              <w:rPr>
                <w:rFonts w:cstheme="majorHAnsi"/>
                <w:sz w:val="16"/>
                <w:szCs w:val="16"/>
              </w:rPr>
            </w:pPr>
            <w:r w:rsidRPr="00113825">
              <w:rPr>
                <w:rFonts w:cstheme="majorHAnsi"/>
                <w:sz w:val="16"/>
                <w:szCs w:val="16"/>
              </w:rPr>
              <w:t>0.135</w:t>
            </w:r>
          </w:p>
        </w:tc>
        <w:tc>
          <w:tcPr>
            <w:tcW w:w="1080" w:type="dxa"/>
          </w:tcPr>
          <w:p w14:paraId="5F9116D4" w14:textId="376536F9" w:rsidR="006C1969" w:rsidRPr="00113825" w:rsidRDefault="006C1969" w:rsidP="00C53CF3">
            <w:pPr>
              <w:jc w:val="right"/>
              <w:rPr>
                <w:rFonts w:cstheme="majorHAnsi"/>
                <w:sz w:val="16"/>
                <w:szCs w:val="16"/>
              </w:rPr>
            </w:pPr>
            <w:r w:rsidRPr="00113825">
              <w:rPr>
                <w:rFonts w:cstheme="majorHAnsi"/>
                <w:sz w:val="16"/>
                <w:szCs w:val="16"/>
              </w:rPr>
              <w:t>0.415</w:t>
            </w:r>
          </w:p>
        </w:tc>
        <w:tc>
          <w:tcPr>
            <w:tcW w:w="1170" w:type="dxa"/>
          </w:tcPr>
          <w:p w14:paraId="66715434" w14:textId="50A059D7" w:rsidR="006C1969" w:rsidRPr="00113825" w:rsidRDefault="006C1969" w:rsidP="006C1969">
            <w:pPr>
              <w:jc w:val="right"/>
              <w:rPr>
                <w:rFonts w:cstheme="majorHAnsi"/>
                <w:sz w:val="16"/>
                <w:szCs w:val="16"/>
              </w:rPr>
            </w:pPr>
            <w:r w:rsidRPr="00113825">
              <w:rPr>
                <w:rFonts w:cstheme="majorHAnsi"/>
                <w:sz w:val="16"/>
                <w:szCs w:val="16"/>
              </w:rPr>
              <w:t>0.207</w:t>
            </w:r>
          </w:p>
        </w:tc>
        <w:tc>
          <w:tcPr>
            <w:tcW w:w="1080" w:type="dxa"/>
          </w:tcPr>
          <w:p w14:paraId="7D305013" w14:textId="32A371A9" w:rsidR="006C1969" w:rsidRPr="00113825" w:rsidRDefault="006C1969" w:rsidP="006C1969">
            <w:pPr>
              <w:jc w:val="right"/>
              <w:rPr>
                <w:rFonts w:cstheme="majorHAnsi"/>
                <w:sz w:val="16"/>
                <w:szCs w:val="16"/>
              </w:rPr>
            </w:pPr>
            <w:r w:rsidRPr="00113825">
              <w:rPr>
                <w:rFonts w:cstheme="majorHAnsi"/>
                <w:sz w:val="16"/>
                <w:szCs w:val="16"/>
              </w:rPr>
              <w:t>0.056</w:t>
            </w:r>
          </w:p>
        </w:tc>
      </w:tr>
      <w:tr w:rsidR="00DE6E0A" w:rsidRPr="00113825" w14:paraId="34B650AA" w14:textId="417CF731" w:rsidTr="00C53CF3">
        <w:trPr>
          <w:jc w:val="center"/>
        </w:trPr>
        <w:tc>
          <w:tcPr>
            <w:tcW w:w="0" w:type="auto"/>
            <w:vAlign w:val="center"/>
          </w:tcPr>
          <w:p w14:paraId="2C49B4D9" w14:textId="14ED6EE5" w:rsidR="006C1969" w:rsidRPr="00113825" w:rsidRDefault="006C1969" w:rsidP="006C1969">
            <w:r w:rsidRPr="00113825">
              <w:rPr>
                <w:sz w:val="16"/>
                <w:szCs w:val="16"/>
              </w:rPr>
              <w:t>Nouvelle-Aquitaine</w:t>
            </w:r>
          </w:p>
        </w:tc>
        <w:tc>
          <w:tcPr>
            <w:tcW w:w="0" w:type="auto"/>
          </w:tcPr>
          <w:p w14:paraId="42064072" w14:textId="434C3118" w:rsidR="006C1969" w:rsidRPr="00113825" w:rsidRDefault="006C1969" w:rsidP="006C1969">
            <w:pPr>
              <w:jc w:val="right"/>
              <w:rPr>
                <w:rFonts w:cstheme="majorHAnsi"/>
                <w:sz w:val="16"/>
                <w:szCs w:val="16"/>
              </w:rPr>
            </w:pPr>
            <w:r w:rsidRPr="00113825">
              <w:rPr>
                <w:rFonts w:cstheme="majorHAnsi"/>
                <w:sz w:val="16"/>
                <w:szCs w:val="16"/>
              </w:rPr>
              <w:t>1.209</w:t>
            </w:r>
          </w:p>
        </w:tc>
        <w:tc>
          <w:tcPr>
            <w:tcW w:w="0" w:type="auto"/>
          </w:tcPr>
          <w:p w14:paraId="22ABC585" w14:textId="78C11EBC" w:rsidR="006C1969" w:rsidRPr="00113825" w:rsidRDefault="006C1969" w:rsidP="00C53CF3">
            <w:pPr>
              <w:jc w:val="right"/>
              <w:rPr>
                <w:rFonts w:cstheme="majorHAnsi"/>
                <w:sz w:val="16"/>
                <w:szCs w:val="16"/>
              </w:rPr>
            </w:pPr>
            <w:r w:rsidRPr="00113825">
              <w:rPr>
                <w:rFonts w:cstheme="majorHAnsi"/>
                <w:sz w:val="16"/>
                <w:szCs w:val="16"/>
              </w:rPr>
              <w:t>0.647</w:t>
            </w:r>
          </w:p>
        </w:tc>
        <w:tc>
          <w:tcPr>
            <w:tcW w:w="1080" w:type="dxa"/>
          </w:tcPr>
          <w:p w14:paraId="563119C4" w14:textId="59A2F2D6" w:rsidR="006C1969" w:rsidRPr="00113825" w:rsidRDefault="006C1969" w:rsidP="00C53CF3">
            <w:pPr>
              <w:jc w:val="right"/>
              <w:rPr>
                <w:rFonts w:cstheme="majorHAnsi"/>
                <w:sz w:val="16"/>
                <w:szCs w:val="16"/>
              </w:rPr>
            </w:pPr>
            <w:r w:rsidRPr="00113825">
              <w:rPr>
                <w:rFonts w:cstheme="majorHAnsi"/>
                <w:sz w:val="16"/>
                <w:szCs w:val="16"/>
              </w:rPr>
              <w:t>2.068</w:t>
            </w:r>
          </w:p>
        </w:tc>
        <w:tc>
          <w:tcPr>
            <w:tcW w:w="1170" w:type="dxa"/>
          </w:tcPr>
          <w:p w14:paraId="4B5DB8CF" w14:textId="19D75AAB" w:rsidR="006C1969" w:rsidRPr="00113825" w:rsidRDefault="006C1969" w:rsidP="006C1969">
            <w:pPr>
              <w:jc w:val="right"/>
              <w:rPr>
                <w:rFonts w:cstheme="majorHAnsi"/>
                <w:sz w:val="16"/>
                <w:szCs w:val="16"/>
              </w:rPr>
            </w:pPr>
            <w:r w:rsidRPr="00113825">
              <w:rPr>
                <w:rFonts w:cstheme="majorHAnsi"/>
                <w:sz w:val="16"/>
                <w:szCs w:val="16"/>
              </w:rPr>
              <w:t>1.113</w:t>
            </w:r>
          </w:p>
        </w:tc>
        <w:tc>
          <w:tcPr>
            <w:tcW w:w="1080" w:type="dxa"/>
          </w:tcPr>
          <w:p w14:paraId="7223EA3D" w14:textId="75BE0C0A" w:rsidR="006C1969" w:rsidRPr="00113825" w:rsidRDefault="006C1969" w:rsidP="006C1969">
            <w:pPr>
              <w:jc w:val="right"/>
              <w:rPr>
                <w:rFonts w:cstheme="majorHAnsi"/>
                <w:sz w:val="16"/>
                <w:szCs w:val="16"/>
              </w:rPr>
            </w:pPr>
            <w:r w:rsidRPr="00113825">
              <w:rPr>
                <w:rFonts w:cstheme="majorHAnsi"/>
                <w:sz w:val="16"/>
                <w:szCs w:val="16"/>
              </w:rPr>
              <w:t>0.096</w:t>
            </w:r>
          </w:p>
        </w:tc>
      </w:tr>
      <w:tr w:rsidR="00DE6E0A" w:rsidRPr="00113825" w14:paraId="47E76EEA" w14:textId="66DE2563" w:rsidTr="00C53CF3">
        <w:trPr>
          <w:jc w:val="center"/>
        </w:trPr>
        <w:tc>
          <w:tcPr>
            <w:tcW w:w="0" w:type="auto"/>
            <w:vAlign w:val="center"/>
          </w:tcPr>
          <w:p w14:paraId="51416924" w14:textId="2FACC16B" w:rsidR="006C1969" w:rsidRPr="00113825" w:rsidRDefault="006C1969" w:rsidP="006C1969">
            <w:proofErr w:type="spellStart"/>
            <w:r w:rsidRPr="00113825">
              <w:rPr>
                <w:sz w:val="16"/>
                <w:szCs w:val="16"/>
              </w:rPr>
              <w:t>Occitanie</w:t>
            </w:r>
            <w:proofErr w:type="spellEnd"/>
          </w:p>
        </w:tc>
        <w:tc>
          <w:tcPr>
            <w:tcW w:w="0" w:type="auto"/>
          </w:tcPr>
          <w:p w14:paraId="17BE8323" w14:textId="16E0C522" w:rsidR="006C1969" w:rsidRPr="00113825" w:rsidRDefault="006C1969" w:rsidP="006C1969">
            <w:pPr>
              <w:jc w:val="right"/>
              <w:rPr>
                <w:rFonts w:cstheme="majorHAnsi"/>
                <w:sz w:val="16"/>
                <w:szCs w:val="16"/>
              </w:rPr>
            </w:pPr>
            <w:r w:rsidRPr="00113825">
              <w:rPr>
                <w:rFonts w:cstheme="majorHAnsi"/>
                <w:sz w:val="16"/>
                <w:szCs w:val="16"/>
              </w:rPr>
              <w:t>1.113</w:t>
            </w:r>
          </w:p>
        </w:tc>
        <w:tc>
          <w:tcPr>
            <w:tcW w:w="0" w:type="auto"/>
          </w:tcPr>
          <w:p w14:paraId="556B6CAF" w14:textId="31AEFB8F" w:rsidR="006C1969" w:rsidRPr="00113825" w:rsidRDefault="006C1969" w:rsidP="00C53CF3">
            <w:pPr>
              <w:jc w:val="right"/>
              <w:rPr>
                <w:rFonts w:cstheme="majorHAnsi"/>
                <w:sz w:val="16"/>
                <w:szCs w:val="16"/>
              </w:rPr>
            </w:pPr>
            <w:r w:rsidRPr="00113825">
              <w:rPr>
                <w:rFonts w:cstheme="majorHAnsi"/>
                <w:sz w:val="16"/>
                <w:szCs w:val="16"/>
              </w:rPr>
              <w:t>0.583</w:t>
            </w:r>
          </w:p>
        </w:tc>
        <w:tc>
          <w:tcPr>
            <w:tcW w:w="1080" w:type="dxa"/>
          </w:tcPr>
          <w:p w14:paraId="396DE498" w14:textId="0390386C" w:rsidR="006C1969" w:rsidRPr="00113825" w:rsidRDefault="006C1969" w:rsidP="00C53CF3">
            <w:pPr>
              <w:jc w:val="right"/>
              <w:rPr>
                <w:rFonts w:cstheme="majorHAnsi"/>
                <w:sz w:val="16"/>
                <w:szCs w:val="16"/>
              </w:rPr>
            </w:pPr>
            <w:r w:rsidRPr="00113825">
              <w:rPr>
                <w:rFonts w:cstheme="majorHAnsi"/>
                <w:sz w:val="16"/>
                <w:szCs w:val="16"/>
              </w:rPr>
              <w:t>1.837</w:t>
            </w:r>
          </w:p>
        </w:tc>
        <w:tc>
          <w:tcPr>
            <w:tcW w:w="1170" w:type="dxa"/>
          </w:tcPr>
          <w:p w14:paraId="21271C16" w14:textId="465FC957" w:rsidR="006C1969" w:rsidRPr="00113825" w:rsidRDefault="006C1969" w:rsidP="006C1969">
            <w:pPr>
              <w:jc w:val="right"/>
              <w:rPr>
                <w:rFonts w:cstheme="majorHAnsi"/>
                <w:sz w:val="16"/>
                <w:szCs w:val="16"/>
              </w:rPr>
            </w:pPr>
            <w:r w:rsidRPr="00113825">
              <w:rPr>
                <w:rFonts w:cstheme="majorHAnsi"/>
                <w:sz w:val="16"/>
                <w:szCs w:val="16"/>
              </w:rPr>
              <w:t>0.900</w:t>
            </w:r>
          </w:p>
        </w:tc>
        <w:tc>
          <w:tcPr>
            <w:tcW w:w="1080" w:type="dxa"/>
          </w:tcPr>
          <w:p w14:paraId="734D3149" w14:textId="63BBF9AD" w:rsidR="006C1969" w:rsidRPr="00113825" w:rsidRDefault="006C1969" w:rsidP="006C1969">
            <w:pPr>
              <w:jc w:val="right"/>
              <w:rPr>
                <w:rFonts w:cstheme="majorHAnsi"/>
                <w:sz w:val="16"/>
                <w:szCs w:val="16"/>
              </w:rPr>
            </w:pPr>
            <w:r w:rsidRPr="00113825">
              <w:rPr>
                <w:rFonts w:cstheme="majorHAnsi"/>
                <w:sz w:val="16"/>
                <w:szCs w:val="16"/>
              </w:rPr>
              <w:t>0.213</w:t>
            </w:r>
          </w:p>
        </w:tc>
      </w:tr>
      <w:tr w:rsidR="00DE6E0A" w:rsidRPr="00113825" w14:paraId="1710A94F" w14:textId="7368B40E" w:rsidTr="00C53CF3">
        <w:trPr>
          <w:jc w:val="center"/>
        </w:trPr>
        <w:tc>
          <w:tcPr>
            <w:tcW w:w="0" w:type="auto"/>
            <w:vAlign w:val="center"/>
          </w:tcPr>
          <w:p w14:paraId="1496DCBB" w14:textId="23CD5A43" w:rsidR="006C1969" w:rsidRPr="00113825" w:rsidRDefault="006C1969" w:rsidP="006C1969">
            <w:r w:rsidRPr="00113825">
              <w:rPr>
                <w:sz w:val="16"/>
                <w:szCs w:val="16"/>
              </w:rPr>
              <w:t>Pays de la Loire</w:t>
            </w:r>
          </w:p>
        </w:tc>
        <w:tc>
          <w:tcPr>
            <w:tcW w:w="0" w:type="auto"/>
          </w:tcPr>
          <w:p w14:paraId="24635C5E" w14:textId="3D665157" w:rsidR="006C1969" w:rsidRPr="00113825" w:rsidRDefault="006C1969" w:rsidP="006C1969">
            <w:pPr>
              <w:jc w:val="right"/>
              <w:rPr>
                <w:rFonts w:cstheme="majorHAnsi"/>
                <w:sz w:val="16"/>
                <w:szCs w:val="16"/>
              </w:rPr>
            </w:pPr>
            <w:r w:rsidRPr="00113825">
              <w:rPr>
                <w:rFonts w:cstheme="majorHAnsi"/>
                <w:sz w:val="16"/>
                <w:szCs w:val="16"/>
              </w:rPr>
              <w:t>0.206</w:t>
            </w:r>
          </w:p>
        </w:tc>
        <w:tc>
          <w:tcPr>
            <w:tcW w:w="0" w:type="auto"/>
          </w:tcPr>
          <w:p w14:paraId="7A9E9D9D" w14:textId="07BD96BC" w:rsidR="006C1969" w:rsidRPr="00113825" w:rsidRDefault="006C1969" w:rsidP="00C53CF3">
            <w:pPr>
              <w:jc w:val="right"/>
              <w:rPr>
                <w:rFonts w:cstheme="majorHAnsi"/>
                <w:sz w:val="16"/>
                <w:szCs w:val="16"/>
              </w:rPr>
            </w:pPr>
            <w:r w:rsidRPr="00113825">
              <w:rPr>
                <w:rFonts w:cstheme="majorHAnsi"/>
                <w:sz w:val="16"/>
                <w:szCs w:val="16"/>
              </w:rPr>
              <w:t>0.109</w:t>
            </w:r>
          </w:p>
        </w:tc>
        <w:tc>
          <w:tcPr>
            <w:tcW w:w="1080" w:type="dxa"/>
          </w:tcPr>
          <w:p w14:paraId="663EECD6" w14:textId="7FE72466" w:rsidR="006C1969" w:rsidRPr="00113825" w:rsidRDefault="006C1969" w:rsidP="00C53CF3">
            <w:pPr>
              <w:jc w:val="right"/>
              <w:rPr>
                <w:rFonts w:cstheme="majorHAnsi"/>
                <w:sz w:val="16"/>
                <w:szCs w:val="16"/>
              </w:rPr>
            </w:pPr>
            <w:r w:rsidRPr="00113825">
              <w:rPr>
                <w:rFonts w:cstheme="majorHAnsi"/>
                <w:sz w:val="16"/>
                <w:szCs w:val="16"/>
              </w:rPr>
              <w:t>0.341</w:t>
            </w:r>
          </w:p>
        </w:tc>
        <w:tc>
          <w:tcPr>
            <w:tcW w:w="1170" w:type="dxa"/>
          </w:tcPr>
          <w:p w14:paraId="1BB3660F" w14:textId="130470A4" w:rsidR="006C1969" w:rsidRPr="00113825" w:rsidRDefault="006C1969" w:rsidP="006C1969">
            <w:pPr>
              <w:jc w:val="right"/>
              <w:rPr>
                <w:rFonts w:cstheme="majorHAnsi"/>
                <w:sz w:val="16"/>
                <w:szCs w:val="16"/>
              </w:rPr>
            </w:pPr>
            <w:r w:rsidRPr="00113825">
              <w:rPr>
                <w:rFonts w:cstheme="majorHAnsi"/>
                <w:sz w:val="16"/>
                <w:szCs w:val="16"/>
              </w:rPr>
              <w:t>0.187</w:t>
            </w:r>
          </w:p>
        </w:tc>
        <w:tc>
          <w:tcPr>
            <w:tcW w:w="1080" w:type="dxa"/>
          </w:tcPr>
          <w:p w14:paraId="12D064B7" w14:textId="2C61FB1A" w:rsidR="006C1969" w:rsidRPr="00113825" w:rsidRDefault="006C1969" w:rsidP="006C1969">
            <w:pPr>
              <w:jc w:val="right"/>
              <w:rPr>
                <w:rFonts w:cstheme="majorHAnsi"/>
                <w:sz w:val="16"/>
                <w:szCs w:val="16"/>
              </w:rPr>
            </w:pPr>
            <w:r w:rsidRPr="00113825">
              <w:rPr>
                <w:rFonts w:cstheme="majorHAnsi"/>
                <w:sz w:val="16"/>
                <w:szCs w:val="16"/>
              </w:rPr>
              <w:t>0.019</w:t>
            </w:r>
          </w:p>
        </w:tc>
      </w:tr>
      <w:tr w:rsidR="00DE6E0A" w:rsidRPr="00113825" w14:paraId="304E88CC" w14:textId="5FB47C0C" w:rsidTr="00C53CF3">
        <w:trPr>
          <w:jc w:val="center"/>
        </w:trPr>
        <w:tc>
          <w:tcPr>
            <w:tcW w:w="0" w:type="auto"/>
            <w:vAlign w:val="center"/>
          </w:tcPr>
          <w:p w14:paraId="753BEDD3" w14:textId="1E10B896" w:rsidR="006C1969" w:rsidRPr="00113825" w:rsidRDefault="006C1969" w:rsidP="006C1969">
            <w:r w:rsidRPr="00113825">
              <w:rPr>
                <w:sz w:val="16"/>
                <w:szCs w:val="16"/>
              </w:rPr>
              <w:t>Provence-</w:t>
            </w:r>
            <w:proofErr w:type="spellStart"/>
            <w:r w:rsidRPr="00113825">
              <w:rPr>
                <w:sz w:val="16"/>
                <w:szCs w:val="16"/>
              </w:rPr>
              <w:t>Alpes</w:t>
            </w:r>
            <w:proofErr w:type="spellEnd"/>
            <w:r w:rsidRPr="00113825">
              <w:rPr>
                <w:sz w:val="16"/>
                <w:szCs w:val="16"/>
              </w:rPr>
              <w:t>-Côte d'Azur</w:t>
            </w:r>
          </w:p>
        </w:tc>
        <w:tc>
          <w:tcPr>
            <w:tcW w:w="0" w:type="auto"/>
          </w:tcPr>
          <w:p w14:paraId="041A24F4" w14:textId="45EADEC6" w:rsidR="006C1969" w:rsidRPr="00113825" w:rsidRDefault="006C1969" w:rsidP="006C1969">
            <w:pPr>
              <w:jc w:val="right"/>
              <w:rPr>
                <w:rFonts w:cstheme="majorHAnsi"/>
                <w:sz w:val="16"/>
                <w:szCs w:val="16"/>
              </w:rPr>
            </w:pPr>
            <w:r w:rsidRPr="00113825">
              <w:rPr>
                <w:rFonts w:cstheme="majorHAnsi"/>
                <w:sz w:val="16"/>
                <w:szCs w:val="16"/>
              </w:rPr>
              <w:t>0.343</w:t>
            </w:r>
          </w:p>
        </w:tc>
        <w:tc>
          <w:tcPr>
            <w:tcW w:w="0" w:type="auto"/>
          </w:tcPr>
          <w:p w14:paraId="171FA55A" w14:textId="562067DD" w:rsidR="006C1969" w:rsidRPr="00113825" w:rsidRDefault="006C1969" w:rsidP="00C53CF3">
            <w:pPr>
              <w:jc w:val="right"/>
              <w:rPr>
                <w:rFonts w:cstheme="majorHAnsi"/>
                <w:sz w:val="16"/>
                <w:szCs w:val="16"/>
              </w:rPr>
            </w:pPr>
            <w:r w:rsidRPr="00113825">
              <w:rPr>
                <w:rFonts w:cstheme="majorHAnsi"/>
                <w:sz w:val="16"/>
                <w:szCs w:val="16"/>
              </w:rPr>
              <w:t>0.185</w:t>
            </w:r>
          </w:p>
        </w:tc>
        <w:tc>
          <w:tcPr>
            <w:tcW w:w="1080" w:type="dxa"/>
          </w:tcPr>
          <w:p w14:paraId="75ED6BD4" w14:textId="326C9029" w:rsidR="006C1969" w:rsidRPr="00113825" w:rsidRDefault="006C1969" w:rsidP="00C53CF3">
            <w:pPr>
              <w:jc w:val="right"/>
              <w:rPr>
                <w:rFonts w:cstheme="majorHAnsi"/>
                <w:sz w:val="16"/>
                <w:szCs w:val="16"/>
              </w:rPr>
            </w:pPr>
            <w:r w:rsidRPr="00113825">
              <w:rPr>
                <w:rFonts w:cstheme="majorHAnsi"/>
                <w:sz w:val="16"/>
                <w:szCs w:val="16"/>
              </w:rPr>
              <w:t>0.608</w:t>
            </w:r>
          </w:p>
        </w:tc>
        <w:tc>
          <w:tcPr>
            <w:tcW w:w="1170" w:type="dxa"/>
          </w:tcPr>
          <w:p w14:paraId="78819E6A" w14:textId="6563110D" w:rsidR="006C1969" w:rsidRPr="00113825" w:rsidRDefault="006C1969" w:rsidP="006C1969">
            <w:pPr>
              <w:jc w:val="right"/>
              <w:rPr>
                <w:rFonts w:cstheme="majorHAnsi"/>
                <w:sz w:val="16"/>
                <w:szCs w:val="16"/>
              </w:rPr>
            </w:pPr>
            <w:r w:rsidRPr="00113825">
              <w:rPr>
                <w:rFonts w:cstheme="majorHAnsi"/>
                <w:sz w:val="16"/>
                <w:szCs w:val="16"/>
              </w:rPr>
              <w:t>0.227</w:t>
            </w:r>
          </w:p>
        </w:tc>
        <w:tc>
          <w:tcPr>
            <w:tcW w:w="1080" w:type="dxa"/>
          </w:tcPr>
          <w:p w14:paraId="2A07C1B6" w14:textId="249211EA" w:rsidR="006C1969" w:rsidRPr="00113825" w:rsidRDefault="006C1969" w:rsidP="006C1969">
            <w:pPr>
              <w:jc w:val="right"/>
              <w:rPr>
                <w:rFonts w:cstheme="majorHAnsi"/>
                <w:sz w:val="16"/>
                <w:szCs w:val="16"/>
              </w:rPr>
            </w:pPr>
            <w:r w:rsidRPr="00113825">
              <w:rPr>
                <w:rFonts w:cstheme="majorHAnsi"/>
                <w:sz w:val="16"/>
                <w:szCs w:val="16"/>
              </w:rPr>
              <w:t>0.116</w:t>
            </w:r>
          </w:p>
        </w:tc>
      </w:tr>
      <w:tr w:rsidR="00DE6E0A" w:rsidRPr="00113825" w14:paraId="2AE5B577" w14:textId="77777777" w:rsidTr="00C53CF3">
        <w:trPr>
          <w:jc w:val="center"/>
        </w:trPr>
        <w:tc>
          <w:tcPr>
            <w:tcW w:w="0" w:type="auto"/>
            <w:shd w:val="clear" w:color="auto" w:fill="BFBFBF" w:themeFill="background1" w:themeFillShade="BF"/>
            <w:vAlign w:val="center"/>
          </w:tcPr>
          <w:p w14:paraId="0C603459" w14:textId="4DAA58EF" w:rsidR="006C1969" w:rsidRPr="00113825" w:rsidRDefault="006C1969" w:rsidP="006C1969">
            <w:pPr>
              <w:rPr>
                <w:sz w:val="16"/>
                <w:szCs w:val="16"/>
              </w:rPr>
            </w:pPr>
            <w:r w:rsidRPr="00113825">
              <w:rPr>
                <w:sz w:val="16"/>
                <w:szCs w:val="16"/>
              </w:rPr>
              <w:t>Total</w:t>
            </w:r>
          </w:p>
        </w:tc>
        <w:tc>
          <w:tcPr>
            <w:tcW w:w="0" w:type="auto"/>
            <w:shd w:val="clear" w:color="auto" w:fill="BFBFBF" w:themeFill="background1" w:themeFillShade="BF"/>
          </w:tcPr>
          <w:p w14:paraId="61C4FD2B" w14:textId="078D5128" w:rsidR="006C1969" w:rsidRPr="00113825" w:rsidRDefault="006C1969" w:rsidP="006C1969">
            <w:pPr>
              <w:jc w:val="right"/>
              <w:rPr>
                <w:rFonts w:cstheme="majorHAnsi"/>
                <w:sz w:val="16"/>
                <w:szCs w:val="16"/>
              </w:rPr>
            </w:pPr>
            <w:r w:rsidRPr="00113825">
              <w:rPr>
                <w:rFonts w:cstheme="majorHAnsi"/>
                <w:sz w:val="16"/>
                <w:szCs w:val="16"/>
              </w:rPr>
              <w:t>8.409</w:t>
            </w:r>
          </w:p>
        </w:tc>
        <w:tc>
          <w:tcPr>
            <w:tcW w:w="0" w:type="auto"/>
            <w:shd w:val="clear" w:color="auto" w:fill="BFBFBF" w:themeFill="background1" w:themeFillShade="BF"/>
          </w:tcPr>
          <w:p w14:paraId="5D31355C" w14:textId="3BF44307" w:rsidR="006C1969" w:rsidRPr="00113825" w:rsidRDefault="006C1969" w:rsidP="006C1969">
            <w:pPr>
              <w:jc w:val="right"/>
              <w:rPr>
                <w:rFonts w:cstheme="majorHAnsi"/>
                <w:sz w:val="16"/>
                <w:szCs w:val="16"/>
              </w:rPr>
            </w:pPr>
            <w:r w:rsidRPr="00113825">
              <w:rPr>
                <w:rFonts w:cstheme="majorHAnsi"/>
                <w:sz w:val="16"/>
                <w:szCs w:val="16"/>
              </w:rPr>
              <w:t>4.416</w:t>
            </w:r>
          </w:p>
        </w:tc>
        <w:tc>
          <w:tcPr>
            <w:tcW w:w="1080" w:type="dxa"/>
            <w:shd w:val="clear" w:color="auto" w:fill="BFBFBF" w:themeFill="background1" w:themeFillShade="BF"/>
          </w:tcPr>
          <w:p w14:paraId="43D8E2FD" w14:textId="1E41C511" w:rsidR="006C1969" w:rsidRPr="00113825" w:rsidRDefault="006C1969" w:rsidP="006C1969">
            <w:pPr>
              <w:jc w:val="right"/>
              <w:rPr>
                <w:rFonts w:cstheme="majorHAnsi"/>
                <w:sz w:val="16"/>
                <w:szCs w:val="16"/>
              </w:rPr>
            </w:pPr>
            <w:r w:rsidRPr="00113825">
              <w:rPr>
                <w:rFonts w:cstheme="majorHAnsi"/>
                <w:sz w:val="16"/>
                <w:szCs w:val="16"/>
              </w:rPr>
              <w:t>13.966</w:t>
            </w:r>
          </w:p>
        </w:tc>
        <w:tc>
          <w:tcPr>
            <w:tcW w:w="1170" w:type="dxa"/>
            <w:shd w:val="clear" w:color="auto" w:fill="BFBFBF" w:themeFill="background1" w:themeFillShade="BF"/>
          </w:tcPr>
          <w:p w14:paraId="7288D235" w14:textId="0A937B37" w:rsidR="006C1969" w:rsidRPr="00113825" w:rsidRDefault="006C1969" w:rsidP="006C1969">
            <w:pPr>
              <w:jc w:val="right"/>
              <w:rPr>
                <w:rFonts w:cstheme="majorHAnsi"/>
                <w:sz w:val="16"/>
                <w:szCs w:val="16"/>
              </w:rPr>
            </w:pPr>
            <w:r w:rsidRPr="00113825">
              <w:rPr>
                <w:rFonts w:cstheme="majorHAnsi"/>
                <w:sz w:val="16"/>
                <w:szCs w:val="16"/>
              </w:rPr>
              <w:t>6.217</w:t>
            </w:r>
          </w:p>
        </w:tc>
        <w:tc>
          <w:tcPr>
            <w:tcW w:w="1080" w:type="dxa"/>
            <w:shd w:val="clear" w:color="auto" w:fill="BFBFBF" w:themeFill="background1" w:themeFillShade="BF"/>
          </w:tcPr>
          <w:p w14:paraId="05F53458" w14:textId="6A5EC1CF" w:rsidR="006C1969" w:rsidRPr="00113825" w:rsidRDefault="006C1969" w:rsidP="006C1969">
            <w:pPr>
              <w:jc w:val="right"/>
              <w:rPr>
                <w:rFonts w:cstheme="majorHAnsi"/>
                <w:sz w:val="16"/>
                <w:szCs w:val="16"/>
              </w:rPr>
            </w:pPr>
            <w:r w:rsidRPr="00113825">
              <w:rPr>
                <w:rFonts w:cstheme="majorHAnsi"/>
                <w:sz w:val="16"/>
                <w:szCs w:val="16"/>
              </w:rPr>
              <w:t>2.191</w:t>
            </w:r>
          </w:p>
        </w:tc>
      </w:tr>
    </w:tbl>
    <w:p w14:paraId="2623D06A" w14:textId="343A1F90" w:rsidR="00E05467" w:rsidRPr="00113825" w:rsidRDefault="00E05467" w:rsidP="00882C70">
      <w:pPr>
        <w:pStyle w:val="Caption"/>
        <w:keepNext/>
        <w:jc w:val="both"/>
        <w:rPr>
          <w:rFonts w:eastAsiaTheme="minorEastAsia"/>
          <w:i w:val="0"/>
          <w:color w:val="auto"/>
          <w:sz w:val="2"/>
        </w:rPr>
      </w:pPr>
    </w:p>
    <w:p w14:paraId="06A9B69B" w14:textId="1AC3DF2B" w:rsidR="00E05467" w:rsidRPr="00113825" w:rsidRDefault="00E05467" w:rsidP="00C53CF3">
      <w:pPr>
        <w:jc w:val="both"/>
      </w:pPr>
      <w:r w:rsidRPr="00113825">
        <w:t>A standard uncertainty map (</w:t>
      </w:r>
      <w:r w:rsidR="009432CF" w:rsidRPr="00113825">
        <w:rPr>
          <w:i/>
          <w:szCs w:val="20"/>
        </w:rPr>
        <w:fldChar w:fldCharType="begin"/>
      </w:r>
      <w:r w:rsidR="009432CF" w:rsidRPr="00113825">
        <w:rPr>
          <w:i/>
        </w:rPr>
        <w:instrText xml:space="preserve"> REF _Ref26892226 \h </w:instrText>
      </w:r>
      <w:r w:rsidR="009432CF" w:rsidRPr="00113825">
        <w:rPr>
          <w:i/>
          <w:szCs w:val="20"/>
        </w:rPr>
        <w:instrText xml:space="preserve"> \* MERGEFORMAT </w:instrText>
      </w:r>
      <w:r w:rsidR="009432CF" w:rsidRPr="00113825">
        <w:rPr>
          <w:i/>
          <w:szCs w:val="20"/>
        </w:rPr>
      </w:r>
      <w:r w:rsidR="009432CF" w:rsidRPr="00113825">
        <w:rPr>
          <w:i/>
          <w:szCs w:val="20"/>
        </w:rPr>
        <w:fldChar w:fldCharType="separate"/>
      </w:r>
      <w:r w:rsidR="00113825" w:rsidRPr="00113825">
        <w:rPr>
          <w:i/>
        </w:rPr>
        <w:t xml:space="preserve">Figure </w:t>
      </w:r>
      <w:r w:rsidR="00113825" w:rsidRPr="00113825">
        <w:rPr>
          <w:i/>
          <w:noProof/>
        </w:rPr>
        <w:t>9</w:t>
      </w:r>
      <w:r w:rsidR="009432CF" w:rsidRPr="00113825">
        <w:rPr>
          <w:i/>
          <w:szCs w:val="20"/>
        </w:rPr>
        <w:fldChar w:fldCharType="end"/>
      </w:r>
      <w:r w:rsidRPr="00113825">
        <w:t xml:space="preserve">) was also synthesized after estimating the higher and lower values of PFRs. The pixels in the standard uncertainty map of PFRs represent the uncertainty in terms of </w:t>
      </w:r>
      <w:r w:rsidR="000C5501" w:rsidRPr="00113825">
        <w:t>Mg</w:t>
      </w:r>
      <w:r w:rsidRPr="00113825">
        <w:rPr>
          <w:vertAlign w:val="subscript"/>
        </w:rPr>
        <w:t xml:space="preserve">dry matter </w:t>
      </w:r>
      <w:r w:rsidR="006167B1" w:rsidRPr="00113825">
        <w:t>year</w:t>
      </w:r>
      <w:r w:rsidRPr="00113825">
        <w:rPr>
          <w:vertAlign w:val="superscript"/>
        </w:rPr>
        <w:t>-1</w:t>
      </w:r>
      <w:r w:rsidRPr="00113825">
        <w:t xml:space="preserve"> per pixel. The standard uncertainty of availability of PFRs in France ranged from a minimum of </w:t>
      </w:r>
      <w:r w:rsidR="008B785B" w:rsidRPr="00113825">
        <w:rPr>
          <w:rFonts w:cstheme="majorHAnsi"/>
        </w:rPr>
        <w:t>0</w:t>
      </w:r>
      <w:r w:rsidRPr="00113825">
        <w:t xml:space="preserve"> </w:t>
      </w:r>
      <w:r w:rsidR="000C5501" w:rsidRPr="00113825">
        <w:t>Mg</w:t>
      </w:r>
      <w:r w:rsidRPr="00113825">
        <w:rPr>
          <w:vertAlign w:val="subscript"/>
        </w:rPr>
        <w:t>dry matter</w:t>
      </w:r>
      <w:r w:rsidRPr="00113825">
        <w:t xml:space="preserve"> </w:t>
      </w:r>
      <w:r w:rsidR="006167B1" w:rsidRPr="00113825">
        <w:t>year</w:t>
      </w:r>
      <w:r w:rsidRPr="00113825">
        <w:rPr>
          <w:vertAlign w:val="superscript"/>
        </w:rPr>
        <w:t>-1</w:t>
      </w:r>
      <w:r w:rsidRPr="00113825">
        <w:t xml:space="preserve"> to a maximum of 0.68 </w:t>
      </w:r>
      <w:r w:rsidR="000C5501" w:rsidRPr="00113825">
        <w:t>Mg</w:t>
      </w:r>
      <w:r w:rsidRPr="00113825">
        <w:rPr>
          <w:vertAlign w:val="subscript"/>
        </w:rPr>
        <w:t>dry matter</w:t>
      </w:r>
      <w:r w:rsidRPr="00113825">
        <w:t xml:space="preserve"> </w:t>
      </w:r>
      <w:r w:rsidR="006167B1" w:rsidRPr="00113825">
        <w:t>year</w:t>
      </w:r>
      <w:r w:rsidRPr="00113825">
        <w:rPr>
          <w:vertAlign w:val="superscript"/>
        </w:rPr>
        <w:t>-1</w:t>
      </w:r>
      <w:r w:rsidRPr="00113825">
        <w:t>. From a general visual inspection, the uncertainty was observed to be higher in areas where the available potential for PFRs was also high and l</w:t>
      </w:r>
      <w:r w:rsidR="00761FCE" w:rsidRPr="00113825">
        <w:t>ower</w:t>
      </w:r>
      <w:r w:rsidRPr="00113825">
        <w:t xml:space="preserve"> in areas where the available potential for PFRs was </w:t>
      </w:r>
      <w:r w:rsidR="00490F12" w:rsidRPr="00113825">
        <w:t>smaller</w:t>
      </w:r>
      <w:r w:rsidRPr="00113825">
        <w:t>.</w:t>
      </w:r>
      <w:r w:rsidR="008B785B" w:rsidRPr="00113825">
        <w:t xml:space="preserve"> The standard uncertainty in the spatial quantification of PFRs followed the same spatial pattern as the theoretical potential of PFRs in Figure 6. </w:t>
      </w:r>
    </w:p>
    <w:p w14:paraId="6E5BD904" w14:textId="77777777" w:rsidR="009432CF" w:rsidRPr="00113825" w:rsidRDefault="00861BDB" w:rsidP="00C53CF3">
      <w:pPr>
        <w:keepNext/>
        <w:spacing w:after="120" w:line="240" w:lineRule="auto"/>
        <w:jc w:val="center"/>
      </w:pPr>
      <w:r w:rsidRPr="00113825">
        <w:rPr>
          <w:i/>
          <w:noProof/>
        </w:rPr>
        <w:drawing>
          <wp:inline distT="0" distB="0" distL="0" distR="0" wp14:anchorId="72B5C6C0" wp14:editId="3F756303">
            <wp:extent cx="5551170" cy="4829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dard Deviation.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551170" cy="4829175"/>
                    </a:xfrm>
                    <a:prstGeom prst="rect">
                      <a:avLst/>
                    </a:prstGeom>
                  </pic:spPr>
                </pic:pic>
              </a:graphicData>
            </a:graphic>
          </wp:inline>
        </w:drawing>
      </w:r>
    </w:p>
    <w:p w14:paraId="0C11E3D2" w14:textId="5854ED46" w:rsidR="008D0053" w:rsidRPr="00113825" w:rsidRDefault="009432CF" w:rsidP="00C53CF3">
      <w:pPr>
        <w:pStyle w:val="Caption"/>
        <w:jc w:val="center"/>
        <w:rPr>
          <w:color w:val="auto"/>
          <w:sz w:val="22"/>
        </w:rPr>
      </w:pPr>
      <w:bookmarkStart w:id="16" w:name="_Ref26892226"/>
      <w:r w:rsidRPr="00113825">
        <w:rPr>
          <w:color w:val="auto"/>
          <w:sz w:val="20"/>
        </w:rPr>
        <w:t xml:space="preserve">Figure </w:t>
      </w:r>
      <w:r w:rsidRPr="00113825">
        <w:rPr>
          <w:color w:val="auto"/>
          <w:sz w:val="20"/>
        </w:rPr>
        <w:fldChar w:fldCharType="begin"/>
      </w:r>
      <w:r w:rsidRPr="00113825">
        <w:rPr>
          <w:color w:val="auto"/>
          <w:sz w:val="20"/>
        </w:rPr>
        <w:instrText xml:space="preserve"> SEQ Figure \* ARABIC </w:instrText>
      </w:r>
      <w:r w:rsidRPr="00113825">
        <w:rPr>
          <w:color w:val="auto"/>
          <w:sz w:val="20"/>
        </w:rPr>
        <w:fldChar w:fldCharType="separate"/>
      </w:r>
      <w:r w:rsidR="00113825">
        <w:rPr>
          <w:noProof/>
          <w:color w:val="auto"/>
          <w:sz w:val="20"/>
        </w:rPr>
        <w:t>9</w:t>
      </w:r>
      <w:r w:rsidRPr="00113825">
        <w:rPr>
          <w:color w:val="auto"/>
          <w:sz w:val="20"/>
        </w:rPr>
        <w:fldChar w:fldCharType="end"/>
      </w:r>
      <w:bookmarkEnd w:id="16"/>
      <w:r w:rsidRPr="00113825">
        <w:rPr>
          <w:color w:val="auto"/>
          <w:sz w:val="20"/>
        </w:rPr>
        <w:t>: Standard uncertainty in the estimation of Primary Forestry Residues at the pixel level</w:t>
      </w:r>
    </w:p>
    <w:p w14:paraId="572C7AB3" w14:textId="1A7E1D75" w:rsidR="00107E1D" w:rsidRPr="00113825" w:rsidRDefault="00107E1D">
      <w:pPr>
        <w:pStyle w:val="Heading1"/>
      </w:pPr>
      <w:r w:rsidRPr="00113825">
        <w:lastRenderedPageBreak/>
        <w:t>5. Discussion</w:t>
      </w:r>
    </w:p>
    <w:p w14:paraId="4A644890" w14:textId="77777777" w:rsidR="00D62129" w:rsidRPr="00113825" w:rsidRDefault="00D62129" w:rsidP="00D62129">
      <w:pPr>
        <w:jc w:val="both"/>
        <w:rPr>
          <w:szCs w:val="20"/>
        </w:rPr>
      </w:pPr>
      <w:r w:rsidRPr="00113825">
        <w:t>The work presented in this study bridges the gap between spatial sciences, forestry, and bioeconomy by providing an easily replicable spatially explicit framework “</w:t>
      </w:r>
      <w:proofErr w:type="spellStart"/>
      <w:r w:rsidRPr="00113825">
        <w:t>CamBEE</w:t>
      </w:r>
      <w:proofErr w:type="spellEnd"/>
      <w:r w:rsidRPr="00113825">
        <w:t xml:space="preserve">” for estimating PFRs at high resolution. The </w:t>
      </w:r>
      <w:proofErr w:type="spellStart"/>
      <w:r w:rsidRPr="00113825">
        <w:t>CamBEE</w:t>
      </w:r>
      <w:proofErr w:type="spellEnd"/>
      <w:r w:rsidRPr="00113825">
        <w:t xml:space="preserve"> framework can work across wide ranges of geographical scales and spatial resolution with open source data. </w:t>
      </w:r>
      <w:r w:rsidRPr="00113825">
        <w:rPr>
          <w:szCs w:val="20"/>
        </w:rPr>
        <w:t xml:space="preserve">The study also provides a detailed illustration of the proposed framework and exemplifies its use as a case study for France. What makes the </w:t>
      </w:r>
      <w:proofErr w:type="spellStart"/>
      <w:r w:rsidRPr="00113825">
        <w:rPr>
          <w:szCs w:val="20"/>
        </w:rPr>
        <w:t>CamBEE</w:t>
      </w:r>
      <w:proofErr w:type="spellEnd"/>
      <w:r w:rsidRPr="00113825">
        <w:rPr>
          <w:szCs w:val="20"/>
        </w:rPr>
        <w:t xml:space="preserve"> framework unique is the explicit incorporation of uncertainties to derive the final PFR estimates. The other existing methods (Table 1) do not account for the uncertainty that may be incorporated through the input data or that are propagated through the calculation steps. Our exemplification case for France highlighted that the variability of estimates can reach a relatively high degree; a theoretical PFRs potential ranging from about 4.4 Million Mg</w:t>
      </w:r>
      <w:r w:rsidRPr="00113825">
        <w:rPr>
          <w:szCs w:val="20"/>
          <w:vertAlign w:val="subscript"/>
        </w:rPr>
        <w:t>dry matter</w:t>
      </w:r>
      <w:r w:rsidRPr="00113825">
        <w:rPr>
          <w:szCs w:val="20"/>
        </w:rPr>
        <w:t xml:space="preserve"> year</w:t>
      </w:r>
      <w:r w:rsidRPr="00113825">
        <w:rPr>
          <w:szCs w:val="20"/>
          <w:vertAlign w:val="superscript"/>
        </w:rPr>
        <w:t>-1</w:t>
      </w:r>
      <w:r w:rsidRPr="00113825">
        <w:rPr>
          <w:szCs w:val="20"/>
        </w:rPr>
        <w:t xml:space="preserve"> to about 13.9 Million Mg</w:t>
      </w:r>
      <w:r w:rsidRPr="00113825">
        <w:rPr>
          <w:szCs w:val="20"/>
          <w:vertAlign w:val="subscript"/>
        </w:rPr>
        <w:t>dry matter</w:t>
      </w:r>
      <w:r w:rsidRPr="00113825">
        <w:rPr>
          <w:szCs w:val="20"/>
        </w:rPr>
        <w:t xml:space="preserve"> year</w:t>
      </w:r>
      <w:r w:rsidRPr="00113825">
        <w:rPr>
          <w:szCs w:val="20"/>
          <w:vertAlign w:val="superscript"/>
        </w:rPr>
        <w:t>-1</w:t>
      </w:r>
      <w:r w:rsidRPr="00113825">
        <w:rPr>
          <w:szCs w:val="20"/>
        </w:rPr>
        <w:t xml:space="preserve"> was obtained (i.e. ca. doubling or halving the potential estimated without uncertainties). Therefore, the uncertainty must be accounted for when making strategic investment decisions into future bioeconomy technologies. </w:t>
      </w:r>
    </w:p>
    <w:p w14:paraId="0440934F" w14:textId="390B1874" w:rsidR="00D62129" w:rsidRPr="00113825" w:rsidRDefault="00D62129" w:rsidP="00D62129">
      <w:pPr>
        <w:jc w:val="both"/>
        <w:rPr>
          <w:szCs w:val="20"/>
        </w:rPr>
      </w:pPr>
      <w:r w:rsidRPr="00113825">
        <w:rPr>
          <w:szCs w:val="20"/>
        </w:rPr>
        <w:t xml:space="preserve">The framework presented and illustrated in this paper can be used to derive the so-called “theoretical” potential of PFRs. However, as the framework is explicitly described, different restriction conditions can easily be applied within the Geographic Information System (GIS) environment </w:t>
      </w:r>
      <w:r w:rsidR="0092530C" w:rsidRPr="00113825">
        <w:rPr>
          <w:szCs w:val="20"/>
        </w:rPr>
        <w:t xml:space="preserve">that </w:t>
      </w:r>
      <w:r w:rsidRPr="00113825">
        <w:rPr>
          <w:szCs w:val="20"/>
        </w:rPr>
        <w:t xml:space="preserve">can be used to yield other potentials. These would then be considered as a step 5 of the </w:t>
      </w:r>
      <w:proofErr w:type="spellStart"/>
      <w:r w:rsidRPr="00113825">
        <w:rPr>
          <w:szCs w:val="20"/>
        </w:rPr>
        <w:t>CamBEE</w:t>
      </w:r>
      <w:proofErr w:type="spellEnd"/>
      <w:r w:rsidRPr="00113825">
        <w:rPr>
          <w:szCs w:val="20"/>
        </w:rPr>
        <w:t xml:space="preserve"> framework. In fact, many studies express concerns with the maintenance of soil organic carbon as an important ecological service provided by PFR residues </w:t>
      </w:r>
      <w:r w:rsidRPr="00113825">
        <w:rPr>
          <w:szCs w:val="20"/>
        </w:rPr>
        <w:fldChar w:fldCharType="begin" w:fldLock="1"/>
      </w:r>
      <w:r w:rsidR="0089363E" w:rsidRPr="00113825">
        <w:rPr>
          <w:szCs w:val="20"/>
        </w:rPr>
        <w:instrText>ADDIN CSL_CITATION {"citationItems":[{"id":"ITEM-1","itemData":{"DOI":"10.1111/gcbb.12285","ISSN":"17571707","abstract":"© 2016 John Wiley &amp; Sons Ltd. By-products of agricultural and forestry processes, known as residues, may act as a primary source of renewable energy. Studies assessing the availability of this resource offer little insight on the drivers and constraints of the available potential as well as the associated costs and how these may vary across scenarios. This study projects long-term global supply curves of the available potential using consistent scenarios of agriculture and forestry production, livestock production and fuel use from the spatially explicit integrated assessment model IMAGE. In the projections, residue production is related to agricultural and forestry production and intensification, and the limiting effect of ecological and alternative uses of residues are accounted for. Depending on the scenario, theoretical potential is projected to increase from approximately 120 EJ yr-1 today to 140-170 EJ yr-1 by 2100, coming mostly from agricultural production. To maintain ecological functions approximately 40% is required to remain in the field, and a further 20-30% is diverted towards alternative uses. Of the remaining potential (approximately 50 EJ yr-1 in 2100), more than 90% is available at costs &lt;10$2005 GJ-1. Crop yield improvements increase residue productivity, albeit at a lower rate. The consequent decrease in agricultural land results in a lower requirement of residues for erosion control. The theoretical potential is most sensitive to baseline projections of agriculture and forestry demand however, this does not necessarily affect the available potential which is relatively constant across scenarios. The most important limiting factors are the alternative uses. Asia and North America account for two-thirds of the available potential due to the production of crops with high residue yields and socioeconomic conditions which limit alternative uses.","author":[{"dropping-particle":"","family":"Daioglou","given":"Vassilis","non-dropping-particle":"","parse-names":false,"suffix":""},{"dropping-particle":"","family":"Stehfest","given":"Elk","non-dropping-particle":"","parse-names":false,"suffix":""},{"dropping-particle":"","family":"Wicke","given":"Birka","non-dropping-particle":"","parse-names":false,"suffix":""},{"dropping-particle":"","family":"Faaij","given":"Andre","non-dropping-particle":"","parse-names":false,"suffix":""},{"dropping-particle":"","family":"Vuuren","given":"Detlef P.","non-dropping-particle":"van","parse-names":false,"suffix":""}],"container-title":"GCB Bioenergy","id":"ITEM-1","issue":"2","issued":{"date-parts":[["2016"]]},"page":"456-470","title":"Projections of the availability and cost of residues from agriculture and forestry","type":"article-journal","volume":"8"},"uris":["http://www.mendeley.com/documents/?uuid=da1784f3-94fe-49cf-9a6a-bb797ce42bcb"]}],"mendeley":{"formattedCitation":"[7]","plainTextFormattedCitation":"[7]","previouslyFormattedCitation":"(Daioglou &lt;i&gt;et al.&lt;/i&gt;, 2016)"},"properties":{"noteIndex":0},"schema":"https://github.com/citation-style-language/schema/raw/master/csl-citation.json"}</w:instrText>
      </w:r>
      <w:r w:rsidRPr="00113825">
        <w:rPr>
          <w:szCs w:val="20"/>
        </w:rPr>
        <w:fldChar w:fldCharType="separate"/>
      </w:r>
      <w:r w:rsidR="0089363E" w:rsidRPr="00113825">
        <w:rPr>
          <w:noProof/>
          <w:szCs w:val="20"/>
        </w:rPr>
        <w:t>[7]</w:t>
      </w:r>
      <w:r w:rsidRPr="00113825">
        <w:rPr>
          <w:szCs w:val="20"/>
        </w:rPr>
        <w:fldChar w:fldCharType="end"/>
      </w:r>
      <w:r w:rsidRPr="00113825">
        <w:rPr>
          <w:szCs w:val="20"/>
        </w:rPr>
        <w:t xml:space="preserve">. Though essential for bioeconomy strategies </w:t>
      </w:r>
      <w:r w:rsidR="00985370" w:rsidRPr="00113825">
        <w:rPr>
          <w:szCs w:val="20"/>
        </w:rPr>
        <w:fldChar w:fldCharType="begin" w:fldLock="1"/>
      </w:r>
      <w:r w:rsidR="0089363E" w:rsidRPr="00113825">
        <w:rPr>
          <w:szCs w:val="20"/>
        </w:rPr>
        <w:instrText>ADDIN CSL_CITATION {"citationItems":[{"id":"ITEM-1","itemData":{"author":[{"dropping-particle":"","family":"Brassard","given":"Patrick","non-dropping-particle":"","parse-names":false,"suffix":""},{"dropping-particle":"","family":"Godbout","given":"Stephane","non-dropping-particle":"","parse-names":false,"suffix":""},{"dropping-particle":"","family":"Hamelin","given":"Lorie","non-dropping-particle":"","parse-names":false,"suffix":""}],"id":"ITEM-1","issued":{"date-parts":[["0"]]},"title":"Framework for the consequential life cycle assessment of pyrolysis biorefineries: A case study for the conversion of primary forestry residues","type":"article-journal"},"uris":["http://www.mendeley.com/documents/?uuid=cce28fd3-51a9-41d6-ae36-47bf372e6363"]},{"id":"ITEM-2","itemData":{"DOI":"10.1111/gcbb.12290","ISSN":"17571707","abstract":"© 2015 The Authors. Global Change Biology Bioenergy Published by John Wiley  &amp;  Sons Ltd. Biorefining agro-industrial biomass residues for bioenergy production represents an opportunity for both sustainable energy supply and greenhouse gas (GHG) emissions mitigation. Yet, is bioenergy the most sustainable use for these residues? To assess the importance of the alternative use of these residues, a consequential life cycle assessment (LCA) of 32 energy-focused biorefinery scenarios was performed based on eight selected agro-industrial residues and four conversion pathways (two involving bioethanol and two biogas). To specifically address indirect land-use changes (iLUC) induced by the competing feed/food sector, a deterministic iLUC model, addressing global impacts, was developed. A dedicated biochemical model was developed to establish detailed mass, energy, and substance balances for each biomass conversion pathway, as input to the LCA. Th e results demonstrated that, even for residual biomass, environmental savings from fossil fuel displacement can be completely outbalanced by iLUC, depending on the feed value of the biomass residue. This was the case of industrial residues (e.g. whey and beet molasses) in most of the scenarios assessed. Overall, the GHGs from iLUC impacts were quantified to 4.1 t CO 2 -eq.ha −1 demanded  yr −1  corresponding to 1.2–1.4 t CO 2 -eq. t −1  dry biomass diverted from feed to energy market. Only, bioenergy from straw and wild grass was shown to perform better than the alternative use, as no competition with the feed sector was involved. Biogas for heat and power production was the best performing pathway, in a short-term context. Focusing on transport fuels, bioethanol was generally preferable to biomethane considering conventional biogas upgrading technologies. Based on the results, agro-industrial residues cannot be considered burden-free simply because they are a residual biomass and careful accounting of alternative utilization is a prerequisite to assess the sustainability of a given use. In this endeavor, the iLUC factors and biochemical model proposed herein can be used as templates and directly applied to any bioenergy consequential study involving demand for arable land.","author":[{"dropping-particle":"","family":"Tonini","given":"Davide","non-dropping-particle":"","parse-names":false,"suffix":""},{"dropping-particle":"","family":"Hamelin","given":"Lorie","non-dropping-particle":"","parse-names":false,"suffix":""},{"dropping-particle":"","family":"Astrup","given":"Thomas F.","non-dropping-particle":"","parse-names":false,"suffix":""}],"container-title":"GCB Bioenergy","id":"ITEM-2","issue":"4","issued":{"date-parts":[["2016"]]},"page":"690-706","title":"Environmental implications of the use of agro-industrial residues for biorefineries: application of a deterministic model for indirect land-use changes","type":"article-journal","volume":"8"},"uris":["http://www.mendeley.com/documents/?uuid=414c062e-77cb-482d-8d36-c5efeb442be4"]}],"mendeley":{"formattedCitation":"[6], [84]","plainTextFormattedCitation":"[6], [84]","previouslyFormattedCitation":"(Brassard, Godbout and Hamelin, no date; Tonini, Hamelin and Astrup, 2016)"},"properties":{"noteIndex":0},"schema":"https://github.com/citation-style-language/schema/raw/master/csl-citation.json"}</w:instrText>
      </w:r>
      <w:r w:rsidR="00985370" w:rsidRPr="00113825">
        <w:rPr>
          <w:szCs w:val="20"/>
        </w:rPr>
        <w:fldChar w:fldCharType="separate"/>
      </w:r>
      <w:r w:rsidR="0089363E" w:rsidRPr="00113825">
        <w:rPr>
          <w:noProof/>
          <w:szCs w:val="20"/>
        </w:rPr>
        <w:t>[6], [84]</w:t>
      </w:r>
      <w:r w:rsidR="00985370" w:rsidRPr="00113825">
        <w:rPr>
          <w:szCs w:val="20"/>
        </w:rPr>
        <w:fldChar w:fldCharType="end"/>
      </w:r>
      <w:r w:rsidRPr="00113825">
        <w:rPr>
          <w:szCs w:val="20"/>
        </w:rPr>
        <w:t xml:space="preserve">, quantifying the difference of environmental impacts between the current and potential use of PFR is obviously beyond the scope of the present study, but such assessment can henceforth be made at a spatially-explicit scale using the </w:t>
      </w:r>
      <w:proofErr w:type="spellStart"/>
      <w:r w:rsidRPr="00113825">
        <w:rPr>
          <w:szCs w:val="20"/>
        </w:rPr>
        <w:t>CamBEE</w:t>
      </w:r>
      <w:proofErr w:type="spellEnd"/>
      <w:r w:rsidRPr="00113825">
        <w:rPr>
          <w:szCs w:val="20"/>
        </w:rPr>
        <w:t xml:space="preserve"> framework.</w:t>
      </w:r>
    </w:p>
    <w:p w14:paraId="3C5FECC1" w14:textId="429A848C" w:rsidR="00D62129" w:rsidRPr="00113825" w:rsidRDefault="00D62129" w:rsidP="00D62129">
      <w:pPr>
        <w:jc w:val="both"/>
      </w:pPr>
      <w:r w:rsidRPr="00113825">
        <w:t xml:space="preserve">The exemplification results of the case study were partially validated using the statistical data published by Colin and </w:t>
      </w:r>
      <w:proofErr w:type="spellStart"/>
      <w:r w:rsidRPr="00113825">
        <w:t>Thivolle-Cazat</w:t>
      </w:r>
      <w:proofErr w:type="spellEnd"/>
      <w:r w:rsidRPr="00113825">
        <w:t xml:space="preserve"> </w:t>
      </w:r>
      <w:r w:rsidRPr="00113825">
        <w:fldChar w:fldCharType="begin" w:fldLock="1"/>
      </w:r>
      <w:r w:rsidR="0089363E" w:rsidRPr="00113825">
        <w:instrText>ADDIN CSL_CITATION {"citationItems":[{"id":"ITEM-1","itemData":{"author":[{"dropping-particle":"","family":"Colin","given":"Antoine","non-dropping-particle":"","parse-names":false,"suffix":""},{"dropping-particle":"","family":"Thivolle","given":"Alain","non-dropping-particle":"","parse-names":false,"suffix":""}],"container-title":"Ademe","id":"ITEM-1","issued":{"date-parts":[["2016"]]},"page":"1-91","title":"Disponibilites Forestieres Pour l'Energie Et Les Materiaux à l'Horizon 2035","type":"article-journal"},"uris":["http://www.mendeley.com/documents/?uuid=45607fad-65aa-4a44-b37a-e54af4e8bab6"]}],"mendeley":{"formattedCitation":"[85]","plainTextFormattedCitation":"[85]","previouslyFormattedCitation":"(Colin and Thivolle, 2016)"},"properties":{"noteIndex":0},"schema":"https://github.com/citation-style-language/schema/raw/master/csl-citation.json"}</w:instrText>
      </w:r>
      <w:r w:rsidRPr="00113825">
        <w:fldChar w:fldCharType="separate"/>
      </w:r>
      <w:r w:rsidR="0089363E" w:rsidRPr="00113825">
        <w:rPr>
          <w:noProof/>
        </w:rPr>
        <w:t>[85]</w:t>
      </w:r>
      <w:r w:rsidRPr="00113825">
        <w:fldChar w:fldCharType="end"/>
      </w:r>
      <w:r w:rsidRPr="00113825">
        <w:t xml:space="preserve">. They reported what they refer to as “gross availability” (similar to theoretical potential) for </w:t>
      </w:r>
      <w:r w:rsidRPr="00113825">
        <w:rPr>
          <w:i/>
        </w:rPr>
        <w:t xml:space="preserve">branches and twigs &lt;7 cm </w:t>
      </w:r>
      <w:r w:rsidRPr="00113825">
        <w:fldChar w:fldCharType="begin" w:fldLock="1"/>
      </w:r>
      <w:r w:rsidR="0089363E" w:rsidRPr="00113825">
        <w:instrText>ADDIN CSL_CITATION {"citationItems":[{"id":"ITEM-1","itemData":{"URL":"https://www.iea.org/data-and-statistics/data-tables?country=FRANCE&amp;energy=Balances&amp;year=2017","accessed":{"date-parts":[["2019","12","17"]]},"id":"ITEM-1","issued":{"date-parts":[["0"]]},"title":"Data tables – Data &amp; Statistics - IEA","type":"webpage"},"uris":["http://www.mendeley.com/documents/?uuid=11768fdb-17fd-3470-a83d-13c9d2bd7770"]}],"mendeley":{"formattedCitation":"[86]","plainTextFormattedCitation":"[86]","previouslyFormattedCitation":"(&lt;i&gt;Data tables – Data &amp; Statistics - IEA&lt;/i&gt;, no date)"},"properties":{"noteIndex":0},"schema":"https://github.com/citation-style-language/schema/raw/master/csl-citation.json"}</w:instrText>
      </w:r>
      <w:r w:rsidRPr="00113825">
        <w:fldChar w:fldCharType="separate"/>
      </w:r>
      <w:r w:rsidR="0089363E" w:rsidRPr="00113825">
        <w:rPr>
          <w:noProof/>
        </w:rPr>
        <w:t>[86]</w:t>
      </w:r>
      <w:r w:rsidRPr="00113825">
        <w:fldChar w:fldCharType="end"/>
      </w:r>
      <w:r w:rsidRPr="00113825">
        <w:t xml:space="preserve"> which roughly translates to PFRs (excluding the foliage and dead or damaged trees) around 6.08 Million </w:t>
      </w:r>
      <w:r w:rsidRPr="00113825">
        <w:rPr>
          <w:szCs w:val="20"/>
        </w:rPr>
        <w:t>Mg</w:t>
      </w:r>
      <w:r w:rsidRPr="00113825">
        <w:rPr>
          <w:szCs w:val="20"/>
          <w:vertAlign w:val="subscript"/>
        </w:rPr>
        <w:t>dry matter</w:t>
      </w:r>
      <w:r w:rsidRPr="00113825">
        <w:rPr>
          <w:szCs w:val="20"/>
        </w:rPr>
        <w:t xml:space="preserve"> </w:t>
      </w:r>
      <w:r w:rsidRPr="00113825">
        <w:t>year</w:t>
      </w:r>
      <w:r w:rsidRPr="00113825">
        <w:rPr>
          <w:vertAlign w:val="superscript"/>
        </w:rPr>
        <w:t>-1</w:t>
      </w:r>
      <w:r w:rsidRPr="00113825">
        <w:t xml:space="preserve"> for the years 2016-2020. This data is not directly available in the report </w:t>
      </w:r>
      <w:r w:rsidRPr="00113825">
        <w:fldChar w:fldCharType="begin" w:fldLock="1"/>
      </w:r>
      <w:r w:rsidR="0089363E" w:rsidRPr="00113825">
        <w:instrText>ADDIN CSL_CITATION {"citationItems":[{"id":"ITEM-1","itemData":{"author":[{"dropping-particle":"","family":"Colin","given":"Antoine","non-dropping-particle":"","parse-names":false,"suffix":""},{"dropping-particle":"","family":"Thivolle","given":"Alain","non-dropping-particle":"","parse-names":false,"suffix":""}],"container-title":"Ademe","id":"ITEM-1","issued":{"date-parts":[["2016"]]},"page":"1-91","title":"Disponibilites Forestieres Pour l'Energie Et Les Materiaux à l'Horizon 2035","type":"article-journal"},"uris":["http://www.mendeley.com/documents/?uuid=45607fad-65aa-4a44-b37a-e54af4e8bab6"]}],"mendeley":{"formattedCitation":"[85]","plainTextFormattedCitation":"[85]","previouslyFormattedCitation":"(Colin and Thivolle, 2016)"},"properties":{"noteIndex":0},"schema":"https://github.com/citation-style-language/schema/raw/master/csl-citation.json"}</w:instrText>
      </w:r>
      <w:r w:rsidRPr="00113825">
        <w:fldChar w:fldCharType="separate"/>
      </w:r>
      <w:r w:rsidR="0089363E" w:rsidRPr="00113825">
        <w:rPr>
          <w:noProof/>
        </w:rPr>
        <w:t>[85]</w:t>
      </w:r>
      <w:r w:rsidRPr="00113825">
        <w:fldChar w:fldCharType="end"/>
      </w:r>
      <w:r w:rsidRPr="00113825">
        <w:t xml:space="preserve"> as the values for gross availability are provided in m</w:t>
      </w:r>
      <w:r w:rsidRPr="00113825">
        <w:rPr>
          <w:vertAlign w:val="superscript"/>
        </w:rPr>
        <w:t>3</w:t>
      </w:r>
      <w:r w:rsidRPr="00113825">
        <w:t xml:space="preserve"> year</w:t>
      </w:r>
      <w:r w:rsidRPr="00113825">
        <w:rPr>
          <w:vertAlign w:val="superscript"/>
        </w:rPr>
        <w:t>-1</w:t>
      </w:r>
      <w:r w:rsidRPr="00113825">
        <w:t xml:space="preserve">, but these can be converted to mass by using the IPCC factors of basic wood density </w:t>
      </w:r>
      <w:r w:rsidRPr="00113825">
        <w:fldChar w:fldCharType="begin" w:fldLock="1"/>
      </w:r>
      <w:r w:rsidR="0089363E" w:rsidRPr="00113825">
        <w:instrText>ADDIN CSL_CITATION {"citationItems":[{"id":"ITEM-1","itemData":{"ISBN":"4887880030","author":[{"dropping-particle":"","family":"Jim Penman","given":"","non-dropping-particle":"","parse-names":false,"suffix":""},{"dropping-particle":"","family":"Gytarsky","given":"Michael","non-dropping-particle":"","parse-names":false,"suffix":""},{"dropping-particle":"","family":"Hiraishi","given":"Taka","non-dropping-particle":"","parse-names":false,"suffix":""},{"dropping-particle":"","family":"Krug","given":"Thelma","non-dropping-particle":"","parse-names":false,"suffix":""},{"dropping-particle":"","family":"Kruger","given":"Dina","non-dropping-particle":"","parse-names":false,"suffix":""},{"dropping-particle":"","family":"Pipatti","given":"Riitta","non-dropping-particle":"","parse-names":false,"suffix":""},{"dropping-particle":"","family":"Buendia","given":"Leandro","non-dropping-particle":"","parse-names":false,"suffix":""},{"dropping-particle":"","family":"Miwa","given":"Kyoko","non-dropping-particle":"","parse-names":false,"suffix":""},{"dropping-particle":"","family":"Ngara","given":"Todd","non-dropping-particle":"","parse-names":false,"suffix":""},{"dropping-particle":"","family":"Tanabe","given":"Kiyoto","non-dropping-particle":"","parse-names":false,"suffix":""},{"dropping-particle":"","family":"Wagner","given":"Fabian","non-dropping-particle":"","parse-names":false,"suffix":""}],"container-title":"IPCC","id":"ITEM-1","issued":{"date-parts":[["2003"]]},"number-of-pages":"590","title":"Good Practice Guidance for Land Use, Land-Use Change and Forestry","type":"report"},"uris":["http://www.mendeley.com/documents/?uuid=9b570d65-cc28-41fd-b1e3-ccbf1464a18e"]}],"mendeley":{"formattedCitation":"[33]","plainTextFormattedCitation":"[33]","previouslyFormattedCitation":"(Jim Penman &lt;i&gt;et al.&lt;/i&gt;, 2003)"},"properties":{"noteIndex":0},"schema":"https://github.com/citation-style-language/schema/raw/master/csl-citation.json"}</w:instrText>
      </w:r>
      <w:r w:rsidRPr="00113825">
        <w:fldChar w:fldCharType="separate"/>
      </w:r>
      <w:r w:rsidR="0089363E" w:rsidRPr="00113825">
        <w:rPr>
          <w:noProof/>
        </w:rPr>
        <w:t>[33]</w:t>
      </w:r>
      <w:r w:rsidRPr="00113825">
        <w:fldChar w:fldCharType="end"/>
      </w:r>
      <w:r w:rsidRPr="00113825">
        <w:t>. Our final estimated figure for France thus deviates by only 38% from the national statistical data; we do not claim this as a proof of validation, but it builds confidence around the range found with CAMBEE.</w:t>
      </w:r>
    </w:p>
    <w:p w14:paraId="470A84A6" w14:textId="344E78BA" w:rsidR="00D62129" w:rsidRPr="00113825" w:rsidRDefault="00D62129" w:rsidP="00D62129">
      <w:pPr>
        <w:jc w:val="both"/>
      </w:pPr>
      <w:r w:rsidRPr="00113825">
        <w:t xml:space="preserve">In contrast, the spatially-explicit study of Hamelin et al. </w:t>
      </w:r>
      <w:r w:rsidRPr="00113825">
        <w:fldChar w:fldCharType="begin" w:fldLock="1"/>
      </w:r>
      <w:r w:rsidR="0089363E" w:rsidRPr="00113825">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EU-27","type":"article-journal","volume":"100"},"uris":["http://www.mendeley.com/documents/?uuid=a79f23ea-152d-444a-b1c0-2b8489565653"]}],"mendeley":{"formattedCitation":"[4]","plainTextFormattedCitation":"[4]","previouslyFormattedCitation":"(Hamelin &lt;i&gt;et al.&lt;/i&gt;, 2019)"},"properties":{"noteIndex":0},"schema":"https://github.com/citation-style-language/schema/raw/master/csl-citation.json"}</w:instrText>
      </w:r>
      <w:r w:rsidRPr="00113825">
        <w:fldChar w:fldCharType="separate"/>
      </w:r>
      <w:r w:rsidR="0089363E" w:rsidRPr="00113825">
        <w:rPr>
          <w:noProof/>
        </w:rPr>
        <w:t>[4]</w:t>
      </w:r>
      <w:r w:rsidRPr="00113825">
        <w:fldChar w:fldCharType="end"/>
      </w:r>
      <w:r w:rsidRPr="00113825">
        <w:t>, where estimates are reported at the European “NUTS-3” level, reveal a theoretical potential of 455 PJ year</w:t>
      </w:r>
      <w:r w:rsidRPr="00113825">
        <w:rPr>
          <w:vertAlign w:val="superscript"/>
        </w:rPr>
        <w:t>-1</w:t>
      </w:r>
      <w:r w:rsidRPr="00113825">
        <w:t xml:space="preserve"> for PFR in France (results extrapolated from the raw dataset of the authors). This represents ca. 24 Million Mg year</w:t>
      </w:r>
      <w:r w:rsidRPr="00113825">
        <w:rPr>
          <w:vertAlign w:val="superscript"/>
        </w:rPr>
        <w:t>-1</w:t>
      </w:r>
      <w:r w:rsidRPr="00113825">
        <w:t>, based on a lower heating value (LHV) of 19.19 GJ Mg</w:t>
      </w:r>
      <w:r w:rsidRPr="00113825">
        <w:rPr>
          <w:vertAlign w:val="superscript"/>
        </w:rPr>
        <w:t>-1</w:t>
      </w:r>
      <w:r w:rsidRPr="00113825">
        <w:t xml:space="preserve"> </w:t>
      </w:r>
      <w:r w:rsidRPr="00113825">
        <w:fldChar w:fldCharType="begin" w:fldLock="1"/>
      </w:r>
      <w:r w:rsidR="0089363E" w:rsidRPr="00113825">
        <w:instrText>ADDIN CSL_CITATION {"citationItems":[{"id":"ITEM-1","itemData":{"DOI":"10.2790/39014","ISBN":"9789279538797","abstract":"The JRC-EU-TIMES is a partial equilibrium energy system model maintained by the Institute for Energy and Transport (IET) of the Joint Research Centre (JRC) to analyse the role of energy technologies development and their potential contribution to decarbonisation pathways of the energy system. The technical potentials for renewable energies are a key input in models of this kind. In this context, it is important to ensure transparency in the assumptions: making available the underlying data to the public is thus an important step that can also further contribute to a scientific and transparent debate. This report is the first in a series, and addresses the quantification of current and future biomass potentials for energy. As already identified in the 2011 European Commission’s Communication Energy roadmap 2050, biomass is expected to play a key role in strengthening the Energy Union pillars by diversifying the energy supply, increasing the energy internal market, decarbonising the economy and boosting competitiveness. Estimating the technical potentials available in EU countries using state of the art methodologies and updated data is important to fully understand the implications of an increased used of biomass for energy. Acknowledging this relevance, much work has been carried to characterise and quantify biomass resources. Building on the initial effort from the European Environment Agency, followed by key projects like BEE and Biomass Futures, this report presents the results of extending and improving current methodologies and estimation to respond to energy system modelling needs, while extending the projections to 2050.","author":[{"dropping-particle":"","family":"Ruiz","given":"Pablo","non-dropping-particle":"","parse-names":false,"suffix":""},{"dropping-particle":"","family":"Sgobbi","given":"Alessandra","non-dropping-particle":"","parse-names":false,"suffix":""},{"dropping-particle":"","family":"Nijs","given":"Wouter","non-dropping-particle":"","parse-names":false,"suffix":""},{"dropping-particle":"","family":"Thiel","given":"Christian","non-dropping-particle":"","parse-names":false,"suffix":""},{"dropping-particle":"","family":"Dalla Longa","given":"Francesco","non-dropping-particle":"","parse-names":false,"suffix":""},{"dropping-particle":"","family":"Kober","given":"Tom","non-dropping-particle":"","parse-names":false,"suffix":""},{"dropping-particle":"","family":"Elbersen","given":"Berien","non-dropping-particle":"","parse-names":false,"suffix":""},{"dropping-particle":"","family":"Hengeveld","given":"Geerten","non-dropping-particle":"","parse-names":false,"suffix":""},{"dropping-particle":"","family":"Alterra","given":"","non-dropping-particle":"","parse-names":false,"suffix":""}],"id":"ITEM-1","issued":{"date-parts":[["2015"]]},"number-of-pages":"176","publisher":"European Commission Joint Research Centre","title":"The JRC-EU-TIMES model. Bioenergy potentials for EU and neighbouring countries","type":"book"},"uris":["http://www.mendeley.com/documents/?uuid=4f764bd6-738f-47f5-b554-b1efdc00eeda"]}],"mendeley":{"formattedCitation":"[8]","plainTextFormattedCitation":"[8]","previouslyFormattedCitation":"(Ruiz &lt;i&gt;et al.&lt;/i&gt;, 2015)"},"properties":{"noteIndex":0},"schema":"https://github.com/citation-style-language/schema/raw/master/csl-citation.json"}</w:instrText>
      </w:r>
      <w:r w:rsidRPr="00113825">
        <w:fldChar w:fldCharType="separate"/>
      </w:r>
      <w:r w:rsidR="0089363E" w:rsidRPr="00113825">
        <w:rPr>
          <w:noProof/>
        </w:rPr>
        <w:t>[8]</w:t>
      </w:r>
      <w:r w:rsidRPr="00113825">
        <w:fldChar w:fldCharType="end"/>
      </w:r>
      <w:r w:rsidRPr="00113825">
        <w:t xml:space="preserve">, which is nearly 3-fold the potential found in our study. The higher value reported in </w:t>
      </w:r>
      <w:r w:rsidRPr="00113825">
        <w:fldChar w:fldCharType="begin" w:fldLock="1"/>
      </w:r>
      <w:r w:rsidR="0089363E" w:rsidRPr="00113825">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EU-27","type":"article-journal","volume":"100"},"uris":["http://www.mendeley.com/documents/?uuid=a79f23ea-152d-444a-b1c0-2b8489565653"]}],"mendeley":{"formattedCitation":"[4]","plainTextFormattedCitation":"[4]","previouslyFormattedCitation":"(Hamelin &lt;i&gt;et al.&lt;/i&gt;, 2019)"},"properties":{"noteIndex":0},"schema":"https://github.com/citation-style-language/schema/raw/master/csl-citation.json"}</w:instrText>
      </w:r>
      <w:r w:rsidRPr="00113825">
        <w:fldChar w:fldCharType="separate"/>
      </w:r>
      <w:r w:rsidR="0089363E" w:rsidRPr="00113825">
        <w:rPr>
          <w:noProof/>
        </w:rPr>
        <w:t>[4]</w:t>
      </w:r>
      <w:r w:rsidRPr="00113825">
        <w:fldChar w:fldCharType="end"/>
      </w:r>
      <w:r w:rsidRPr="00113825">
        <w:t xml:space="preserve"> is explained by </w:t>
      </w:r>
      <w:r w:rsidRPr="00113825">
        <w:rPr>
          <w:i/>
        </w:rPr>
        <w:t>(</w:t>
      </w:r>
      <w:proofErr w:type="spellStart"/>
      <w:r w:rsidRPr="00113825">
        <w:rPr>
          <w:i/>
        </w:rPr>
        <w:t>i</w:t>
      </w:r>
      <w:proofErr w:type="spellEnd"/>
      <w:r w:rsidRPr="00113825">
        <w:rPr>
          <w:i/>
        </w:rPr>
        <w:t xml:space="preserve">) the </w:t>
      </w:r>
      <w:r w:rsidRPr="00113825">
        <w:t xml:space="preserve">inclusion of stumps as a residual component of the stream, and </w:t>
      </w:r>
      <w:r w:rsidRPr="00113825">
        <w:rPr>
          <w:i/>
        </w:rPr>
        <w:t xml:space="preserve">(ii) </w:t>
      </w:r>
      <w:r w:rsidRPr="00113825">
        <w:t xml:space="preserve">the methodological framework itself, where country level data on forest statistics were simply (and coarsely) scaled down to different administrative regions. Conversely, our framework aggregates pixel level data to different administrative regions following a bottom-up approach, thus avoiding inconsistencies in the resolution of </w:t>
      </w:r>
      <w:r w:rsidR="0092530C" w:rsidRPr="00113825">
        <w:t xml:space="preserve">the </w:t>
      </w:r>
      <w:r w:rsidRPr="00113825">
        <w:t>dataset used, and providing more reliable estimates. This indicate</w:t>
      </w:r>
      <w:r w:rsidR="0092530C" w:rsidRPr="00113825">
        <w:t>s</w:t>
      </w:r>
      <w:r w:rsidRPr="00113825">
        <w:t xml:space="preserve"> that the results of </w:t>
      </w:r>
      <w:r w:rsidRPr="00113825">
        <w:fldChar w:fldCharType="begin" w:fldLock="1"/>
      </w:r>
      <w:r w:rsidR="0089363E" w:rsidRPr="00113825">
        <w:instrText>ADDIN CSL_CITATION {"citationItems":[{"id":"ITEM-1","itemData":{"DOI":"10.1016/j.rser.2018.10.017","ISSN":"18790690","abstract":"Bioeconomy is seen as a key strategic innovation pillar in the European Union, and this involves, among other things, mobilizing biomass resources. This study presents a geo-localized methodology in order to quantify the overall (theoretical) residual biomass potential for each NUTS-3 region of the EU-27 + Switzerland (NUTS-3 is the smallest regional division in Eurostat's Nomenclature of Territorial Units for Statistics). Estimates were made for biomass residues stemming from 4 main activities: i) agriculture (straw, manure, residues from pruning permanent plantations); ii) forestry (forestry residues); iii) urban greenery management (residues from managing urban green areas and roadside vegetation); and iv) food waste (agri-industrial food process waste and municipal biodegradable waste). A review of earlier assessments using a variety of spatial coverages is also presented. Our results reveal the importance of residual biomass as a key feedstock for the European bioeconomy: we found that 8500 PJ y−1 are available for these streams (theoretical potential), which corresponds to the whole annual (2015) primary energy consumption of Italy and Belgium combined. Straw (3800 PJ y−1) and forestry residues (3200 PJ y−1) were shown as the top-two contributors. Our geo-localized approach uncovered outliers in terms of regional trends, revealing very specific opportunities for these regions. This includes the NUTS-3 region of Paris (France) where the highest biomass density was found with ca. 25 TJ km−2 (essentially food waste), and the NUTS-3 of Jaen (Spain), the main region of olive oil in the world, with great opportunities stemming from the olive oil industry.","author":[{"dropping-particle":"","family":"Hamelin","given":"Lorie","non-dropping-particle":"","parse-names":false,"suffix":""},{"dropping-particle":"","family":"Borzęcka","given":"Magdalena","non-dropping-particle":"","parse-names":false,"suffix":""},{"dropping-particle":"","family":"Kozak","given":"Małgorzata","non-dropping-particle":"","parse-names":false,"suffix":""},{"dropping-particle":"","family":"Pudełko","given":"Rafał","non-dropping-particle":"","parse-names":false,"suffix":""}],"container-title":"Renewable and Sustainable Energy Reviews","id":"ITEM-1","issue":"November 2018","issued":{"date-parts":[["2019"]]},"page":"127-142","title":"A spatial approach to bioeconomy: Quantifying the residual biomass potential in the EU-27","type":"article-journal","volume":"100"},"uris":["http://www.mendeley.com/documents/?uuid=a79f23ea-152d-444a-b1c0-2b8489565653"]}],"mendeley":{"formattedCitation":"[4]","plainTextFormattedCitation":"[4]","previouslyFormattedCitation":"(Hamelin &lt;i&gt;et al.&lt;/i&gt;, 2019)"},"properties":{"noteIndex":0},"schema":"https://github.com/citation-style-language/schema/raw/master/csl-citation.json"}</w:instrText>
      </w:r>
      <w:r w:rsidRPr="00113825">
        <w:fldChar w:fldCharType="separate"/>
      </w:r>
      <w:r w:rsidR="0089363E" w:rsidRPr="00113825">
        <w:rPr>
          <w:noProof/>
        </w:rPr>
        <w:t>[4]</w:t>
      </w:r>
      <w:r w:rsidRPr="00113825">
        <w:fldChar w:fldCharType="end"/>
      </w:r>
      <w:r w:rsidRPr="00113825">
        <w:t xml:space="preserve"> may be overestimated, and accordingly that the residual biomass potential generated in Europe might be lower than previously anticipated.</w:t>
      </w:r>
    </w:p>
    <w:p w14:paraId="798FBAA7" w14:textId="4577BA73" w:rsidR="00D62129" w:rsidRPr="00113825" w:rsidRDefault="00D62129" w:rsidP="00D62129">
      <w:pPr>
        <w:jc w:val="both"/>
        <w:rPr>
          <w:szCs w:val="20"/>
        </w:rPr>
      </w:pPr>
      <w:r w:rsidRPr="00113825">
        <w:t xml:space="preserve">The results obtained from the </w:t>
      </w:r>
      <w:proofErr w:type="spellStart"/>
      <w:r w:rsidRPr="00113825">
        <w:t>CamBEE</w:t>
      </w:r>
      <w:proofErr w:type="spellEnd"/>
      <w:r w:rsidRPr="00113825">
        <w:t xml:space="preserve"> framework are only as good as the input data supplied. </w:t>
      </w:r>
      <w:r w:rsidR="00853440" w:rsidRPr="00113825">
        <w:t>Although</w:t>
      </w:r>
      <w:r w:rsidRPr="00113825">
        <w:t xml:space="preserve"> the uncertainty assessment tries to capture the deviation as ranges, uncertain data will make this range large. </w:t>
      </w:r>
      <w:r w:rsidRPr="00113825">
        <w:rPr>
          <w:szCs w:val="20"/>
        </w:rPr>
        <w:t xml:space="preserve">In the exemplification section, the forest increment statistics that are derived from </w:t>
      </w:r>
      <w:r w:rsidRPr="00113825">
        <w:rPr>
          <w:szCs w:val="20"/>
        </w:rPr>
        <w:fldChar w:fldCharType="begin" w:fldLock="1"/>
      </w:r>
      <w:r w:rsidR="0089363E" w:rsidRPr="00113825">
        <w:rPr>
          <w:szCs w:val="20"/>
        </w:rPr>
        <w:instrText>ADDIN CSL_CITATION {"citationItems":[{"id":"ITEM-1","itemData":{"URL":"https://www.territoires-climat.ademe.fr/actualite/loutil-aldo-pour-une-premiere-estimation-de-la-sequestration-carbone-dans-les-sols-et-la-biomasse","accessed":{"date-parts":[["2019","12","13"]]},"id":"ITEM-1","issued":{"date-parts":[["0"]]},"title":"Ademe PTC","type":"webpage"},"uris":["http://www.mendeley.com/documents/?uuid=3f1c4687-b55e-3d33-a6cf-264c39c41604"]}],"mendeley":{"formattedCitation":"[78]","plainTextFormattedCitation":"[78]","previouslyFormattedCitation":"(&lt;i&gt;Ademe PTC&lt;/i&gt;, no date b)"},"properties":{"noteIndex":0},"schema":"https://github.com/citation-style-language/schema/raw/master/csl-citation.json"}</w:instrText>
      </w:r>
      <w:r w:rsidRPr="00113825">
        <w:rPr>
          <w:szCs w:val="20"/>
        </w:rPr>
        <w:fldChar w:fldCharType="separate"/>
      </w:r>
      <w:r w:rsidR="0089363E" w:rsidRPr="00113825">
        <w:rPr>
          <w:noProof/>
          <w:szCs w:val="20"/>
        </w:rPr>
        <w:t>[78]</w:t>
      </w:r>
      <w:r w:rsidRPr="00113825">
        <w:rPr>
          <w:szCs w:val="20"/>
        </w:rPr>
        <w:fldChar w:fldCharType="end"/>
      </w:r>
      <w:r w:rsidRPr="00113825">
        <w:rPr>
          <w:szCs w:val="20"/>
        </w:rPr>
        <w:t xml:space="preserve"> uses the statistical data of the French intercommunal plans for energy and climate </w:t>
      </w:r>
      <w:r w:rsidRPr="00113825">
        <w:rPr>
          <w:szCs w:val="20"/>
        </w:rPr>
        <w:fldChar w:fldCharType="begin" w:fldLock="1"/>
      </w:r>
      <w:r w:rsidR="0089363E" w:rsidRPr="00113825">
        <w:rPr>
          <w:szCs w:val="20"/>
        </w:rPr>
        <w:instrText>ADDIN CSL_CITATION {"citationItems":[{"id":"ITEM-1","itemData":{"author":[{"dropping-particle":"","family":"Colin","given":"A.","non-dropping-particle":"","parse-names":false,"suffix":""},{"dropping-particle":"","family":"Simon","given":"M.","non-dropping-particle":"","parse-names":false,"suffix":""},{"dropping-particle":"","family":"Roos","given":"E.","non-dropping-particle":"","parse-names":false,"suffix":""},{"dropping-particle":"","family":"Schwarz","given":"Y.","non-dropping-particle":"","parse-names":false,"suffix":""}],"id":"ITEM-1","issued":{"date-parts":[["2019"]]},"title":"Contribution de l'IGN à l'établissement des bilans carbone des forêts des territoires (PCAET)","type":"report"},"uris":["http://www.mendeley.com/documents/?uuid=92a4f922-121f-41d6-9beb-b040b832a6ff"]}],"mendeley":{"formattedCitation":"[87]","manualFormatting":"(89; PCAET)","plainTextFormattedCitation":"[87]","previouslyFormattedCitation":"(Colin &lt;i&gt;et al.&lt;/i&gt;, 2019b)"},"properties":{"noteIndex":0},"schema":"https://github.com/citation-style-language/schema/raw/master/csl-citation.json"}</w:instrText>
      </w:r>
      <w:r w:rsidRPr="00113825">
        <w:rPr>
          <w:szCs w:val="20"/>
        </w:rPr>
        <w:fldChar w:fldCharType="separate"/>
      </w:r>
      <w:r w:rsidRPr="00113825">
        <w:rPr>
          <w:noProof/>
          <w:szCs w:val="20"/>
        </w:rPr>
        <w:t>(89; PCAET)</w:t>
      </w:r>
      <w:r w:rsidRPr="00113825">
        <w:rPr>
          <w:szCs w:val="20"/>
        </w:rPr>
        <w:fldChar w:fldCharType="end"/>
      </w:r>
      <w:r w:rsidRPr="00113825">
        <w:rPr>
          <w:szCs w:val="20"/>
        </w:rPr>
        <w:t>, which in turn cross-reference the NFI survey data with the 1</w:t>
      </w:r>
      <w:r w:rsidR="00665492" w:rsidRPr="00113825">
        <w:rPr>
          <w:szCs w:val="20"/>
        </w:rPr>
        <w:t>1</w:t>
      </w:r>
      <w:r w:rsidRPr="00113825">
        <w:rPr>
          <w:szCs w:val="20"/>
        </w:rPr>
        <w:t xml:space="preserve"> French Biome Regions (GRECO;</w:t>
      </w:r>
      <w:r w:rsidR="0048587F" w:rsidRPr="00113825">
        <w:rPr>
          <w:szCs w:val="20"/>
        </w:rPr>
        <w:t xml:space="preserve"> </w:t>
      </w:r>
      <w:r w:rsidR="0048587F" w:rsidRPr="00113825">
        <w:rPr>
          <w:szCs w:val="20"/>
        </w:rPr>
        <w:fldChar w:fldCharType="begin" w:fldLock="1"/>
      </w:r>
      <w:r w:rsidR="0089363E" w:rsidRPr="00113825">
        <w:rPr>
          <w:szCs w:val="20"/>
        </w:rPr>
        <w:instrText>ADDIN CSL_CITATION {"citationItems":[{"id":"ITEM-1","itemData":{"URL":"https://geo.data.gouv.fr/fr/datasets/6c8a6dc109c93f05365752e494ba4643dce882fa","accessed":{"date-parts":[["2019","12","20"]]},"id":"ITEM-1","issued":{"date-parts":[["0"]]},"title":"Large ecological regions (GRECO) | geo.data.gouv.fr","type":"webpage"},"uris":["http://www.mendeley.com/documents/?uuid=51f3d69e-de27-38b5-bd4c-5e32389e5f13"]}],"mendeley":{"formattedCitation":"[88]","plainTextFormattedCitation":"[88]","previouslyFormattedCitation":"(&lt;i&gt;Large ecological regions (GRECO) | geo.data.gouv.fr&lt;/i&gt;, no date)"},"properties":{"noteIndex":0},"schema":"https://github.com/citation-style-language/schema/raw/master/csl-citation.json"}</w:instrText>
      </w:r>
      <w:r w:rsidR="0048587F" w:rsidRPr="00113825">
        <w:rPr>
          <w:szCs w:val="20"/>
        </w:rPr>
        <w:fldChar w:fldCharType="separate"/>
      </w:r>
      <w:r w:rsidR="0089363E" w:rsidRPr="00113825">
        <w:rPr>
          <w:noProof/>
          <w:szCs w:val="20"/>
        </w:rPr>
        <w:t>[88]</w:t>
      </w:r>
      <w:r w:rsidR="0048587F" w:rsidRPr="00113825">
        <w:rPr>
          <w:szCs w:val="20"/>
        </w:rPr>
        <w:fldChar w:fldCharType="end"/>
      </w:r>
      <w:r w:rsidRPr="00113825">
        <w:rPr>
          <w:szCs w:val="20"/>
        </w:rPr>
        <w:t>) and the French Forestry Regions (SER;</w:t>
      </w:r>
      <w:r w:rsidR="0048587F" w:rsidRPr="00113825">
        <w:rPr>
          <w:szCs w:val="20"/>
        </w:rPr>
        <w:t xml:space="preserve"> </w:t>
      </w:r>
      <w:r w:rsidR="0048587F" w:rsidRPr="00113825">
        <w:rPr>
          <w:szCs w:val="20"/>
        </w:rPr>
        <w:fldChar w:fldCharType="begin" w:fldLock="1"/>
      </w:r>
      <w:r w:rsidR="0089363E" w:rsidRPr="00113825">
        <w:rPr>
          <w:szCs w:val="20"/>
        </w:rPr>
        <w:instrText>ADDIN CSL_CITATION {"citationItems":[{"id":"ITEM-1","itemData":{"URL":"https://geo.data.gouv.fr/fr/datasets/6c8a6dc109c93f05365752e494ba4643dce882fa","accessed":{"date-parts":[["2019","12","20"]]},"id":"ITEM-1","issued":{"date-parts":[["0"]]},"title":"Large ecological regions (GRECO) | geo.data.gouv.fr","type":"webpage"},"uris":["http://www.mendeley.com/documents/?uuid=51f3d69e-de27-38b5-bd4c-5e32389e5f13"]}],"mendeley":{"formattedCitation":"[88]","plainTextFormattedCitation":"[88]","previouslyFormattedCitation":"(&lt;i&gt;Large ecological regions (GRECO) | geo.data.gouv.fr&lt;/i&gt;, no date)"},"properties":{"noteIndex":0},"schema":"https://github.com/citation-style-language/schema/raw/master/csl-citation.json"}</w:instrText>
      </w:r>
      <w:r w:rsidR="0048587F" w:rsidRPr="00113825">
        <w:rPr>
          <w:szCs w:val="20"/>
        </w:rPr>
        <w:fldChar w:fldCharType="separate"/>
      </w:r>
      <w:r w:rsidR="0089363E" w:rsidRPr="00113825">
        <w:rPr>
          <w:noProof/>
          <w:szCs w:val="20"/>
        </w:rPr>
        <w:t>[88]</w:t>
      </w:r>
      <w:r w:rsidR="0048587F" w:rsidRPr="00113825">
        <w:rPr>
          <w:szCs w:val="20"/>
        </w:rPr>
        <w:fldChar w:fldCharType="end"/>
      </w:r>
      <w:r w:rsidRPr="00113825">
        <w:rPr>
          <w:szCs w:val="20"/>
        </w:rPr>
        <w:t xml:space="preserve">) data. The GRECO and SER data describe the climate, geology and geomorphology, hydrography, soils, vegetation, land-use, and forest landscape. The common spatial pattern irrespective of the numerical ranges in the derived maps of France follows the same spatial pattern of the GRECO and SER. The question of how this imposed spatial pattern affects the actual availability of PFRs on the field remains unanswered and can only be verified by extensive field sampling. </w:t>
      </w:r>
    </w:p>
    <w:p w14:paraId="19F89D85" w14:textId="329C73BB" w:rsidR="00D62129" w:rsidRPr="00113825" w:rsidRDefault="00D62129" w:rsidP="00D62129">
      <w:pPr>
        <w:jc w:val="both"/>
      </w:pPr>
      <w:r w:rsidRPr="00113825">
        <w:t xml:space="preserve">Furthermore, it should be highlighted that the results obtained from the </w:t>
      </w:r>
      <w:proofErr w:type="spellStart"/>
      <w:r w:rsidRPr="00113825">
        <w:t>CamBEE</w:t>
      </w:r>
      <w:proofErr w:type="spellEnd"/>
      <w:r w:rsidRPr="00113825">
        <w:t xml:space="preserve"> framework </w:t>
      </w:r>
      <w:r w:rsidR="0092530C" w:rsidRPr="00113825">
        <w:t>are</w:t>
      </w:r>
      <w:r w:rsidRPr="00113825">
        <w:t xml:space="preserve"> a representation of the past. In our case study, we use data from different </w:t>
      </w:r>
      <w:r w:rsidR="0048587F" w:rsidRPr="00113825">
        <w:t>periods</w:t>
      </w:r>
      <w:r w:rsidRPr="00113825">
        <w:t xml:space="preserve">, e.g. the forest map is developed by combining field data from multiple observations at different places with remote sensing data on forest structure (Table 3). The statistical data on </w:t>
      </w:r>
      <w:r w:rsidR="0092530C" w:rsidRPr="00113825">
        <w:t xml:space="preserve">the </w:t>
      </w:r>
      <w:r w:rsidRPr="00113825">
        <w:t xml:space="preserve">factor of basic wood density and biomass expansion also comes from the IPCC report </w:t>
      </w:r>
      <w:r w:rsidRPr="00113825">
        <w:fldChar w:fldCharType="begin" w:fldLock="1"/>
      </w:r>
      <w:r w:rsidR="0089363E" w:rsidRPr="00113825">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Pr="00113825">
        <w:fldChar w:fldCharType="separate"/>
      </w:r>
      <w:r w:rsidR="0089363E" w:rsidRPr="00113825">
        <w:rPr>
          <w:noProof/>
        </w:rPr>
        <w:t>[53]</w:t>
      </w:r>
      <w:r w:rsidRPr="00113825">
        <w:fldChar w:fldCharType="end"/>
      </w:r>
      <w:r w:rsidRPr="00113825">
        <w:t xml:space="preserve"> which was published in 2003. Using data from different time periods may also lead to additional uncertainty </w:t>
      </w:r>
      <w:r w:rsidRPr="00113825">
        <w:lastRenderedPageBreak/>
        <w:t xml:space="preserve">in the results which is not captured here. Notwithstanding, data from simulations on future forest cover and productivity can be used with the </w:t>
      </w:r>
      <w:proofErr w:type="spellStart"/>
      <w:r w:rsidRPr="00113825">
        <w:t>CamBEE</w:t>
      </w:r>
      <w:proofErr w:type="spellEnd"/>
      <w:r w:rsidRPr="00113825">
        <w:t xml:space="preserve"> framework to estimate the PFRs for the future. This could be particularly needed in order to anticipate the changes in PFR potential following e.g. exposure to a warmer climate, or mitigation strategies applied in the forestry sector (e.g. shift from less drought-tolerant species to more tolerant ones).</w:t>
      </w:r>
    </w:p>
    <w:p w14:paraId="71BFACBD" w14:textId="20D739A7" w:rsidR="00D62129" w:rsidRPr="00113825" w:rsidRDefault="00D62129" w:rsidP="00D62129">
      <w:pPr>
        <w:jc w:val="both"/>
        <w:rPr>
          <w:szCs w:val="20"/>
        </w:rPr>
      </w:pPr>
      <w:r w:rsidRPr="00113825">
        <w:rPr>
          <w:szCs w:val="20"/>
        </w:rPr>
        <w:t xml:space="preserve">Moreover, the value of BEFs is contingent on several factors out of which climatic regime of the area and soil attributes are region-specific. BEF are factors widely used to estimate carbon stocks in forests, allowing to estimate the total above-ground biomass generated by a given class of tree (broad leaves, conifer), knowing the minimum diameter at breast height. Most practitioners rely, as in this study, on the estimates provided by the IPCC </w:t>
      </w:r>
      <w:r w:rsidRPr="00113825">
        <w:rPr>
          <w:szCs w:val="20"/>
        </w:rPr>
        <w:fldChar w:fldCharType="begin" w:fldLock="1"/>
      </w:r>
      <w:r w:rsidR="0089363E" w:rsidRPr="00113825">
        <w:rPr>
          <w:szCs w:val="20"/>
        </w:rPr>
        <w:instrText>ADDIN CSL_CITATION {"citationItems":[{"id":"ITEM-1","itemData":{"ISBN":"4887880030","author":[{"dropping-particle":"","family":"IPCC","given":"","non-dropping-particle":"","parse-names":false,"suffix":""}],"container-title":"Good Practice Guidance for Land Use, Land-Use Change and Forestry","id":"ITEM-1","issued":{"date-parts":[["2003"]]},"title":"Good Practice Guidance for Land Use, Land-Use Change and Forestry","type":"book"},"uris":["http://www.mendeley.com/documents/?uuid=2afed240-c597-40ce-9018-cef19e678a31"]}],"mendeley":{"formattedCitation":"[53]","plainTextFormattedCitation":"[53]","previouslyFormattedCitation":"(IPCC, 2003)"},"properties":{"noteIndex":0},"schema":"https://github.com/citation-style-language/schema/raw/master/csl-citation.json"}</w:instrText>
      </w:r>
      <w:r w:rsidRPr="00113825">
        <w:rPr>
          <w:szCs w:val="20"/>
        </w:rPr>
        <w:fldChar w:fldCharType="separate"/>
      </w:r>
      <w:r w:rsidR="0089363E" w:rsidRPr="00113825">
        <w:rPr>
          <w:noProof/>
          <w:szCs w:val="20"/>
        </w:rPr>
        <w:t>[53]</w:t>
      </w:r>
      <w:r w:rsidRPr="00113825">
        <w:rPr>
          <w:szCs w:val="20"/>
        </w:rPr>
        <w:fldChar w:fldCharType="end"/>
      </w:r>
      <w:r w:rsidRPr="00113825">
        <w:rPr>
          <w:szCs w:val="20"/>
        </w:rPr>
        <w:t xml:space="preserve">. However, the IPCC provides these BEF values as coarse aggregated figures for wide biomes (e.g. temperate). In this way, the use of this factor can be seen as a limitation. Nevertheless, the BEF values are provided as ranges in the IPCC, so it is expected that any spatial variation coming from regional attributes will be captured within these ranges. </w:t>
      </w:r>
    </w:p>
    <w:p w14:paraId="6152BC0E" w14:textId="5BC7EAE3" w:rsidR="00D62129" w:rsidRPr="00113825" w:rsidRDefault="00D62129" w:rsidP="00D62129">
      <w:pPr>
        <w:jc w:val="both"/>
        <w:rPr>
          <w:szCs w:val="20"/>
        </w:rPr>
      </w:pPr>
      <w:r w:rsidRPr="00113825">
        <w:t xml:space="preserve">In terms of energy, 8.4 </w:t>
      </w:r>
      <w:r w:rsidRPr="00113825">
        <w:rPr>
          <w:szCs w:val="20"/>
        </w:rPr>
        <w:t>Million Mg</w:t>
      </w:r>
      <w:r w:rsidRPr="00113825">
        <w:rPr>
          <w:szCs w:val="20"/>
          <w:vertAlign w:val="subscript"/>
        </w:rPr>
        <w:t>dry matter</w:t>
      </w:r>
      <w:r w:rsidRPr="00113825">
        <w:rPr>
          <w:szCs w:val="20"/>
        </w:rPr>
        <w:t xml:space="preserve"> year</w:t>
      </w:r>
      <w:r w:rsidRPr="00113825">
        <w:rPr>
          <w:szCs w:val="20"/>
          <w:vertAlign w:val="superscript"/>
        </w:rPr>
        <w:t>-1</w:t>
      </w:r>
      <w:r w:rsidRPr="00113825">
        <w:rPr>
          <w:szCs w:val="20"/>
        </w:rPr>
        <w:t xml:space="preserve"> </w:t>
      </w:r>
      <w:r w:rsidRPr="00113825">
        <w:t>directly translates to ca. 161.2 PJ year</w:t>
      </w:r>
      <w:r w:rsidRPr="00113825">
        <w:rPr>
          <w:vertAlign w:val="superscript"/>
        </w:rPr>
        <w:t>-1</w:t>
      </w:r>
      <w:r w:rsidRPr="00113825">
        <w:t xml:space="preserve"> (considering a LHV of 19.19 GJ Mg</w:t>
      </w:r>
      <w:r w:rsidRPr="00113825">
        <w:rPr>
          <w:vertAlign w:val="superscript"/>
        </w:rPr>
        <w:t>-1</w:t>
      </w:r>
      <w:r w:rsidRPr="00113825">
        <w:t>). This represents about 2.5 % of France</w:t>
      </w:r>
      <w:r w:rsidR="0092530C" w:rsidRPr="00113825">
        <w:t>'s</w:t>
      </w:r>
      <w:r w:rsidRPr="00113825">
        <w:t xml:space="preserve"> 2017 energy consumption </w:t>
      </w:r>
      <w:r w:rsidRPr="00113825">
        <w:fldChar w:fldCharType="begin" w:fldLock="1"/>
      </w:r>
      <w:r w:rsidR="0089363E" w:rsidRPr="00113825">
        <w:instrText>ADDIN CSL_CITATION {"citationItems":[{"id":"ITEM-1","itemData":{"URL":"https://www.iea.org/data-and-statistics/data-tables?country=FRANCE&amp;energy=Balances&amp;year=2017","accessed":{"date-parts":[["2019","12","17"]]},"id":"ITEM-1","issued":{"date-parts":[["0"]]},"title":"Data tables – Data &amp; Statistics - IEA","type":"webpage"},"uris":["http://www.mendeley.com/documents/?uuid=11768fdb-17fd-3470-a83d-13c9d2bd7770"]}],"mendeley":{"formattedCitation":"[86]","plainTextFormattedCitation":"[86]","previouslyFormattedCitation":"(&lt;i&gt;Data tables – Data &amp; Statistics - IEA&lt;/i&gt;, no date)"},"properties":{"noteIndex":0},"schema":"https://github.com/citation-style-language/schema/raw/master/csl-citation.json"}</w:instrText>
      </w:r>
      <w:r w:rsidRPr="00113825">
        <w:fldChar w:fldCharType="separate"/>
      </w:r>
      <w:r w:rsidR="0089363E" w:rsidRPr="00113825">
        <w:rPr>
          <w:noProof/>
        </w:rPr>
        <w:t>[86]</w:t>
      </w:r>
      <w:r w:rsidRPr="00113825">
        <w:fldChar w:fldCharType="end"/>
      </w:r>
      <w:r w:rsidRPr="00113825">
        <w:t xml:space="preserve">. The total available potential of PFRs in this assessment includes both private and public forests, with a substantial quantity of these residues (about 74%) lying with private owners. In a survey study involving 800 forest owners across Sweden, Germany and Portugal, </w:t>
      </w:r>
      <w:proofErr w:type="spellStart"/>
      <w:r w:rsidRPr="00113825">
        <w:rPr>
          <w:szCs w:val="20"/>
        </w:rPr>
        <w:t>Blennow</w:t>
      </w:r>
      <w:proofErr w:type="spellEnd"/>
      <w:r w:rsidRPr="00113825">
        <w:rPr>
          <w:szCs w:val="20"/>
        </w:rPr>
        <w:t xml:space="preserve"> et al. </w:t>
      </w:r>
      <w:r w:rsidRPr="00113825">
        <w:rPr>
          <w:szCs w:val="20"/>
        </w:rPr>
        <w:fldChar w:fldCharType="begin" w:fldLock="1"/>
      </w:r>
      <w:r w:rsidR="0089363E" w:rsidRPr="00113825">
        <w:rPr>
          <w:szCs w:val="20"/>
        </w:rPr>
        <w:instrText>ADDIN CSL_CITATION {"citationItems":[{"id":"ITEM-1","itemData":{"DOI":"10.1016/j.biombioe.2014.05.002","ISSN":"09619534","abstract":"The European Commission expects the use of biomass for energy in the EU to increase significantly between 2010 and 2020 to meet a legally binding target to cover at least 20% of EU's total energy use from renewable sources in 2020. According to estimates made by the member states of the EU, the direct supply of biomass from forests is expected to increase by 45% on a volume basis between 2006 and 2020 in response to increasing demand (Beurskens LWM, Hekkenberg M, Vethman P. Renewable energy projections as published in the national renewable energy action plans of the European Member states. ECN and EEA; 2011. http://https://www.ecn.nl/docs/library/report/2010/e10069.pdf [accessed 25.04.2014]; Dees M, Yousef A, Ermert J. Analysis of the quantitative tables of the national renewable energy action plans prepared by the 27 European Union Member States in 2010. BEE working paper D7.2. Biomass Energy Europe project. FELIS - Department of Remote Sensing and landscape information Systems, University of Freiburg, Germany; 2011). Our aims were to test the hypotheses that European private forest owners' attitudes towards supplying woody biomass for energy (1) can be explained by their responses to changes in prices and markets and (2) are positive so that the forest biomass share of the EU 2020 renewable energy target can be met. Based on survey data collected in 2010 from 800 private forest owners in Sweden, Germany and Portugal our results show that the respondents' attitudes towards supplying woody biomass for energy cannot be explained as direct responses to changes in prices and markets. Our results, furthermore, imply that European private forest owners cannot be expected to supply the requested amounts of woody biomass for energy to meet the forest biomass share of the EU 2020 renewable energy target, at least if stemwood is to play the important role as studies by Verkerk PJ, Anttila P, Eggers J, Lindner M, Asikainen A. The realisable potential supply of woody biomass from forests in the European Union. For Ecol Manag 2011;261: 2007-2015, UNECE and FAO. The European forest sector outlook study II 2010-2030. United Nations, New York and Geneva; 2011 [abbreviated to EFSOS II] and Elbersen B, Staritsky I, Hengeveld G, Schelhaas MJ, Naeff H, Böttcher H. Atlas of EU biomass potentials; 2012. Available from: http://www.biomassfutures.eu [accessed 14.10.2013] suggest. © 2014 Elsevier Ltd.","author":[{"dropping-particle":"","family":"Blennow","given":"Kristina","non-dropping-particle":"","parse-names":false,"suffix":""},{"dropping-particle":"","family":"Persson","given":"Erik","non-dropping-particle":"","parse-names":false,"suffix":""},{"dropping-particle":"","family":"Lindner","given":"Marcus","non-dropping-particle":"","parse-names":false,"suffix":""},{"dropping-particle":"","family":"Faias","given":"Sónia Pacheco","non-dropping-particle":"","parse-names":false,"suffix":""},{"dropping-particle":"","family":"Hanewinkel","given":"Marc","non-dropping-particle":"","parse-names":false,"suffix":""}],"container-title":"Biomass and Bioenergy","id":"ITEM-1","issued":{"date-parts":[["2014"]]},"page":"223-230","title":"Forest owner motivations and attitudes towards supplying biomass for energy in Europe","type":"article-journal","volume":"67"},"uris":["http://www.mendeley.com/documents/?uuid=96cf068f-4ea3-4add-90df-8da575207137"]}],"mendeley":{"formattedCitation":"[89]","plainTextFormattedCitation":"[89]","previouslyFormattedCitation":"(Blennow &lt;i&gt;et al.&lt;/i&gt;, 2014)"},"properties":{"noteIndex":0},"schema":"https://github.com/citation-style-language/schema/raw/master/csl-citation.json"}</w:instrText>
      </w:r>
      <w:r w:rsidRPr="00113825">
        <w:rPr>
          <w:szCs w:val="20"/>
        </w:rPr>
        <w:fldChar w:fldCharType="separate"/>
      </w:r>
      <w:r w:rsidR="0089363E" w:rsidRPr="00113825">
        <w:rPr>
          <w:noProof/>
          <w:szCs w:val="20"/>
        </w:rPr>
        <w:t>[89]</w:t>
      </w:r>
      <w:r w:rsidRPr="00113825">
        <w:rPr>
          <w:szCs w:val="20"/>
        </w:rPr>
        <w:fldChar w:fldCharType="end"/>
      </w:r>
      <w:r w:rsidRPr="00113825">
        <w:rPr>
          <w:szCs w:val="20"/>
        </w:rPr>
        <w:t xml:space="preserve"> suggest that private forest owners in Europe may not be willing to contribute to mobilizing the available stemwood for different bioeconomic purposes, which in turns involve no residues generation. However, </w:t>
      </w:r>
      <w:proofErr w:type="spellStart"/>
      <w:r w:rsidRPr="00113825">
        <w:rPr>
          <w:szCs w:val="20"/>
        </w:rPr>
        <w:t>Stjepan</w:t>
      </w:r>
      <w:proofErr w:type="spellEnd"/>
      <w:r w:rsidRPr="00113825">
        <w:rPr>
          <w:szCs w:val="20"/>
        </w:rPr>
        <w:t xml:space="preserve"> et al. </w:t>
      </w:r>
      <w:r w:rsidRPr="00113825">
        <w:rPr>
          <w:szCs w:val="20"/>
        </w:rPr>
        <w:fldChar w:fldCharType="begin" w:fldLock="1"/>
      </w:r>
      <w:r w:rsidR="0089363E" w:rsidRPr="00113825">
        <w:rPr>
          <w:szCs w:val="20"/>
        </w:rPr>
        <w:instrText>ADDIN CSL_CITATION {"citationItems":[{"id":"ITEM-1","itemData":{"DOI":"10.1016/j.biombioe.2015.06.011","ISSN":"1873-2909","abstract":"Production of woody biomass-based energy, mainly by using fuel wood, is a common way of forest utilization in selected South-Eastern European countries - Croatia, Bosnia-Herzegovina, Serbia and Former Yugoslav Republic of Macedonia. Due to specific forest ownership patterns in the region, state owned forests are the most important source of all forest assortments, including woody biomass. Having in mind the increasing energy needs on the global scale, particularly those for energy from renewable sources, private forests may play an important role in terms of wood mobilization and energy production from woody biomass. The purpose of this research was to identify the willingness of private forest owners in selected countries to supply woody biomass for energy as well as to identify the factors that influence it. The survey data collected in 2012 from 1.400 private forests owners (random samples of 350 private forests owners in each of the four countries), show a relatively high degree of willingness (38-55% of the respondents) to manage their forests in order to produce woody biomass. Furthermore, the results, demonstrated that the willingness of private forest owners to supply woody biomass was namely influenced by age in analysed countries. The models found that relatively younger owners were more likely to supply woody biomass. An adequate institutional and financial support to private forest owners and the designing of an appropriate mix of forest policy instruments are necessary for a better wood mobilisation and the triggering of woody biomass supply from private forests in selected South-Eastern European countries.","author":[{"dropping-particle":"","family":"Stjepan","given":"Posavec","non-dropping-particle":"","parse-names":false,"suffix":""},{"dropping-particle":"","family":"Mersudin","given":"Avdibegović","non-dropping-particle":"","parse-names":false,"suffix":""},{"dropping-particle":"","family":"Dženan","given":"Bećirović","non-dropping-particle":"","parse-names":false,"suffix":""},{"dropping-particle":"","family":"Nenad","given":"Petrović","non-dropping-particle":"","parse-names":false,"suffix":""},{"dropping-particle":"","family":"Makedonka","given":"Stojanovska","non-dropping-particle":"","parse-names":false,"suffix":""},{"dropping-particle":"","family":"Dane","given":"Marčeta","non-dropping-particle":"","parse-names":false,"suffix":""},{"dropping-particle":"","family":"Špela","given":"Pezdevšek Malovrh","non-dropping-particle":"","parse-names":false,"suffix":""}],"container-title":"Biomass and Bioenergy","id":"ITEM-1","issue":"2015","issued":{"date-parts":[["2015"]]},"page":"144-153","title":"Private forest owners' willingness to supply woody biomass in selected South-Eastern European countries","type":"article-journal","volume":"81"},"uris":["http://www.mendeley.com/documents/?uuid=7473eec4-6bc6-4762-9363-b3f28387aa92"]}],"mendeley":{"formattedCitation":"[90]","plainTextFormattedCitation":"[90]","previouslyFormattedCitation":"(Stjepan &lt;i&gt;et al.&lt;/i&gt;, 2015)"},"properties":{"noteIndex":0},"schema":"https://github.com/citation-style-language/schema/raw/master/csl-citation.json"}</w:instrText>
      </w:r>
      <w:r w:rsidRPr="00113825">
        <w:rPr>
          <w:szCs w:val="20"/>
        </w:rPr>
        <w:fldChar w:fldCharType="separate"/>
      </w:r>
      <w:r w:rsidR="0089363E" w:rsidRPr="00113825">
        <w:rPr>
          <w:noProof/>
          <w:szCs w:val="20"/>
        </w:rPr>
        <w:t>[90]</w:t>
      </w:r>
      <w:r w:rsidRPr="00113825">
        <w:rPr>
          <w:szCs w:val="20"/>
        </w:rPr>
        <w:fldChar w:fldCharType="end"/>
      </w:r>
      <w:r w:rsidRPr="00113825">
        <w:rPr>
          <w:szCs w:val="20"/>
        </w:rPr>
        <w:t xml:space="preserve"> reported that forest owners in South-Eastern Europe are more willing to manage their forests in mobilizing woody biomass for bioeconomic purposes. This highlights the critical importance of these private forest owners as stakeholders to mobilize towards sustainable bioeconomy strategies.</w:t>
      </w:r>
    </w:p>
    <w:p w14:paraId="3E05466B" w14:textId="77777777" w:rsidR="00D62129" w:rsidRPr="00113825" w:rsidRDefault="00D62129" w:rsidP="00D62129">
      <w:pPr>
        <w:pStyle w:val="Heading1"/>
      </w:pPr>
      <w:r w:rsidRPr="00113825">
        <w:t>6. Conclusions</w:t>
      </w:r>
    </w:p>
    <w:p w14:paraId="6B6B4ED6" w14:textId="77777777" w:rsidR="00D62129" w:rsidRPr="00113825" w:rsidRDefault="00D62129" w:rsidP="00D62129">
      <w:r w:rsidRPr="00113825">
        <w:t>The essential contributions of the present study are summarized as:</w:t>
      </w:r>
    </w:p>
    <w:p w14:paraId="0EBC4B07" w14:textId="77777777" w:rsidR="00D62129" w:rsidRPr="00113825" w:rsidRDefault="00D62129" w:rsidP="00D62129">
      <w:pPr>
        <w:pStyle w:val="ListParagraph"/>
        <w:numPr>
          <w:ilvl w:val="0"/>
          <w:numId w:val="12"/>
        </w:numPr>
        <w:jc w:val="both"/>
      </w:pPr>
      <w:r w:rsidRPr="00113825">
        <w:t>A generic, transparent and step-wise methodology for spatial quantification of PFRs at the pixel level incorporating associated uncertainties was developed. The applicability of the proposed methodology was tested and demonstrated for the case of Metropolitan France. The results indicated not only that the framework is easy to use, but also that about 8.4 Million Mg</w:t>
      </w:r>
      <w:r w:rsidRPr="00113825">
        <w:rPr>
          <w:vertAlign w:val="subscript"/>
        </w:rPr>
        <w:t xml:space="preserve">dry matter </w:t>
      </w:r>
      <w:r w:rsidRPr="00113825">
        <w:t>year</w:t>
      </w:r>
      <w:r w:rsidRPr="00113825">
        <w:rPr>
          <w:vertAlign w:val="superscript"/>
        </w:rPr>
        <w:t>-1</w:t>
      </w:r>
      <w:r w:rsidRPr="00113825">
        <w:t xml:space="preserve"> of PFRs are theoretically available for the bioeconomy in France. </w:t>
      </w:r>
    </w:p>
    <w:p w14:paraId="6896F294" w14:textId="77777777" w:rsidR="00D62129" w:rsidRPr="00113825" w:rsidRDefault="00D62129" w:rsidP="00D62129">
      <w:pPr>
        <w:pStyle w:val="ListParagraph"/>
        <w:numPr>
          <w:ilvl w:val="0"/>
          <w:numId w:val="12"/>
        </w:numPr>
        <w:jc w:val="both"/>
      </w:pPr>
      <w:r w:rsidRPr="00113825">
        <w:t xml:space="preserve">The uncertainty quantification of PFRs </w:t>
      </w:r>
      <w:r w:rsidRPr="00113825">
        <w:rPr>
          <w:szCs w:val="20"/>
        </w:rPr>
        <w:t xml:space="preserve">revealed that the available potential of PFRs ranged from about 4.4 </w:t>
      </w:r>
      <w:r w:rsidRPr="00113825">
        <w:t>Million Mg</w:t>
      </w:r>
      <w:r w:rsidRPr="00113825">
        <w:rPr>
          <w:vertAlign w:val="subscript"/>
        </w:rPr>
        <w:t xml:space="preserve">dry matter </w:t>
      </w:r>
      <w:r w:rsidRPr="00113825">
        <w:t>Yr</w:t>
      </w:r>
      <w:r w:rsidRPr="00113825">
        <w:rPr>
          <w:vertAlign w:val="superscript"/>
        </w:rPr>
        <w:t>-1</w:t>
      </w:r>
      <w:r w:rsidRPr="00113825">
        <w:rPr>
          <w:szCs w:val="20"/>
        </w:rPr>
        <w:t xml:space="preserve"> to about 13.9 </w:t>
      </w:r>
      <w:r w:rsidRPr="00113825">
        <w:t>Million Mg</w:t>
      </w:r>
      <w:r w:rsidRPr="00113825">
        <w:rPr>
          <w:vertAlign w:val="subscript"/>
        </w:rPr>
        <w:t xml:space="preserve">dry matter </w:t>
      </w:r>
      <w:r w:rsidRPr="00113825">
        <w:t>Yr</w:t>
      </w:r>
      <w:r w:rsidRPr="00113825">
        <w:rPr>
          <w:vertAlign w:val="superscript"/>
        </w:rPr>
        <w:t>-1</w:t>
      </w:r>
      <w:r w:rsidRPr="00113825">
        <w:t xml:space="preserve">. This large range highlighted the importance of quantifying uncertainties. </w:t>
      </w:r>
    </w:p>
    <w:p w14:paraId="01E509F6" w14:textId="120F9399" w:rsidR="00D62129" w:rsidRPr="00113825" w:rsidRDefault="00D62129" w:rsidP="00D62129">
      <w:pPr>
        <w:pStyle w:val="ListParagraph"/>
        <w:numPr>
          <w:ilvl w:val="0"/>
          <w:numId w:val="12"/>
        </w:numPr>
        <w:jc w:val="both"/>
      </w:pPr>
      <w:r w:rsidRPr="00113825">
        <w:rPr>
          <w:szCs w:val="20"/>
        </w:rPr>
        <w:t>A clear and transparent procedure to decide the spatial resolution was presented. From this, we concluded that processing data at very high spatial resolution (&lt; 5-meter) might not necessarily yield better results; instead</w:t>
      </w:r>
      <w:r w:rsidR="0092530C" w:rsidRPr="00113825">
        <w:rPr>
          <w:szCs w:val="20"/>
        </w:rPr>
        <w:t>,</w:t>
      </w:r>
      <w:r w:rsidRPr="00113825">
        <w:rPr>
          <w:szCs w:val="20"/>
        </w:rPr>
        <w:t xml:space="preserve"> it may unnecessarily increase the computational budget without adding any extra value.</w:t>
      </w:r>
    </w:p>
    <w:p w14:paraId="7C04EB16" w14:textId="48DCC527" w:rsidR="00DC63C0" w:rsidRPr="00113825" w:rsidRDefault="00BF4084">
      <w:pPr>
        <w:rPr>
          <w:b/>
        </w:rPr>
      </w:pPr>
      <w:r w:rsidRPr="00113825">
        <w:rPr>
          <w:b/>
        </w:rPr>
        <w:t>Acknowledgments</w:t>
      </w:r>
    </w:p>
    <w:p w14:paraId="14E77E6E" w14:textId="55A7EACB" w:rsidR="002827BE" w:rsidRPr="00113825" w:rsidRDefault="00DC63C0" w:rsidP="00C53CF3">
      <w:pPr>
        <w:jc w:val="both"/>
      </w:pPr>
      <w:r w:rsidRPr="00113825">
        <w:t xml:space="preserve">This work was carried out within the framework </w:t>
      </w:r>
      <w:r w:rsidR="00D6569C" w:rsidRPr="00113825">
        <w:t xml:space="preserve">of the research project </w:t>
      </w:r>
      <w:proofErr w:type="spellStart"/>
      <w:r w:rsidR="00D6569C" w:rsidRPr="00113825">
        <w:t>Cambioscop</w:t>
      </w:r>
      <w:proofErr w:type="spellEnd"/>
      <w:r w:rsidRPr="00113825">
        <w:t xml:space="preserve"> (</w:t>
      </w:r>
      <w:hyperlink r:id="rId19" w:history="1">
        <w:r w:rsidRPr="00113825">
          <w:rPr>
            <w:rStyle w:val="Hyperlink"/>
            <w:color w:val="auto"/>
          </w:rPr>
          <w:t>https://cambioscop.cnrs.fr</w:t>
        </w:r>
      </w:hyperlink>
      <w:r w:rsidRPr="00113825">
        <w:t>) and was</w:t>
      </w:r>
      <w:r w:rsidR="00D6569C" w:rsidRPr="00113825">
        <w:t xml:space="preserve"> partly financed by the French National Agency, </w:t>
      </w:r>
      <w:proofErr w:type="spellStart"/>
      <w:r w:rsidR="00D6569C" w:rsidRPr="00113825">
        <w:t>Programme</w:t>
      </w:r>
      <w:proofErr w:type="spellEnd"/>
      <w:r w:rsidR="00D6569C" w:rsidRPr="00113825">
        <w:t xml:space="preserve"> </w:t>
      </w:r>
      <w:proofErr w:type="spellStart"/>
      <w:r w:rsidR="00D6569C" w:rsidRPr="00113825">
        <w:t>Investissement</w:t>
      </w:r>
      <w:proofErr w:type="spellEnd"/>
      <w:r w:rsidR="00D6569C" w:rsidRPr="00113825">
        <w:t xml:space="preserve"> </w:t>
      </w:r>
      <w:proofErr w:type="spellStart"/>
      <w:r w:rsidR="00D6569C" w:rsidRPr="00113825">
        <w:t>d’Avenir</w:t>
      </w:r>
      <w:proofErr w:type="spellEnd"/>
      <w:r w:rsidR="00D6569C" w:rsidRPr="00113825">
        <w:t xml:space="preserve"> (ANR-17-MGPA-0006) and Region </w:t>
      </w:r>
      <w:proofErr w:type="spellStart"/>
      <w:r w:rsidR="00D6569C" w:rsidRPr="00113825">
        <w:t>Occitanie</w:t>
      </w:r>
      <w:proofErr w:type="spellEnd"/>
      <w:r w:rsidR="00D6569C" w:rsidRPr="00113825">
        <w:t xml:space="preserve"> (18015981). The authors </w:t>
      </w:r>
      <w:r w:rsidRPr="00113825">
        <w:t>gratefully acknowledge</w:t>
      </w:r>
      <w:r w:rsidR="00D6569C" w:rsidRPr="00113825">
        <w:t xml:space="preserve"> Dr. Antoine Collin of IGN for insightful discussions, advice, and the access to BD </w:t>
      </w:r>
      <w:proofErr w:type="spellStart"/>
      <w:r w:rsidR="00D6569C" w:rsidRPr="00113825">
        <w:t>Forêt</w:t>
      </w:r>
      <w:proofErr w:type="spellEnd"/>
      <w:r w:rsidR="00D6569C" w:rsidRPr="00113825">
        <w:t xml:space="preserve"> version 2 data and to Dr. Laurent </w:t>
      </w:r>
      <w:proofErr w:type="spellStart"/>
      <w:r w:rsidR="00D6569C" w:rsidRPr="00113825">
        <w:t>Polidori</w:t>
      </w:r>
      <w:proofErr w:type="spellEnd"/>
      <w:r w:rsidR="00D6569C" w:rsidRPr="00113825">
        <w:t xml:space="preserve"> and Dr. Jordi </w:t>
      </w:r>
      <w:proofErr w:type="spellStart"/>
      <w:r w:rsidR="00D6569C" w:rsidRPr="00113825">
        <w:t>Inglada</w:t>
      </w:r>
      <w:proofErr w:type="spellEnd"/>
      <w:r w:rsidR="00D6569C" w:rsidRPr="00113825">
        <w:t xml:space="preserve"> of CESBIO for sharing </w:t>
      </w:r>
      <w:r w:rsidR="007A7F5E" w:rsidRPr="00113825">
        <w:t>the</w:t>
      </w:r>
      <w:r w:rsidR="00D6569C" w:rsidRPr="00113825">
        <w:t xml:space="preserve"> land cover data of Metropolitan France.</w:t>
      </w:r>
      <w:r w:rsidR="000721A8" w:rsidRPr="00113825">
        <w:t xml:space="preserve"> The authors further acknowledge Miriam </w:t>
      </w:r>
      <w:proofErr w:type="spellStart"/>
      <w:r w:rsidR="000721A8" w:rsidRPr="00113825">
        <w:t>Buitrago</w:t>
      </w:r>
      <w:proofErr w:type="spellEnd"/>
      <w:r w:rsidR="000721A8" w:rsidRPr="00113825">
        <w:t xml:space="preserve"> of ADEME for the ALDO tool.</w:t>
      </w:r>
    </w:p>
    <w:p w14:paraId="3B91C4B6" w14:textId="77777777" w:rsidR="00A73C9A" w:rsidRPr="00113825" w:rsidRDefault="0012482E" w:rsidP="0048432B">
      <w:pPr>
        <w:pStyle w:val="Heading1"/>
      </w:pPr>
      <w:r w:rsidRPr="00113825">
        <w:t>References:</w:t>
      </w:r>
    </w:p>
    <w:p w14:paraId="4AE4131B" w14:textId="5C18B81C" w:rsidR="0089363E" w:rsidRPr="00113825" w:rsidRDefault="00781481"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cstheme="majorHAnsi"/>
          <w:b/>
          <w:sz w:val="16"/>
          <w:szCs w:val="16"/>
        </w:rPr>
        <w:fldChar w:fldCharType="begin" w:fldLock="1"/>
      </w:r>
      <w:r w:rsidRPr="00113825">
        <w:rPr>
          <w:rFonts w:cstheme="majorHAnsi"/>
          <w:b/>
          <w:sz w:val="16"/>
          <w:szCs w:val="16"/>
        </w:rPr>
        <w:instrText xml:space="preserve">ADDIN Mendeley Bibliography CSL_BIBLIOGRAPHY </w:instrText>
      </w:r>
      <w:r w:rsidRPr="00113825">
        <w:rPr>
          <w:rFonts w:cstheme="majorHAnsi"/>
          <w:b/>
          <w:sz w:val="16"/>
          <w:szCs w:val="16"/>
        </w:rPr>
        <w:fldChar w:fldCharType="separate"/>
      </w:r>
      <w:r w:rsidR="0089363E" w:rsidRPr="00113825">
        <w:rPr>
          <w:rFonts w:ascii="Calibri Light" w:hAnsi="Calibri Light" w:cs="Calibri Light"/>
          <w:noProof/>
          <w:sz w:val="16"/>
          <w:szCs w:val="24"/>
        </w:rPr>
        <w:t>[1]</w:t>
      </w:r>
      <w:r w:rsidR="0089363E" w:rsidRPr="00113825">
        <w:rPr>
          <w:rFonts w:ascii="Calibri Light" w:hAnsi="Calibri Light" w:cs="Calibri Light"/>
          <w:noProof/>
          <w:sz w:val="16"/>
          <w:szCs w:val="24"/>
        </w:rPr>
        <w:tab/>
        <w:t>IPCC, “Summary for Policymakers. In: Global Warming of 1.5°C. An IPCC Special Report on the impacts of global warming of 1.5°C above pre-industrial levels and related global greenhouse gas emission pathways, in the context of strengthening the global response to,”  and T. W. (eds. . Masson-Delmotte, V., P. Zhai, H.-O. Pörtner, D. Roberts, J. Skea, P.R. Shukla, A. Pirani, W. Moufouma-Okia, C. Péan, R. Pidcock, S. Connors, J.B.R. Matthews, Y. Chen, X. Zhou, M.I. Gomis, E. Lonnoy, T. Maycock, M. Tignor, Ed. Oxford, UK: World Meteorological Organization, Geneva, Switzerland, 32 pp., 2018.</w:t>
      </w:r>
    </w:p>
    <w:p w14:paraId="2ABDD05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w:t>
      </w:r>
      <w:r w:rsidRPr="00113825">
        <w:rPr>
          <w:rFonts w:ascii="Calibri Light" w:hAnsi="Calibri Light" w:cs="Calibri Light"/>
          <w:noProof/>
          <w:sz w:val="16"/>
          <w:szCs w:val="24"/>
        </w:rPr>
        <w:tab/>
        <w:t xml:space="preserve">C. Le Quéré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“Global carbon budget 2014,” </w:t>
      </w:r>
      <w:r w:rsidRPr="00113825">
        <w:rPr>
          <w:rFonts w:ascii="Calibri Light" w:hAnsi="Calibri Light" w:cs="Calibri Light"/>
          <w:i/>
          <w:iCs/>
          <w:noProof/>
          <w:sz w:val="16"/>
          <w:szCs w:val="24"/>
        </w:rPr>
        <w:t>Earth Syst. Sci. Data</w:t>
      </w:r>
      <w:r w:rsidRPr="00113825">
        <w:rPr>
          <w:rFonts w:ascii="Calibri Light" w:hAnsi="Calibri Light" w:cs="Calibri Light"/>
          <w:noProof/>
          <w:sz w:val="16"/>
          <w:szCs w:val="24"/>
        </w:rPr>
        <w:t>, vol. 7, no. 1, pp. 47–85, 2015.</w:t>
      </w:r>
    </w:p>
    <w:p w14:paraId="4EEDA7A4"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w:t>
      </w:r>
      <w:r w:rsidRPr="00113825">
        <w:rPr>
          <w:rFonts w:ascii="Calibri Light" w:hAnsi="Calibri Light" w:cs="Calibri Light"/>
          <w:noProof/>
          <w:sz w:val="16"/>
          <w:szCs w:val="24"/>
        </w:rPr>
        <w:tab/>
        <w:t>UN, “Paris Agreement,” 2015.</w:t>
      </w:r>
    </w:p>
    <w:p w14:paraId="0E450DDB"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w:t>
      </w:r>
      <w:r w:rsidRPr="00113825">
        <w:rPr>
          <w:rFonts w:ascii="Calibri Light" w:hAnsi="Calibri Light" w:cs="Calibri Light"/>
          <w:noProof/>
          <w:sz w:val="16"/>
          <w:szCs w:val="24"/>
        </w:rPr>
        <w:tab/>
        <w:t xml:space="preserve">L. Hamelin, M. Borzęcka, M. Kozak, and R. Pudełko, “A spatial approach to bioeconomy: Quantifying the residual biomass potential in the EU-27,” </w:t>
      </w:r>
      <w:r w:rsidRPr="00113825">
        <w:rPr>
          <w:rFonts w:ascii="Calibri Light" w:hAnsi="Calibri Light" w:cs="Calibri Light"/>
          <w:i/>
          <w:iCs/>
          <w:noProof/>
          <w:sz w:val="16"/>
          <w:szCs w:val="24"/>
        </w:rPr>
        <w:t>Renew. Sustain. Energy Rev.</w:t>
      </w:r>
      <w:r w:rsidRPr="00113825">
        <w:rPr>
          <w:rFonts w:ascii="Calibri Light" w:hAnsi="Calibri Light" w:cs="Calibri Light"/>
          <w:noProof/>
          <w:sz w:val="16"/>
          <w:szCs w:val="24"/>
        </w:rPr>
        <w:t>, vol. 100, no. November 2018, pp. 127–142, 2019.</w:t>
      </w:r>
    </w:p>
    <w:p w14:paraId="0A3144C8"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lastRenderedPageBreak/>
        <w:t>[5]</w:t>
      </w:r>
      <w:r w:rsidRPr="00113825">
        <w:rPr>
          <w:rFonts w:ascii="Calibri Light" w:hAnsi="Calibri Light" w:cs="Calibri Light"/>
          <w:noProof/>
          <w:sz w:val="16"/>
          <w:szCs w:val="24"/>
        </w:rPr>
        <w:tab/>
        <w:t xml:space="preserve">D. A. Teigiserova, L. Hamelin, and M. Thomsen, “Review of high-value food waste and food residues biorefineries with focus on unavoidable wastes from processing,” </w:t>
      </w:r>
      <w:r w:rsidRPr="00113825">
        <w:rPr>
          <w:rFonts w:ascii="Calibri Light" w:hAnsi="Calibri Light" w:cs="Calibri Light"/>
          <w:i/>
          <w:iCs/>
          <w:noProof/>
          <w:sz w:val="16"/>
          <w:szCs w:val="24"/>
        </w:rPr>
        <w:t>Resour. Conserv. Recycl.</w:t>
      </w:r>
      <w:r w:rsidRPr="00113825">
        <w:rPr>
          <w:rFonts w:ascii="Calibri Light" w:hAnsi="Calibri Light" w:cs="Calibri Light"/>
          <w:noProof/>
          <w:sz w:val="16"/>
          <w:szCs w:val="24"/>
        </w:rPr>
        <w:t>, vol. 149, no. November 2018, pp. 413–426, 2019.</w:t>
      </w:r>
    </w:p>
    <w:p w14:paraId="1F28654E"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w:t>
      </w:r>
      <w:r w:rsidRPr="00113825">
        <w:rPr>
          <w:rFonts w:ascii="Calibri Light" w:hAnsi="Calibri Light" w:cs="Calibri Light"/>
          <w:noProof/>
          <w:sz w:val="16"/>
          <w:szCs w:val="24"/>
        </w:rPr>
        <w:tab/>
        <w:t xml:space="preserve">D. Tonini, L. Hamelin, and T. F. Astrup, “Environmental implications of the use of agro-industrial residues for biorefineries: application of a deterministic model for indirect land-use changes,” </w:t>
      </w:r>
      <w:r w:rsidRPr="00113825">
        <w:rPr>
          <w:rFonts w:ascii="Calibri Light" w:hAnsi="Calibri Light" w:cs="Calibri Light"/>
          <w:i/>
          <w:iCs/>
          <w:noProof/>
          <w:sz w:val="16"/>
          <w:szCs w:val="24"/>
        </w:rPr>
        <w:t>GCB Bioenergy</w:t>
      </w:r>
      <w:r w:rsidRPr="00113825">
        <w:rPr>
          <w:rFonts w:ascii="Calibri Light" w:hAnsi="Calibri Light" w:cs="Calibri Light"/>
          <w:noProof/>
          <w:sz w:val="16"/>
          <w:szCs w:val="24"/>
        </w:rPr>
        <w:t>, vol. 8, no. 4, pp. 690–706, 2016.</w:t>
      </w:r>
    </w:p>
    <w:p w14:paraId="6BC32119"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w:t>
      </w:r>
      <w:r w:rsidRPr="00113825">
        <w:rPr>
          <w:rFonts w:ascii="Calibri Light" w:hAnsi="Calibri Light" w:cs="Calibri Light"/>
          <w:noProof/>
          <w:sz w:val="16"/>
          <w:szCs w:val="24"/>
        </w:rPr>
        <w:tab/>
        <w:t xml:space="preserve">V. Daioglou, E. Stehfest, B. Wicke, A. Faaij, and D. P. van Vuuren, “Projections of the availability and cost of residues from agriculture and forestry,” </w:t>
      </w:r>
      <w:r w:rsidRPr="00113825">
        <w:rPr>
          <w:rFonts w:ascii="Calibri Light" w:hAnsi="Calibri Light" w:cs="Calibri Light"/>
          <w:i/>
          <w:iCs/>
          <w:noProof/>
          <w:sz w:val="16"/>
          <w:szCs w:val="24"/>
        </w:rPr>
        <w:t>GCB Bioenergy</w:t>
      </w:r>
      <w:r w:rsidRPr="00113825">
        <w:rPr>
          <w:rFonts w:ascii="Calibri Light" w:hAnsi="Calibri Light" w:cs="Calibri Light"/>
          <w:noProof/>
          <w:sz w:val="16"/>
          <w:szCs w:val="24"/>
        </w:rPr>
        <w:t>, vol. 8, no. 2, pp. 456–470, 2016.</w:t>
      </w:r>
    </w:p>
    <w:p w14:paraId="37D9AC0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w:t>
      </w:r>
      <w:r w:rsidRPr="00113825">
        <w:rPr>
          <w:rFonts w:ascii="Calibri Light" w:hAnsi="Calibri Light" w:cs="Calibri Light"/>
          <w:noProof/>
          <w:sz w:val="16"/>
          <w:szCs w:val="24"/>
        </w:rPr>
        <w:tab/>
        <w:t xml:space="preserve">P. Ruiz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w:t>
      </w:r>
      <w:r w:rsidRPr="00113825">
        <w:rPr>
          <w:rFonts w:ascii="Calibri Light" w:hAnsi="Calibri Light" w:cs="Calibri Light"/>
          <w:i/>
          <w:iCs/>
          <w:noProof/>
          <w:sz w:val="16"/>
          <w:szCs w:val="24"/>
        </w:rPr>
        <w:t>The JRC-EU-TIMES model. Bioenergy potentials for EU and neighbouring countries</w:t>
      </w:r>
      <w:r w:rsidRPr="00113825">
        <w:rPr>
          <w:rFonts w:ascii="Calibri Light" w:hAnsi="Calibri Light" w:cs="Calibri Light"/>
          <w:noProof/>
          <w:sz w:val="16"/>
          <w:szCs w:val="24"/>
        </w:rPr>
        <w:t>. European Commission Joint Research Centre, 2015.</w:t>
      </w:r>
    </w:p>
    <w:p w14:paraId="34A94A68"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[9]</w:t>
      </w:r>
      <w:r w:rsidRPr="00113825">
        <w:rPr>
          <w:rFonts w:ascii="Calibri Light" w:hAnsi="Calibri Light" w:cs="Calibri Light"/>
          <w:noProof/>
          <w:sz w:val="16"/>
          <w:szCs w:val="24"/>
        </w:rPr>
        <w:tab/>
        <w:t xml:space="preserve">J. D. Walmsley and D. L. Godbold, “Stump harvesting for bioenergy - A review of the environmental impacts,” </w:t>
      </w:r>
      <w:r w:rsidRPr="00113825">
        <w:rPr>
          <w:rFonts w:ascii="Calibri Light" w:hAnsi="Calibri Light" w:cs="Calibri Light"/>
          <w:i/>
          <w:iCs/>
          <w:noProof/>
          <w:sz w:val="16"/>
          <w:szCs w:val="24"/>
        </w:rPr>
        <w:t>Forestry</w:t>
      </w:r>
      <w:r w:rsidRPr="00113825">
        <w:rPr>
          <w:rFonts w:ascii="Calibri Light" w:hAnsi="Calibri Light" w:cs="Calibri Light"/>
          <w:noProof/>
          <w:sz w:val="16"/>
          <w:szCs w:val="24"/>
        </w:rPr>
        <w:t>, vol. 83, no. 1, pp. 17–38, 2010.</w:t>
      </w:r>
    </w:p>
    <w:p w14:paraId="5D9844A8"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[10]</w:t>
      </w:r>
      <w:r w:rsidRPr="00113825">
        <w:rPr>
          <w:rFonts w:ascii="Calibri Light" w:hAnsi="Calibri Light" w:cs="Calibri Light"/>
          <w:noProof/>
          <w:sz w:val="16"/>
          <w:szCs w:val="24"/>
        </w:rPr>
        <w:tab/>
        <w:t xml:space="preserve">L. Kaarakka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“Stump harvesting in Picea abies stands: Soil surface disturbance and biomass distribution of the harvested stumps and roots,” </w:t>
      </w:r>
      <w:r w:rsidRPr="00113825">
        <w:rPr>
          <w:rFonts w:ascii="Calibri Light" w:hAnsi="Calibri Light" w:cs="Calibri Light"/>
          <w:i/>
          <w:iCs/>
          <w:noProof/>
          <w:sz w:val="16"/>
          <w:szCs w:val="24"/>
        </w:rPr>
        <w:t>For. Ecol. Manage.</w:t>
      </w:r>
      <w:r w:rsidRPr="00113825">
        <w:rPr>
          <w:rFonts w:ascii="Calibri Light" w:hAnsi="Calibri Light" w:cs="Calibri Light"/>
          <w:noProof/>
          <w:sz w:val="16"/>
          <w:szCs w:val="24"/>
        </w:rPr>
        <w:t>, vol. 425, no. March, pp. 27–34, 2018.</w:t>
      </w:r>
    </w:p>
    <w:p w14:paraId="358EC8C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[11]</w:t>
      </w:r>
      <w:r w:rsidRPr="00113825">
        <w:rPr>
          <w:rFonts w:ascii="Calibri Light" w:hAnsi="Calibri Light" w:cs="Calibri Light"/>
          <w:noProof/>
          <w:sz w:val="16"/>
          <w:szCs w:val="24"/>
        </w:rPr>
        <w:tab/>
        <w:t xml:space="preserve">T. Persson and G. Egnell, “Stump harvesting for bioenergy: A review of climatic and environmental impacts in northern Europe and America,” </w:t>
      </w:r>
      <w:r w:rsidRPr="00113825">
        <w:rPr>
          <w:rFonts w:ascii="Calibri Light" w:hAnsi="Calibri Light" w:cs="Calibri Light"/>
          <w:i/>
          <w:iCs/>
          <w:noProof/>
          <w:sz w:val="16"/>
          <w:szCs w:val="24"/>
        </w:rPr>
        <w:t>WIREs Energy Environ.</w:t>
      </w:r>
      <w:r w:rsidRPr="00113825">
        <w:rPr>
          <w:rFonts w:ascii="Calibri Light" w:hAnsi="Calibri Light" w:cs="Calibri Light"/>
          <w:noProof/>
          <w:sz w:val="16"/>
          <w:szCs w:val="24"/>
        </w:rPr>
        <w:t>, vol. 7, no. 6, p. e307, 2018.</w:t>
      </w:r>
    </w:p>
    <w:p w14:paraId="41BA76A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[12]</w:t>
      </w:r>
      <w:r w:rsidRPr="00113825">
        <w:rPr>
          <w:rFonts w:ascii="Calibri Light" w:hAnsi="Calibri Light" w:cs="Calibri Light"/>
          <w:noProof/>
          <w:sz w:val="16"/>
          <w:szCs w:val="24"/>
        </w:rPr>
        <w:tab/>
        <w:t xml:space="preserve">A. THIVOLLE-CAZAT and É. LE NET, “La mobilisation de la ressource forestière aujourd’hui et demain,” </w:t>
      </w:r>
      <w:r w:rsidRPr="00113825">
        <w:rPr>
          <w:rFonts w:ascii="Calibri Light" w:hAnsi="Calibri Light" w:cs="Calibri Light"/>
          <w:i/>
          <w:iCs/>
          <w:noProof/>
          <w:sz w:val="16"/>
          <w:szCs w:val="24"/>
        </w:rPr>
        <w:t>Rev. For. Française</w:t>
      </w:r>
      <w:r w:rsidRPr="00113825">
        <w:rPr>
          <w:rFonts w:ascii="Calibri Light" w:hAnsi="Calibri Light" w:cs="Calibri Light"/>
          <w:noProof/>
          <w:sz w:val="16"/>
          <w:szCs w:val="24"/>
        </w:rPr>
        <w:t>, no. 4, p. Fr.], ISSN 0035, 2015.</w:t>
      </w:r>
    </w:p>
    <w:p w14:paraId="2965D8A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[13]</w:t>
      </w:r>
      <w:r w:rsidRPr="00113825">
        <w:rPr>
          <w:rFonts w:ascii="Calibri Light" w:hAnsi="Calibri Light" w:cs="Calibri Light"/>
          <w:noProof/>
          <w:sz w:val="16"/>
          <w:szCs w:val="24"/>
        </w:rPr>
        <w:tab/>
        <w:t xml:space="preserve">J. Barrette, D. Paré, F. Manka, L. Guindon, P. Bernier, and B. Titus, “Forecasting the spatial distribution of logging residues across the Canadian managed forest,” </w:t>
      </w:r>
      <w:r w:rsidRPr="00113825">
        <w:rPr>
          <w:rFonts w:ascii="Calibri Light" w:hAnsi="Calibri Light" w:cs="Calibri Light"/>
          <w:i/>
          <w:iCs/>
          <w:noProof/>
          <w:sz w:val="16"/>
          <w:szCs w:val="24"/>
        </w:rPr>
        <w:t>Can. J. For. Res.</w:t>
      </w:r>
      <w:r w:rsidRPr="00113825">
        <w:rPr>
          <w:rFonts w:ascii="Calibri Light" w:hAnsi="Calibri Light" w:cs="Calibri Light"/>
          <w:noProof/>
          <w:sz w:val="16"/>
          <w:szCs w:val="24"/>
        </w:rPr>
        <w:t>, vol. 48, no. 12, pp. 1470–1481, Dec. 2018.</w:t>
      </w:r>
    </w:p>
    <w:p w14:paraId="43345FAC"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[14]</w:t>
      </w:r>
      <w:r w:rsidRPr="00113825">
        <w:rPr>
          <w:rFonts w:ascii="Calibri Light" w:hAnsi="Calibri Light" w:cs="Calibri Light"/>
          <w:noProof/>
          <w:sz w:val="16"/>
          <w:szCs w:val="24"/>
        </w:rPr>
        <w:tab/>
        <w:t xml:space="preserve">J. Návar, “Measurement and assessment methods of forest aboveground biomass: a literature review and the challenges ahead,” in </w:t>
      </w:r>
      <w:r w:rsidRPr="00113825">
        <w:rPr>
          <w:rFonts w:ascii="Calibri Light" w:hAnsi="Calibri Light" w:cs="Calibri Light"/>
          <w:i/>
          <w:iCs/>
          <w:noProof/>
          <w:sz w:val="16"/>
          <w:szCs w:val="24"/>
        </w:rPr>
        <w:t>Biomass</w:t>
      </w:r>
      <w:r w:rsidRPr="00113825">
        <w:rPr>
          <w:rFonts w:ascii="Calibri Light" w:hAnsi="Calibri Light" w:cs="Calibri Light"/>
          <w:noProof/>
          <w:sz w:val="16"/>
          <w:szCs w:val="24"/>
        </w:rPr>
        <w:t>, M. Momba and F. Bux, Eds. Sciyo: Rijeka, Croatia, 2010, pp. 27–64.</w:t>
      </w:r>
    </w:p>
    <w:p w14:paraId="4B471264"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[15]</w:t>
      </w:r>
      <w:r w:rsidRPr="00113825">
        <w:rPr>
          <w:rFonts w:ascii="Calibri Light" w:hAnsi="Calibri Light" w:cs="Calibri Light"/>
          <w:noProof/>
          <w:sz w:val="16"/>
          <w:szCs w:val="24"/>
        </w:rPr>
        <w:tab/>
        <w:t xml:space="preserve">Food and Agriculture Organization—FAO, </w:t>
      </w:r>
      <w:r w:rsidRPr="00113825">
        <w:rPr>
          <w:rFonts w:ascii="Calibri Light" w:hAnsi="Calibri Light" w:cs="Calibri Light"/>
          <w:i/>
          <w:iCs/>
          <w:noProof/>
          <w:sz w:val="16"/>
          <w:szCs w:val="24"/>
        </w:rPr>
        <w:t>Global Forest Resources Assessment 2015</w:t>
      </w:r>
      <w:r w:rsidRPr="00113825">
        <w:rPr>
          <w:rFonts w:ascii="Calibri Light" w:hAnsi="Calibri Light" w:cs="Calibri Light"/>
          <w:noProof/>
          <w:sz w:val="16"/>
          <w:szCs w:val="24"/>
        </w:rPr>
        <w:t>. 2015.</w:t>
      </w:r>
    </w:p>
    <w:p w14:paraId="0099560E"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[16]</w:t>
      </w:r>
      <w:r w:rsidRPr="00113825">
        <w:rPr>
          <w:rFonts w:ascii="Calibri Light" w:hAnsi="Calibri Light" w:cs="Calibri Light"/>
          <w:noProof/>
          <w:sz w:val="16"/>
          <w:szCs w:val="24"/>
        </w:rPr>
        <w:tab/>
        <w:t>“Raw data - FOREST INVENTORY.” [Online]. Available: https://inventaire-forestier.ign.fr/spip.php?rubrique159. [Accessed: 06-Sep-2019].</w:t>
      </w:r>
    </w:p>
    <w:p w14:paraId="158714C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[17]</w:t>
      </w:r>
      <w:r w:rsidRPr="00113825">
        <w:rPr>
          <w:rFonts w:ascii="Calibri Light" w:hAnsi="Calibri Light" w:cs="Calibri Light"/>
          <w:noProof/>
          <w:sz w:val="16"/>
          <w:szCs w:val="24"/>
        </w:rPr>
        <w:tab/>
        <w:t xml:space="preserve">C. Vidal, I. Alberdi, J. Redmond, M. Vestman, A. Lanz, and K. Schadauer, “The role of European National Forest Inventories for international forestry reporting,” </w:t>
      </w:r>
      <w:r w:rsidRPr="00113825">
        <w:rPr>
          <w:rFonts w:ascii="Calibri Light" w:hAnsi="Calibri Light" w:cs="Calibri Light"/>
          <w:i/>
          <w:iCs/>
          <w:noProof/>
          <w:sz w:val="16"/>
          <w:szCs w:val="24"/>
        </w:rPr>
        <w:t>Ann. For. Sci.</w:t>
      </w:r>
      <w:r w:rsidRPr="00113825">
        <w:rPr>
          <w:rFonts w:ascii="Calibri Light" w:hAnsi="Calibri Light" w:cs="Calibri Light"/>
          <w:noProof/>
          <w:sz w:val="16"/>
          <w:szCs w:val="24"/>
        </w:rPr>
        <w:t>, vol. 73, no. 4, pp. 793–806, 2016.</w:t>
      </w:r>
    </w:p>
    <w:p w14:paraId="7A33F665"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[18]</w:t>
      </w:r>
      <w:r w:rsidRPr="00113825">
        <w:rPr>
          <w:rFonts w:ascii="Calibri Light" w:hAnsi="Calibri Light" w:cs="Calibri Light"/>
          <w:noProof/>
          <w:sz w:val="16"/>
          <w:szCs w:val="24"/>
        </w:rPr>
        <w:tab/>
        <w:t xml:space="preserve">T. Gschwantner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“Comparison of methods used in European National Forest Inventories for the estimation of volume increment: towards harmonisation,” </w:t>
      </w:r>
      <w:r w:rsidRPr="00113825">
        <w:rPr>
          <w:rFonts w:ascii="Calibri Light" w:hAnsi="Calibri Light" w:cs="Calibri Light"/>
          <w:i/>
          <w:iCs/>
          <w:noProof/>
          <w:sz w:val="16"/>
          <w:szCs w:val="24"/>
        </w:rPr>
        <w:t>Ann. For. Sci.</w:t>
      </w:r>
      <w:r w:rsidRPr="00113825">
        <w:rPr>
          <w:rFonts w:ascii="Calibri Light" w:hAnsi="Calibri Light" w:cs="Calibri Light"/>
          <w:noProof/>
          <w:sz w:val="16"/>
          <w:szCs w:val="24"/>
        </w:rPr>
        <w:t>, vol. 73, no. 4, pp. 807–821, 2016.</w:t>
      </w:r>
    </w:p>
    <w:p w14:paraId="3680749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[19]</w:t>
      </w:r>
      <w:r w:rsidRPr="00113825">
        <w:rPr>
          <w:rFonts w:ascii="Calibri Light" w:hAnsi="Calibri Light" w:cs="Calibri Light"/>
          <w:noProof/>
          <w:sz w:val="16"/>
          <w:szCs w:val="24"/>
        </w:rPr>
        <w:tab/>
        <w:t>COST, “COST Action E43 Harmonisation of national Inventories in Europe : Techniques for Common Reporting,” p. 43, 2008.</w:t>
      </w:r>
    </w:p>
    <w:p w14:paraId="7904C83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[20]</w:t>
      </w:r>
      <w:r w:rsidRPr="00113825">
        <w:rPr>
          <w:rFonts w:ascii="Calibri Light" w:hAnsi="Calibri Light" w:cs="Calibri Light"/>
          <w:noProof/>
          <w:sz w:val="16"/>
          <w:szCs w:val="24"/>
        </w:rPr>
        <w:tab/>
        <w:t xml:space="preserve">J. Zhang, P. Atkinson, and M. F. Goodchild, </w:t>
      </w:r>
      <w:r w:rsidRPr="00113825">
        <w:rPr>
          <w:rFonts w:ascii="Calibri Light" w:hAnsi="Calibri Light" w:cs="Calibri Light"/>
          <w:i/>
          <w:iCs/>
          <w:noProof/>
          <w:sz w:val="16"/>
          <w:szCs w:val="24"/>
        </w:rPr>
        <w:t>Scale in Spatial Information and Analysis</w:t>
      </w:r>
      <w:r w:rsidRPr="00113825">
        <w:rPr>
          <w:rFonts w:ascii="Calibri Light" w:hAnsi="Calibri Light" w:cs="Calibri Light"/>
          <w:noProof/>
          <w:sz w:val="16"/>
          <w:szCs w:val="24"/>
        </w:rPr>
        <w:t>, 1st Editio. Boca Raton: CRC Press, 2014.</w:t>
      </w:r>
    </w:p>
    <w:p w14:paraId="4783167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[21]</w:t>
      </w:r>
      <w:r w:rsidRPr="00113825">
        <w:rPr>
          <w:rFonts w:ascii="Calibri Light" w:hAnsi="Calibri Light" w:cs="Calibri Light"/>
          <w:noProof/>
          <w:sz w:val="16"/>
          <w:szCs w:val="24"/>
        </w:rPr>
        <w:tab/>
        <w:t xml:space="preserve">F. López-Rodríguez, C. P. Atanet, F. C. Blázquez, and A. R. Celma, “Spatial assessment of the bioenergy potential of forest residues in the western province of Spain, Caceres,” </w:t>
      </w:r>
      <w:r w:rsidRPr="00113825">
        <w:rPr>
          <w:rFonts w:ascii="Calibri Light" w:hAnsi="Calibri Light" w:cs="Calibri Light"/>
          <w:i/>
          <w:iCs/>
          <w:noProof/>
          <w:sz w:val="16"/>
          <w:szCs w:val="24"/>
        </w:rPr>
        <w:t>Biomass and Bioenergy</w:t>
      </w:r>
      <w:r w:rsidRPr="00113825">
        <w:rPr>
          <w:rFonts w:ascii="Calibri Light" w:hAnsi="Calibri Light" w:cs="Calibri Light"/>
          <w:noProof/>
          <w:sz w:val="16"/>
          <w:szCs w:val="24"/>
        </w:rPr>
        <w:t>, vol. 33, no. 10, pp. 1358–1366, 2009.</w:t>
      </w:r>
    </w:p>
    <w:p w14:paraId="0B01BD8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[22]</w:t>
      </w:r>
      <w:r w:rsidRPr="00113825">
        <w:rPr>
          <w:rFonts w:ascii="Calibri Light" w:hAnsi="Calibri Light" w:cs="Calibri Light"/>
          <w:noProof/>
          <w:sz w:val="16"/>
          <w:szCs w:val="24"/>
        </w:rPr>
        <w:tab/>
        <w:t xml:space="preserve">H. Vasco and M. Costa, “Quantification and use of forest biomass residues in Maputo province, Mozambique,” </w:t>
      </w:r>
      <w:r w:rsidRPr="00113825">
        <w:rPr>
          <w:rFonts w:ascii="Calibri Light" w:hAnsi="Calibri Light" w:cs="Calibri Light"/>
          <w:i/>
          <w:iCs/>
          <w:noProof/>
          <w:sz w:val="16"/>
          <w:szCs w:val="24"/>
        </w:rPr>
        <w:t>Biomass and Bioenergy</w:t>
      </w:r>
      <w:r w:rsidRPr="00113825">
        <w:rPr>
          <w:rFonts w:ascii="Calibri Light" w:hAnsi="Calibri Light" w:cs="Calibri Light"/>
          <w:noProof/>
          <w:sz w:val="16"/>
          <w:szCs w:val="24"/>
        </w:rPr>
        <w:t>, vol. 33, no. 9, pp. 1221–1228, Sep. 2009.</w:t>
      </w:r>
    </w:p>
    <w:p w14:paraId="5CD1C0C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[23]</w:t>
      </w:r>
      <w:r w:rsidRPr="00113825">
        <w:rPr>
          <w:rFonts w:ascii="Calibri Light" w:hAnsi="Calibri Light" w:cs="Calibri Light"/>
          <w:noProof/>
          <w:sz w:val="16"/>
          <w:szCs w:val="24"/>
        </w:rPr>
        <w:tab/>
        <w:t xml:space="preserve">H. Viana, W. B. Cohen, D. Lopes, and J. Aranha, “Assessment of forest biomass for use as energy. GIS-based analysis of geographical availability and locations of wood-fired power plants in Portugal,” </w:t>
      </w:r>
      <w:r w:rsidRPr="00113825">
        <w:rPr>
          <w:rFonts w:ascii="Calibri Light" w:hAnsi="Calibri Light" w:cs="Calibri Light"/>
          <w:i/>
          <w:iCs/>
          <w:noProof/>
          <w:sz w:val="16"/>
          <w:szCs w:val="24"/>
        </w:rPr>
        <w:t>Appl. Energy</w:t>
      </w:r>
      <w:r w:rsidRPr="00113825">
        <w:rPr>
          <w:rFonts w:ascii="Calibri Light" w:hAnsi="Calibri Light" w:cs="Calibri Light"/>
          <w:noProof/>
          <w:sz w:val="16"/>
          <w:szCs w:val="24"/>
        </w:rPr>
        <w:t>, vol. 87, no. 8, pp. 2551–2560, 2010.</w:t>
      </w:r>
    </w:p>
    <w:p w14:paraId="75DCB9F3"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[24]</w:t>
      </w:r>
      <w:r w:rsidRPr="00113825">
        <w:rPr>
          <w:rFonts w:ascii="Calibri Light" w:hAnsi="Calibri Light" w:cs="Calibri Light"/>
          <w:noProof/>
          <w:sz w:val="16"/>
          <w:szCs w:val="24"/>
        </w:rPr>
        <w:tab/>
        <w:t xml:space="preserve">L. A. Wells, W. Chung, N. M. Anderson, and J. S. Hogland, “Spatial and temporal quantification of forest residue volumes and delivered costs,” </w:t>
      </w:r>
      <w:r w:rsidRPr="00113825">
        <w:rPr>
          <w:rFonts w:ascii="Calibri Light" w:hAnsi="Calibri Light" w:cs="Calibri Light"/>
          <w:i/>
          <w:iCs/>
          <w:noProof/>
          <w:sz w:val="16"/>
          <w:szCs w:val="24"/>
        </w:rPr>
        <w:t>Can. J. For. Res.</w:t>
      </w:r>
      <w:r w:rsidRPr="00113825">
        <w:rPr>
          <w:rFonts w:ascii="Calibri Light" w:hAnsi="Calibri Light" w:cs="Calibri Light"/>
          <w:noProof/>
          <w:sz w:val="16"/>
          <w:szCs w:val="24"/>
        </w:rPr>
        <w:t>, vol. 46, no. 6, pp. 832–843, 2016.</w:t>
      </w:r>
    </w:p>
    <w:p w14:paraId="2FD69990"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[25]</w:t>
      </w:r>
      <w:r w:rsidRPr="00113825">
        <w:rPr>
          <w:rFonts w:ascii="Calibri Light" w:hAnsi="Calibri Light" w:cs="Calibri Light"/>
          <w:noProof/>
          <w:sz w:val="16"/>
          <w:szCs w:val="24"/>
        </w:rPr>
        <w:tab/>
        <w:t>L. A. Wells, “Spatial Distribution and Quantification of Forest Treatment Residues for Bioenergy Production,” University of Montana, 2013.</w:t>
      </w:r>
    </w:p>
    <w:p w14:paraId="56CDED9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[26]</w:t>
      </w:r>
      <w:r w:rsidRPr="00113825">
        <w:rPr>
          <w:rFonts w:ascii="Calibri Light" w:hAnsi="Calibri Light" w:cs="Calibri Light"/>
          <w:noProof/>
          <w:sz w:val="16"/>
          <w:szCs w:val="24"/>
        </w:rPr>
        <w:tab/>
        <w:t xml:space="preserve">L. Guindon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“Annual mapping of large forest disturbances across Canada’s forests using 250 m MODIS imagery from 2000 to 2011,” </w:t>
      </w:r>
      <w:r w:rsidRPr="00113825">
        <w:rPr>
          <w:rFonts w:ascii="Calibri Light" w:hAnsi="Calibri Light" w:cs="Calibri Light"/>
          <w:i/>
          <w:iCs/>
          <w:noProof/>
          <w:sz w:val="16"/>
          <w:szCs w:val="24"/>
        </w:rPr>
        <w:t>Can. J. For. Res.</w:t>
      </w:r>
      <w:r w:rsidRPr="00113825">
        <w:rPr>
          <w:rFonts w:ascii="Calibri Light" w:hAnsi="Calibri Light" w:cs="Calibri Light"/>
          <w:noProof/>
          <w:sz w:val="16"/>
          <w:szCs w:val="24"/>
        </w:rPr>
        <w:t>, vol. 44, no. 12, pp. 1545–1554, 2014.</w:t>
      </w:r>
    </w:p>
    <w:p w14:paraId="351FE61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[27]</w:t>
      </w:r>
      <w:r w:rsidRPr="00113825">
        <w:rPr>
          <w:rFonts w:ascii="Calibri Light" w:hAnsi="Calibri Light" w:cs="Calibri Light"/>
          <w:noProof/>
          <w:sz w:val="16"/>
          <w:szCs w:val="24"/>
        </w:rPr>
        <w:tab/>
        <w:t xml:space="preserve">L. Guindon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“Canada Landsat Disturbance (CanLaD): a Canada-wide Landsat-based 30-m resolution product of fire and harvest detection and attribution since 1984.” 2017.</w:t>
      </w:r>
    </w:p>
    <w:p w14:paraId="23CAB0FC"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[28]</w:t>
      </w:r>
      <w:r w:rsidRPr="00113825">
        <w:rPr>
          <w:rFonts w:ascii="Calibri Light" w:hAnsi="Calibri Light" w:cs="Calibri Light"/>
          <w:noProof/>
          <w:sz w:val="16"/>
          <w:szCs w:val="24"/>
        </w:rPr>
        <w:tab/>
        <w:t xml:space="preserve">N. Greggio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“Theoretical and unused potential for residual biomasses in the emilia Romagna Region (Italy) through a revised and portable framework for their categorization,” </w:t>
      </w:r>
      <w:r w:rsidRPr="00113825">
        <w:rPr>
          <w:rFonts w:ascii="Calibri Light" w:hAnsi="Calibri Light" w:cs="Calibri Light"/>
          <w:i/>
          <w:iCs/>
          <w:noProof/>
          <w:sz w:val="16"/>
          <w:szCs w:val="24"/>
        </w:rPr>
        <w:t>Renew. Sustain. Energy Rev.</w:t>
      </w:r>
      <w:r w:rsidRPr="00113825">
        <w:rPr>
          <w:rFonts w:ascii="Calibri Light" w:hAnsi="Calibri Light" w:cs="Calibri Light"/>
          <w:noProof/>
          <w:sz w:val="16"/>
          <w:szCs w:val="24"/>
        </w:rPr>
        <w:t>, vol. 112, no. June, pp. 590–606, 2019.</w:t>
      </w:r>
    </w:p>
    <w:p w14:paraId="31F488F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[29]</w:t>
      </w:r>
      <w:r w:rsidRPr="00113825">
        <w:rPr>
          <w:rFonts w:ascii="Calibri Light" w:hAnsi="Calibri Light" w:cs="Calibri Light"/>
          <w:noProof/>
          <w:sz w:val="16"/>
          <w:szCs w:val="24"/>
        </w:rPr>
        <w:tab/>
        <w:t>M. W. Vis, D. van den Berg, and E. Al., “Best Practices and Methods Handbook,” vol. D 5.3, pp. 1–220, 2010.</w:t>
      </w:r>
    </w:p>
    <w:p w14:paraId="0D374845"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[30]</w:t>
      </w:r>
      <w:r w:rsidRPr="00113825">
        <w:rPr>
          <w:rFonts w:ascii="Calibri Light" w:hAnsi="Calibri Light" w:cs="Calibri Light"/>
          <w:noProof/>
          <w:sz w:val="16"/>
          <w:szCs w:val="24"/>
        </w:rPr>
        <w:tab/>
        <w:t xml:space="preserve">D. Domingo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“Quantifying forest residual biomass in Pinus halepensis Miller stands using Airborne Laser Scanning data,” </w:t>
      </w:r>
      <w:r w:rsidRPr="00113825">
        <w:rPr>
          <w:rFonts w:ascii="Calibri Light" w:hAnsi="Calibri Light" w:cs="Calibri Light"/>
          <w:i/>
          <w:iCs/>
          <w:noProof/>
          <w:sz w:val="16"/>
          <w:szCs w:val="24"/>
        </w:rPr>
        <w:t>GIScience Remote Sens.</w:t>
      </w:r>
      <w:r w:rsidRPr="00113825">
        <w:rPr>
          <w:rFonts w:ascii="Calibri Light" w:hAnsi="Calibri Light" w:cs="Calibri Light"/>
          <w:noProof/>
          <w:sz w:val="16"/>
          <w:szCs w:val="24"/>
        </w:rPr>
        <w:t>, vol. 0, no. 0, pp. 1–23, 2019.</w:t>
      </w:r>
    </w:p>
    <w:p w14:paraId="1CDC3F0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[31]</w:t>
      </w:r>
      <w:r w:rsidRPr="00113825">
        <w:rPr>
          <w:rFonts w:ascii="Calibri Light" w:hAnsi="Calibri Light" w:cs="Calibri Light"/>
          <w:noProof/>
          <w:sz w:val="16"/>
          <w:szCs w:val="24"/>
        </w:rPr>
        <w:tab/>
        <w:t xml:space="preserve">B. Batidzirai, E. M. W. Smeets, and A. P. C. Faaij, “Harmonising bioenergy resource potentials - Methodological lessons from review of state of the art bioenergy potential assessments,” </w:t>
      </w:r>
      <w:r w:rsidRPr="00113825">
        <w:rPr>
          <w:rFonts w:ascii="Calibri Light" w:hAnsi="Calibri Light" w:cs="Calibri Light"/>
          <w:i/>
          <w:iCs/>
          <w:noProof/>
          <w:sz w:val="16"/>
          <w:szCs w:val="24"/>
        </w:rPr>
        <w:t>Renew. Sustain. Energy Rev.</w:t>
      </w:r>
      <w:r w:rsidRPr="00113825">
        <w:rPr>
          <w:rFonts w:ascii="Calibri Light" w:hAnsi="Calibri Light" w:cs="Calibri Light"/>
          <w:noProof/>
          <w:sz w:val="16"/>
          <w:szCs w:val="24"/>
        </w:rPr>
        <w:t>, vol. 16, no. 9, pp. 6598–6630, 2012.</w:t>
      </w:r>
    </w:p>
    <w:p w14:paraId="486BDA9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[32]</w:t>
      </w:r>
      <w:r w:rsidRPr="00113825">
        <w:rPr>
          <w:rFonts w:ascii="Calibri Light" w:hAnsi="Calibri Light" w:cs="Calibri Light"/>
          <w:noProof/>
          <w:sz w:val="16"/>
          <w:szCs w:val="24"/>
        </w:rPr>
        <w:tab/>
        <w:t xml:space="preserve">H. Herrmann and H. Bucksch, “Chapter 4: Forest Land (IPCC 2006 Guidelines),” </w:t>
      </w:r>
      <w:r w:rsidRPr="00113825">
        <w:rPr>
          <w:rFonts w:ascii="Calibri Light" w:hAnsi="Calibri Light" w:cs="Calibri Light"/>
          <w:i/>
          <w:iCs/>
          <w:noProof/>
          <w:sz w:val="16"/>
          <w:szCs w:val="24"/>
        </w:rPr>
        <w:t>Dict. Geotech. Eng. Geotech.</w:t>
      </w:r>
      <w:r w:rsidRPr="00113825">
        <w:rPr>
          <w:rFonts w:ascii="Calibri Light" w:hAnsi="Calibri Light" w:cs="Calibri Light"/>
          <w:noProof/>
          <w:sz w:val="16"/>
          <w:szCs w:val="24"/>
        </w:rPr>
        <w:t>, pp. 556–556, 2014.</w:t>
      </w:r>
    </w:p>
    <w:p w14:paraId="6CACEEC0"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[33]</w:t>
      </w:r>
      <w:r w:rsidRPr="00113825">
        <w:rPr>
          <w:rFonts w:ascii="Calibri Light" w:hAnsi="Calibri Light" w:cs="Calibri Light"/>
          <w:noProof/>
          <w:sz w:val="16"/>
          <w:szCs w:val="24"/>
        </w:rPr>
        <w:tab/>
        <w:t xml:space="preserve">Jim Penman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“Good Practice Guidance for Land Use, Land-Use Change and Forestry,” 2003.</w:t>
      </w:r>
    </w:p>
    <w:p w14:paraId="4150222D"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[34]</w:t>
      </w:r>
      <w:r w:rsidRPr="00113825">
        <w:rPr>
          <w:rFonts w:ascii="Calibri Light" w:hAnsi="Calibri Light" w:cs="Calibri Light"/>
          <w:noProof/>
          <w:sz w:val="16"/>
          <w:szCs w:val="24"/>
        </w:rPr>
        <w:tab/>
        <w:t xml:space="preserve">F. Castedo-Dorado, E. Gómez-García, U. Diéguez-Aranda, M. Barrio-Anta, and F. Crecente-Campo, “Aboveground stand-level biomass estimation: A comparison of two methods for major forest species in northwest Spain,” </w:t>
      </w:r>
      <w:r w:rsidRPr="00113825">
        <w:rPr>
          <w:rFonts w:ascii="Calibri Light" w:hAnsi="Calibri Light" w:cs="Calibri Light"/>
          <w:i/>
          <w:iCs/>
          <w:noProof/>
          <w:sz w:val="16"/>
          <w:szCs w:val="24"/>
        </w:rPr>
        <w:t>Ann. For. Sci.</w:t>
      </w:r>
      <w:r w:rsidRPr="00113825">
        <w:rPr>
          <w:rFonts w:ascii="Calibri Light" w:hAnsi="Calibri Light" w:cs="Calibri Light"/>
          <w:noProof/>
          <w:sz w:val="16"/>
          <w:szCs w:val="24"/>
        </w:rPr>
        <w:t>, vol. 69, no. 6, pp. 735–746, 2012.</w:t>
      </w:r>
    </w:p>
    <w:p w14:paraId="3A3BFDE0"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[35]</w:t>
      </w:r>
      <w:r w:rsidRPr="00113825">
        <w:rPr>
          <w:rFonts w:ascii="Calibri Light" w:hAnsi="Calibri Light" w:cs="Calibri Light"/>
          <w:noProof/>
          <w:sz w:val="16"/>
          <w:szCs w:val="24"/>
        </w:rPr>
        <w:tab/>
        <w:t xml:space="preserve">FAO FRA, “Forest Resources Assessment 2015: Terms and Definitions,” </w:t>
      </w:r>
      <w:r w:rsidRPr="00113825">
        <w:rPr>
          <w:rFonts w:ascii="Calibri Light" w:hAnsi="Calibri Light" w:cs="Calibri Light"/>
          <w:i/>
          <w:iCs/>
          <w:noProof/>
          <w:sz w:val="16"/>
          <w:szCs w:val="24"/>
        </w:rPr>
        <w:t>FAO Rep.</w:t>
      </w:r>
      <w:r w:rsidRPr="00113825">
        <w:rPr>
          <w:rFonts w:ascii="Calibri Light" w:hAnsi="Calibri Light" w:cs="Calibri Light"/>
          <w:noProof/>
          <w:sz w:val="16"/>
          <w:szCs w:val="24"/>
        </w:rPr>
        <w:t>, p. 36, 2012.</w:t>
      </w:r>
    </w:p>
    <w:p w14:paraId="2A8758F0"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[36]</w:t>
      </w:r>
      <w:r w:rsidRPr="00113825">
        <w:rPr>
          <w:rFonts w:ascii="Calibri Light" w:hAnsi="Calibri Light" w:cs="Calibri Light"/>
          <w:noProof/>
          <w:sz w:val="16"/>
          <w:szCs w:val="24"/>
        </w:rPr>
        <w:tab/>
        <w:t xml:space="preserve">S. Liang, X. Li, and J. Wang, “A Systematic View of Remote Sensing,” in </w:t>
      </w:r>
      <w:r w:rsidRPr="00113825">
        <w:rPr>
          <w:rFonts w:ascii="Calibri Light" w:hAnsi="Calibri Light" w:cs="Calibri Light"/>
          <w:i/>
          <w:iCs/>
          <w:noProof/>
          <w:sz w:val="16"/>
          <w:szCs w:val="24"/>
        </w:rPr>
        <w:t>Advanced Remote Sensing</w:t>
      </w:r>
      <w:r w:rsidRPr="00113825">
        <w:rPr>
          <w:rFonts w:ascii="Calibri Light" w:hAnsi="Calibri Light" w:cs="Calibri Light"/>
          <w:noProof/>
          <w:sz w:val="16"/>
          <w:szCs w:val="24"/>
        </w:rPr>
        <w:t>, Elsevier, 2012, pp. 1–31.</w:t>
      </w:r>
    </w:p>
    <w:p w14:paraId="256BAB8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[37]</w:t>
      </w:r>
      <w:r w:rsidRPr="00113825">
        <w:rPr>
          <w:rFonts w:ascii="Calibri Light" w:hAnsi="Calibri Light" w:cs="Calibri Light"/>
          <w:noProof/>
          <w:sz w:val="16"/>
          <w:szCs w:val="24"/>
        </w:rPr>
        <w:tab/>
        <w:t>“What is raster data?—Help | ArcGIS for Desktop.” [Online]. Available: http://desktop.arcgis.com/en/arcmap/10.3/manage-data/raster-and-images/what-is-raster-data.htm. [Accessed: 04-Sep-2019].</w:t>
      </w:r>
    </w:p>
    <w:p w14:paraId="2E9F562C"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[38]</w:t>
      </w:r>
      <w:r w:rsidRPr="00113825">
        <w:rPr>
          <w:rFonts w:ascii="Calibri Light" w:hAnsi="Calibri Light" w:cs="Calibri Light"/>
          <w:noProof/>
          <w:sz w:val="16"/>
          <w:szCs w:val="24"/>
        </w:rPr>
        <w:tab/>
        <w:t xml:space="preserve">X.-P. Song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“Global land change from 1982 to 2016,” </w:t>
      </w:r>
      <w:r w:rsidRPr="00113825">
        <w:rPr>
          <w:rFonts w:ascii="Calibri Light" w:hAnsi="Calibri Light" w:cs="Calibri Light"/>
          <w:i/>
          <w:iCs/>
          <w:noProof/>
          <w:sz w:val="16"/>
          <w:szCs w:val="24"/>
        </w:rPr>
        <w:t>Nature</w:t>
      </w:r>
      <w:r w:rsidRPr="00113825">
        <w:rPr>
          <w:rFonts w:ascii="Calibri Light" w:hAnsi="Calibri Light" w:cs="Calibri Light"/>
          <w:noProof/>
          <w:sz w:val="16"/>
          <w:szCs w:val="24"/>
        </w:rPr>
        <w:t>, vol. 560, no. 7720, pp. 639–643, 2018.</w:t>
      </w:r>
    </w:p>
    <w:p w14:paraId="31B99573"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[39]</w:t>
      </w:r>
      <w:r w:rsidRPr="00113825">
        <w:rPr>
          <w:rFonts w:ascii="Calibri Light" w:hAnsi="Calibri Light" w:cs="Calibri Light"/>
          <w:noProof/>
          <w:sz w:val="16"/>
          <w:szCs w:val="24"/>
        </w:rPr>
        <w:tab/>
        <w:t xml:space="preserve">L. Qin, Q. Liu, M. Zhang, and S. Saeed, “Effect of measurement errors on the estimation of tree biomass,” </w:t>
      </w:r>
      <w:r w:rsidRPr="00113825">
        <w:rPr>
          <w:rFonts w:ascii="Calibri Light" w:hAnsi="Calibri Light" w:cs="Calibri Light"/>
          <w:i/>
          <w:iCs/>
          <w:noProof/>
          <w:sz w:val="16"/>
          <w:szCs w:val="24"/>
        </w:rPr>
        <w:t>Can. J. For. Res.</w:t>
      </w:r>
      <w:r w:rsidRPr="00113825">
        <w:rPr>
          <w:rFonts w:ascii="Calibri Light" w:hAnsi="Calibri Light" w:cs="Calibri Light"/>
          <w:noProof/>
          <w:sz w:val="16"/>
          <w:szCs w:val="24"/>
        </w:rPr>
        <w:t>, vol. 49, no. 11, pp. 1371–1378, Nov. 2019.</w:t>
      </w:r>
    </w:p>
    <w:p w14:paraId="37A730D9"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[40]</w:t>
      </w:r>
      <w:r w:rsidRPr="00113825">
        <w:rPr>
          <w:rFonts w:ascii="Calibri Light" w:hAnsi="Calibri Light" w:cs="Calibri Light"/>
          <w:noProof/>
          <w:sz w:val="16"/>
          <w:szCs w:val="24"/>
        </w:rPr>
        <w:tab/>
        <w:t xml:space="preserve">N. S.-N. Lam and D. A. Quattrochi, “On the Issues of Scale, Resolution, and Fractal Analysis in the Mapping Sciences,” </w:t>
      </w:r>
      <w:r w:rsidRPr="00113825">
        <w:rPr>
          <w:rFonts w:ascii="Calibri Light" w:hAnsi="Calibri Light" w:cs="Calibri Light"/>
          <w:i/>
          <w:iCs/>
          <w:noProof/>
          <w:sz w:val="16"/>
          <w:szCs w:val="24"/>
        </w:rPr>
        <w:t>Prof. Geogr.</w:t>
      </w:r>
      <w:r w:rsidRPr="00113825">
        <w:rPr>
          <w:rFonts w:ascii="Calibri Light" w:hAnsi="Calibri Light" w:cs="Calibri Light"/>
          <w:noProof/>
          <w:sz w:val="16"/>
          <w:szCs w:val="24"/>
        </w:rPr>
        <w:t>, vol. 44, no. 1, pp. 88–98, Feb. 1992.</w:t>
      </w:r>
    </w:p>
    <w:p w14:paraId="2409C708"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[41]</w:t>
      </w:r>
      <w:r w:rsidRPr="00113825">
        <w:rPr>
          <w:rFonts w:ascii="Calibri Light" w:hAnsi="Calibri Light" w:cs="Calibri Light"/>
          <w:noProof/>
          <w:sz w:val="16"/>
          <w:szCs w:val="24"/>
        </w:rPr>
        <w:tab/>
        <w:t>G. J. Camia A., Robert N., Jonsson R., Pilli R., García-Condado S., López-Lozano R., van der Velde M., Ronzon T., Gurría P., M’Barek R., Tamosiunas S., Fiore G., Araujo R., Hoepffner N., Marelli L., “Biomass production, supply, uses and flows in the European Union: First results from an integrated assessment,” Publications Office of the European Union, 2018, 2018.</w:t>
      </w:r>
    </w:p>
    <w:p w14:paraId="26253B59"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[42]</w:t>
      </w:r>
      <w:r w:rsidRPr="00113825">
        <w:rPr>
          <w:rFonts w:ascii="Calibri Light" w:hAnsi="Calibri Light" w:cs="Calibri Light"/>
          <w:noProof/>
          <w:sz w:val="16"/>
          <w:szCs w:val="24"/>
        </w:rPr>
        <w:tab/>
        <w:t xml:space="preserve">G. Resch, A. Held, T. Faber, C. Panzer, F. Toro, and R. Haas, “Potentials and prospects for renewable energies at global scale,” </w:t>
      </w:r>
      <w:r w:rsidRPr="00113825">
        <w:rPr>
          <w:rFonts w:ascii="Calibri Light" w:hAnsi="Calibri Light" w:cs="Calibri Light"/>
          <w:i/>
          <w:iCs/>
          <w:noProof/>
          <w:sz w:val="16"/>
          <w:szCs w:val="24"/>
        </w:rPr>
        <w:t>Energy Policy</w:t>
      </w:r>
      <w:r w:rsidRPr="00113825">
        <w:rPr>
          <w:rFonts w:ascii="Calibri Light" w:hAnsi="Calibri Light" w:cs="Calibri Light"/>
          <w:noProof/>
          <w:sz w:val="16"/>
          <w:szCs w:val="24"/>
        </w:rPr>
        <w:t>, vol. 36, no. 11, pp. 4048–4056, 2008.</w:t>
      </w:r>
    </w:p>
    <w:p w14:paraId="7D629D1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[43]</w:t>
      </w:r>
      <w:r w:rsidRPr="00113825">
        <w:rPr>
          <w:rFonts w:ascii="Calibri Light" w:hAnsi="Calibri Light" w:cs="Calibri Light"/>
          <w:noProof/>
          <w:sz w:val="16"/>
          <w:szCs w:val="24"/>
        </w:rPr>
        <w:tab/>
        <w:t xml:space="preserve">Joint Committee For Guides In, “Evaluation of measurement data — Guide to the expression of uncertainty in measurement,” </w:t>
      </w:r>
      <w:r w:rsidRPr="00113825">
        <w:rPr>
          <w:rFonts w:ascii="Calibri Light" w:hAnsi="Calibri Light" w:cs="Calibri Light"/>
          <w:i/>
          <w:iCs/>
          <w:noProof/>
          <w:sz w:val="16"/>
          <w:szCs w:val="24"/>
        </w:rPr>
        <w:t>Int. Organ. Stand. Geneva ISBN</w:t>
      </w:r>
      <w:r w:rsidRPr="00113825">
        <w:rPr>
          <w:rFonts w:ascii="Calibri Light" w:hAnsi="Calibri Light" w:cs="Calibri Light"/>
          <w:noProof/>
          <w:sz w:val="16"/>
          <w:szCs w:val="24"/>
        </w:rPr>
        <w:t>, vol. 50, no. September, p. 134, 2008.</w:t>
      </w:r>
    </w:p>
    <w:p w14:paraId="4B30B04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[44]</w:t>
      </w:r>
      <w:r w:rsidRPr="00113825">
        <w:rPr>
          <w:rFonts w:ascii="Calibri Light" w:hAnsi="Calibri Light" w:cs="Calibri Light"/>
          <w:noProof/>
          <w:sz w:val="16"/>
          <w:szCs w:val="24"/>
        </w:rPr>
        <w:tab/>
        <w:t>“Shapefiles—ArcGIS Online Help | ArcGIS.” [Online]. Available: https://doc.arcgis.com/en/arcgis-online/reference/shapefiles.htm. [Accessed: 06-Sep-2019].</w:t>
      </w:r>
    </w:p>
    <w:p w14:paraId="25E76DA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[45]</w:t>
      </w:r>
      <w:r w:rsidRPr="00113825">
        <w:rPr>
          <w:rFonts w:ascii="Calibri Light" w:hAnsi="Calibri Light" w:cs="Calibri Light"/>
          <w:noProof/>
          <w:sz w:val="16"/>
          <w:szCs w:val="24"/>
        </w:rPr>
        <w:tab/>
        <w:t xml:space="preserve">E.-E. Commission, “A new EU Forest Strategy: For forests and the forest-based sector.,” </w:t>
      </w:r>
      <w:r w:rsidRPr="00113825">
        <w:rPr>
          <w:rFonts w:ascii="Calibri Light" w:hAnsi="Calibri Light" w:cs="Calibri Light"/>
          <w:i/>
          <w:iCs/>
          <w:noProof/>
          <w:sz w:val="16"/>
          <w:szCs w:val="24"/>
        </w:rPr>
        <w:t>Commun. from Comm. to Eur. Parliam. Councis, Eur. Econ. Soc. Comm. Comm. Reg. Brussels.</w:t>
      </w:r>
      <w:r w:rsidRPr="00113825">
        <w:rPr>
          <w:rFonts w:ascii="Calibri Light" w:hAnsi="Calibri Light" w:cs="Calibri Light"/>
          <w:noProof/>
          <w:sz w:val="16"/>
          <w:szCs w:val="24"/>
        </w:rPr>
        <w:t>, Dec. 2013.</w:t>
      </w:r>
    </w:p>
    <w:p w14:paraId="3A65B18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lastRenderedPageBreak/>
        <w:t>[46]</w:t>
      </w:r>
      <w:r w:rsidRPr="00113825">
        <w:rPr>
          <w:rFonts w:ascii="Calibri Light" w:hAnsi="Calibri Light" w:cs="Calibri Light"/>
          <w:noProof/>
          <w:sz w:val="16"/>
          <w:szCs w:val="24"/>
        </w:rPr>
        <w:tab/>
        <w:t>“List of Annex I Countries - OECD.” [Online]. Available: http://www.oecd.org/env/cc/listofannexicountries.htm. [Accessed: 23-Sep-2019].</w:t>
      </w:r>
    </w:p>
    <w:p w14:paraId="6A583B1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[47]</w:t>
      </w:r>
      <w:r w:rsidRPr="00113825">
        <w:rPr>
          <w:rFonts w:ascii="Calibri Light" w:hAnsi="Calibri Light" w:cs="Calibri Light"/>
          <w:noProof/>
          <w:sz w:val="16"/>
          <w:szCs w:val="24"/>
        </w:rPr>
        <w:tab/>
        <w:t>“Inventory Review Reports 2019 | UNFCCC.” [Online]. Available: https://unfccc.int/process-and-meetings/transparency-and-reporting/reporting-and-review-under-the-convention/greenhouse-gas-inventories-annex-i-parties/inventory-review-reports/inventory-review-reports-2019. [Accessed: 23-Sep-2019].</w:t>
      </w:r>
    </w:p>
    <w:p w14:paraId="55DEEFC3"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[48]</w:t>
      </w:r>
      <w:r w:rsidRPr="00113825">
        <w:rPr>
          <w:rFonts w:ascii="Calibri Light" w:hAnsi="Calibri Light" w:cs="Calibri Light"/>
          <w:noProof/>
          <w:sz w:val="16"/>
          <w:szCs w:val="24"/>
        </w:rPr>
        <w:tab/>
        <w:t xml:space="preserve">G. E. Kindermann, I. McCallum, S. Fritz, and M. Obersteiner, “A global forest growing stock, biomass and carbon map based on FAO statistics,” </w:t>
      </w:r>
      <w:r w:rsidRPr="00113825">
        <w:rPr>
          <w:rFonts w:ascii="Calibri Light" w:hAnsi="Calibri Light" w:cs="Calibri Light"/>
          <w:i/>
          <w:iCs/>
          <w:noProof/>
          <w:sz w:val="16"/>
          <w:szCs w:val="24"/>
        </w:rPr>
        <w:t>Silva Fenn.</w:t>
      </w:r>
      <w:r w:rsidRPr="00113825">
        <w:rPr>
          <w:rFonts w:ascii="Calibri Light" w:hAnsi="Calibri Light" w:cs="Calibri Light"/>
          <w:noProof/>
          <w:sz w:val="16"/>
          <w:szCs w:val="24"/>
        </w:rPr>
        <w:t>, vol. 42, no. 3, pp. 387–396, 2008.</w:t>
      </w:r>
    </w:p>
    <w:p w14:paraId="64A0FDF4"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[49]</w:t>
      </w:r>
      <w:r w:rsidRPr="00113825">
        <w:rPr>
          <w:rFonts w:ascii="Calibri Light" w:hAnsi="Calibri Light" w:cs="Calibri Light"/>
          <w:noProof/>
          <w:sz w:val="16"/>
          <w:szCs w:val="24"/>
        </w:rPr>
        <w:tab/>
        <w:t xml:space="preserve">R. Rengarajan, A. Sampath, J. Storey, and M. Choate, “Validation of geometric accuracy of global land survey (GLS) 2000 data,” </w:t>
      </w:r>
      <w:r w:rsidRPr="00113825">
        <w:rPr>
          <w:rFonts w:ascii="Calibri Light" w:hAnsi="Calibri Light" w:cs="Calibri Light"/>
          <w:i/>
          <w:iCs/>
          <w:noProof/>
          <w:sz w:val="16"/>
          <w:szCs w:val="24"/>
        </w:rPr>
        <w:t>Photogramm. Eng. Remote Sensing</w:t>
      </w:r>
      <w:r w:rsidRPr="00113825">
        <w:rPr>
          <w:rFonts w:ascii="Calibri Light" w:hAnsi="Calibri Light" w:cs="Calibri Light"/>
          <w:noProof/>
          <w:sz w:val="16"/>
          <w:szCs w:val="24"/>
        </w:rPr>
        <w:t>, vol. 81, no. 2, pp. 131–141, 2015.</w:t>
      </w:r>
    </w:p>
    <w:p w14:paraId="0F3B6BFC"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[50]</w:t>
      </w:r>
      <w:r w:rsidRPr="00113825">
        <w:rPr>
          <w:rFonts w:ascii="Calibri Light" w:hAnsi="Calibri Light" w:cs="Calibri Light"/>
          <w:noProof/>
          <w:sz w:val="16"/>
          <w:szCs w:val="24"/>
        </w:rPr>
        <w:tab/>
        <w:t>“Download CCI LC Products | ESA CCI Land cover website.” [Online]. Available: https://www.esa-landcover-cci.org/?q=node/164. [Accessed: 12-Dec-2019].</w:t>
      </w:r>
    </w:p>
    <w:p w14:paraId="75AA5D10"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[51]</w:t>
      </w:r>
      <w:r w:rsidRPr="00113825">
        <w:rPr>
          <w:rFonts w:ascii="Calibri Light" w:hAnsi="Calibri Light" w:cs="Calibri Light"/>
          <w:noProof/>
          <w:sz w:val="16"/>
          <w:szCs w:val="24"/>
        </w:rPr>
        <w:tab/>
        <w:t xml:space="preserve">C. Jun, Y. Ban, and S. Li, “Open access to Earth land-cover map,” </w:t>
      </w:r>
      <w:r w:rsidRPr="00113825">
        <w:rPr>
          <w:rFonts w:ascii="Calibri Light" w:hAnsi="Calibri Light" w:cs="Calibri Light"/>
          <w:i/>
          <w:iCs/>
          <w:noProof/>
          <w:sz w:val="16"/>
          <w:szCs w:val="24"/>
        </w:rPr>
        <w:t>Nature</w:t>
      </w:r>
      <w:r w:rsidRPr="00113825">
        <w:rPr>
          <w:rFonts w:ascii="Calibri Light" w:hAnsi="Calibri Light" w:cs="Calibri Light"/>
          <w:noProof/>
          <w:sz w:val="16"/>
          <w:szCs w:val="24"/>
        </w:rPr>
        <w:t>, vol. 514, no. 7523, p. 434, 2014.</w:t>
      </w:r>
    </w:p>
    <w:p w14:paraId="23C129B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[52]</w:t>
      </w:r>
      <w:r w:rsidRPr="00113825">
        <w:rPr>
          <w:rFonts w:ascii="Calibri Light" w:hAnsi="Calibri Light" w:cs="Calibri Light"/>
          <w:noProof/>
          <w:sz w:val="16"/>
          <w:szCs w:val="24"/>
        </w:rPr>
        <w:tab/>
        <w:t xml:space="preserve">EEA, </w:t>
      </w:r>
      <w:r w:rsidRPr="00113825">
        <w:rPr>
          <w:rFonts w:ascii="Calibri Light" w:hAnsi="Calibri Light" w:cs="Calibri Light"/>
          <w:i/>
          <w:iCs/>
          <w:noProof/>
          <w:sz w:val="16"/>
          <w:szCs w:val="24"/>
        </w:rPr>
        <w:t>Corine land cover 2000. Technical guidelines.</w:t>
      </w:r>
      <w:r w:rsidRPr="00113825">
        <w:rPr>
          <w:rFonts w:ascii="Calibri Light" w:hAnsi="Calibri Light" w:cs="Calibri Light"/>
          <w:noProof/>
          <w:sz w:val="16"/>
          <w:szCs w:val="24"/>
        </w:rPr>
        <w:t xml:space="preserve"> 2002.</w:t>
      </w:r>
    </w:p>
    <w:p w14:paraId="4469674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[53]</w:t>
      </w:r>
      <w:r w:rsidRPr="00113825">
        <w:rPr>
          <w:rFonts w:ascii="Calibri Light" w:hAnsi="Calibri Light" w:cs="Calibri Light"/>
          <w:noProof/>
          <w:sz w:val="16"/>
          <w:szCs w:val="24"/>
        </w:rPr>
        <w:tab/>
        <w:t xml:space="preserve">IPCC, </w:t>
      </w:r>
      <w:r w:rsidRPr="00113825">
        <w:rPr>
          <w:rFonts w:ascii="Calibri Light" w:hAnsi="Calibri Light" w:cs="Calibri Light"/>
          <w:i/>
          <w:iCs/>
          <w:noProof/>
          <w:sz w:val="16"/>
          <w:szCs w:val="24"/>
        </w:rPr>
        <w:t>Good Practice Guidance for Land Use, Land-Use Change and Forestry</w:t>
      </w:r>
      <w:r w:rsidRPr="00113825">
        <w:rPr>
          <w:rFonts w:ascii="Calibri Light" w:hAnsi="Calibri Light" w:cs="Calibri Light"/>
          <w:noProof/>
          <w:sz w:val="16"/>
          <w:szCs w:val="24"/>
        </w:rPr>
        <w:t>. 2003.</w:t>
      </w:r>
    </w:p>
    <w:p w14:paraId="1AAD0CC8"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[54]</w:t>
      </w:r>
      <w:r w:rsidRPr="00113825">
        <w:rPr>
          <w:rFonts w:ascii="Calibri Light" w:hAnsi="Calibri Light" w:cs="Calibri Light"/>
          <w:noProof/>
          <w:sz w:val="16"/>
          <w:szCs w:val="24"/>
        </w:rPr>
        <w:tab/>
        <w:t>G. Reyes, S. Brown, J. Chapman, and A. E. Lugo, “Wood Densities of Tropical Tree Species,” 1992.</w:t>
      </w:r>
    </w:p>
    <w:p w14:paraId="7BD0084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[55]</w:t>
      </w:r>
      <w:r w:rsidRPr="00113825">
        <w:rPr>
          <w:rFonts w:ascii="Calibri Light" w:hAnsi="Calibri Light" w:cs="Calibri Light"/>
          <w:noProof/>
          <w:sz w:val="16"/>
          <w:szCs w:val="24"/>
        </w:rPr>
        <w:tab/>
        <w:t xml:space="preserve">P. Schroeder, S. Brown, J. Mo, R. Birdsey, and C. Cieszewski, “Biomass Estimation for Temperate Broadleaf Forests of the United States Using Inventory Data,” </w:t>
      </w:r>
      <w:r w:rsidRPr="00113825">
        <w:rPr>
          <w:rFonts w:ascii="Calibri Light" w:hAnsi="Calibri Light" w:cs="Calibri Light"/>
          <w:i/>
          <w:iCs/>
          <w:noProof/>
          <w:sz w:val="16"/>
          <w:szCs w:val="24"/>
        </w:rPr>
        <w:t>For. Sci.</w:t>
      </w:r>
      <w:r w:rsidRPr="00113825">
        <w:rPr>
          <w:rFonts w:ascii="Calibri Light" w:hAnsi="Calibri Light" w:cs="Calibri Light"/>
          <w:noProof/>
          <w:sz w:val="16"/>
          <w:szCs w:val="24"/>
        </w:rPr>
        <w:t>, vol. 43, no. 3, pp. 424–434, 1997.</w:t>
      </w:r>
    </w:p>
    <w:p w14:paraId="76DA91C3"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[56]</w:t>
      </w:r>
      <w:r w:rsidRPr="00113825">
        <w:rPr>
          <w:rFonts w:ascii="Calibri Light" w:hAnsi="Calibri Light" w:cs="Calibri Light"/>
          <w:noProof/>
          <w:sz w:val="16"/>
          <w:szCs w:val="24"/>
        </w:rPr>
        <w:tab/>
        <w:t xml:space="preserve">C. R. Sanquetta, A. P. D. Corte, and F. da Silva, “Biomass expansion factor and root-to-shoot ratio for Pinus in Brazil,” </w:t>
      </w:r>
      <w:r w:rsidRPr="00113825">
        <w:rPr>
          <w:rFonts w:ascii="Calibri Light" w:hAnsi="Calibri Light" w:cs="Calibri Light"/>
          <w:i/>
          <w:iCs/>
          <w:noProof/>
          <w:sz w:val="16"/>
          <w:szCs w:val="24"/>
        </w:rPr>
        <w:t>Carbon Balance Manag.</w:t>
      </w:r>
      <w:r w:rsidRPr="00113825">
        <w:rPr>
          <w:rFonts w:ascii="Calibri Light" w:hAnsi="Calibri Light" w:cs="Calibri Light"/>
          <w:noProof/>
          <w:sz w:val="16"/>
          <w:szCs w:val="24"/>
        </w:rPr>
        <w:t>, vol. 6, no. 1, p. 6, Dec. 2011.</w:t>
      </w:r>
    </w:p>
    <w:p w14:paraId="3A16DD5A"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[57]</w:t>
      </w:r>
      <w:r w:rsidRPr="00113825">
        <w:rPr>
          <w:rFonts w:ascii="Calibri Light" w:hAnsi="Calibri Light" w:cs="Calibri Light"/>
          <w:noProof/>
          <w:sz w:val="16"/>
          <w:szCs w:val="24"/>
        </w:rPr>
        <w:tab/>
        <w:t xml:space="preserve">D. Schoene, W. Killmann, H. Von Lupke, and M. LoycheWilkie, “Definitional issues related to reducing emission from deforestation in developing countries,” </w:t>
      </w:r>
      <w:r w:rsidRPr="00113825">
        <w:rPr>
          <w:rFonts w:ascii="Calibri Light" w:hAnsi="Calibri Light" w:cs="Calibri Light"/>
          <w:i/>
          <w:iCs/>
          <w:noProof/>
          <w:sz w:val="16"/>
          <w:szCs w:val="24"/>
        </w:rPr>
        <w:t>FAO Rep.</w:t>
      </w:r>
      <w:r w:rsidRPr="00113825">
        <w:rPr>
          <w:rFonts w:ascii="Calibri Light" w:hAnsi="Calibri Light" w:cs="Calibri Light"/>
          <w:noProof/>
          <w:sz w:val="16"/>
          <w:szCs w:val="24"/>
        </w:rPr>
        <w:t>, no. 5, pp. 1–26, 2007.</w:t>
      </w:r>
    </w:p>
    <w:p w14:paraId="1A3694B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[58]</w:t>
      </w:r>
      <w:r w:rsidRPr="00113825">
        <w:rPr>
          <w:rFonts w:ascii="Calibri Light" w:hAnsi="Calibri Light" w:cs="Calibri Light"/>
          <w:noProof/>
          <w:sz w:val="16"/>
          <w:szCs w:val="24"/>
        </w:rPr>
        <w:tab/>
        <w:t xml:space="preserve">FAO, </w:t>
      </w:r>
      <w:r w:rsidRPr="00113825">
        <w:rPr>
          <w:rFonts w:ascii="Calibri Light" w:hAnsi="Calibri Light" w:cs="Calibri Light"/>
          <w:i/>
          <w:iCs/>
          <w:noProof/>
          <w:sz w:val="16"/>
          <w:szCs w:val="24"/>
        </w:rPr>
        <w:t>Forest Resources of Europe, CIS, North America, Australia, Japan and New Zealand (TBFRA-2000)</w:t>
      </w:r>
      <w:r w:rsidRPr="00113825">
        <w:rPr>
          <w:rFonts w:ascii="Calibri Light" w:hAnsi="Calibri Light" w:cs="Calibri Light"/>
          <w:noProof/>
          <w:sz w:val="16"/>
          <w:szCs w:val="24"/>
        </w:rPr>
        <w:t>, vol. 81, no. 17. 2000.</w:t>
      </w:r>
    </w:p>
    <w:p w14:paraId="3AF52F1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[59]</w:t>
      </w:r>
      <w:r w:rsidRPr="00113825">
        <w:rPr>
          <w:rFonts w:ascii="Calibri Light" w:hAnsi="Calibri Light" w:cs="Calibri Light"/>
          <w:noProof/>
          <w:sz w:val="16"/>
          <w:szCs w:val="24"/>
        </w:rPr>
        <w:tab/>
        <w:t xml:space="preserve">J. A. Westfall and R. E. McRoberts, “An assessment of uncertainty in volume estimates for stands reconstructed from tree stump information,” </w:t>
      </w:r>
      <w:r w:rsidRPr="00113825">
        <w:rPr>
          <w:rFonts w:ascii="Calibri Light" w:hAnsi="Calibri Light" w:cs="Calibri Light"/>
          <w:i/>
          <w:iCs/>
          <w:noProof/>
          <w:sz w:val="16"/>
          <w:szCs w:val="24"/>
        </w:rPr>
        <w:t>Forestry</w:t>
      </w:r>
      <w:r w:rsidRPr="00113825">
        <w:rPr>
          <w:rFonts w:ascii="Calibri Light" w:hAnsi="Calibri Light" w:cs="Calibri Light"/>
          <w:noProof/>
          <w:sz w:val="16"/>
          <w:szCs w:val="24"/>
        </w:rPr>
        <w:t>, vol. 90, no. 3, pp. 404–412, Jan. 2017.</w:t>
      </w:r>
    </w:p>
    <w:p w14:paraId="6B1B642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[60]</w:t>
      </w:r>
      <w:r w:rsidRPr="00113825">
        <w:rPr>
          <w:rFonts w:ascii="Calibri Light" w:hAnsi="Calibri Light" w:cs="Calibri Light"/>
          <w:noProof/>
          <w:sz w:val="16"/>
          <w:szCs w:val="24"/>
        </w:rPr>
        <w:tab/>
        <w:t xml:space="preserve">R. E. McRoberts and J. A. Westfall, “Propagating uncertainty through individual tree volume model predictions to large-area volume estimates,” </w:t>
      </w:r>
      <w:r w:rsidRPr="00113825">
        <w:rPr>
          <w:rFonts w:ascii="Calibri Light" w:hAnsi="Calibri Light" w:cs="Calibri Light"/>
          <w:i/>
          <w:iCs/>
          <w:noProof/>
          <w:sz w:val="16"/>
          <w:szCs w:val="24"/>
        </w:rPr>
        <w:t>Ann. For. Sci.</w:t>
      </w:r>
      <w:r w:rsidRPr="00113825">
        <w:rPr>
          <w:rFonts w:ascii="Calibri Light" w:hAnsi="Calibri Light" w:cs="Calibri Light"/>
          <w:noProof/>
          <w:sz w:val="16"/>
          <w:szCs w:val="24"/>
        </w:rPr>
        <w:t>, vol. 73, no. 3, pp. 625–633, 2016.</w:t>
      </w:r>
    </w:p>
    <w:p w14:paraId="14DF4415"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[61]</w:t>
      </w:r>
      <w:r w:rsidRPr="00113825">
        <w:rPr>
          <w:rFonts w:ascii="Calibri Light" w:hAnsi="Calibri Light" w:cs="Calibri Light"/>
          <w:noProof/>
          <w:sz w:val="16"/>
          <w:szCs w:val="24"/>
        </w:rPr>
        <w:tab/>
        <w:t xml:space="preserve">A. Kuliešis, S. M. Tomter, C. Vidal, and A. Lanz, “Estimates of stem wood increments in forest resources: comparison of different approaches in forest inventory: consequences for international reporting: case studyof European forests,” </w:t>
      </w:r>
      <w:r w:rsidRPr="00113825">
        <w:rPr>
          <w:rFonts w:ascii="Calibri Light" w:hAnsi="Calibri Light" w:cs="Calibri Light"/>
          <w:i/>
          <w:iCs/>
          <w:noProof/>
          <w:sz w:val="16"/>
          <w:szCs w:val="24"/>
        </w:rPr>
        <w:t>Ann. For. Sci.</w:t>
      </w:r>
      <w:r w:rsidRPr="00113825">
        <w:rPr>
          <w:rFonts w:ascii="Calibri Light" w:hAnsi="Calibri Light" w:cs="Calibri Light"/>
          <w:noProof/>
          <w:sz w:val="16"/>
          <w:szCs w:val="24"/>
        </w:rPr>
        <w:t>, vol. 73, no. 4, pp. 857–869, 2016.</w:t>
      </w:r>
    </w:p>
    <w:p w14:paraId="54438769"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[62]</w:t>
      </w:r>
      <w:r w:rsidRPr="00113825">
        <w:rPr>
          <w:rFonts w:ascii="Calibri Light" w:hAnsi="Calibri Light" w:cs="Calibri Light"/>
          <w:noProof/>
          <w:sz w:val="16"/>
          <w:szCs w:val="24"/>
        </w:rPr>
        <w:tab/>
        <w:t xml:space="preserve">F. L. Schmidt and J. E. Hunter, “Theory Testing and Measurement Error,” </w:t>
      </w:r>
      <w:r w:rsidRPr="00113825">
        <w:rPr>
          <w:rFonts w:ascii="Calibri Light" w:hAnsi="Calibri Light" w:cs="Calibri Light"/>
          <w:i/>
          <w:iCs/>
          <w:noProof/>
          <w:sz w:val="16"/>
          <w:szCs w:val="24"/>
        </w:rPr>
        <w:t>Intelligence</w:t>
      </w:r>
      <w:r w:rsidRPr="00113825">
        <w:rPr>
          <w:rFonts w:ascii="Calibri Light" w:hAnsi="Calibri Light" w:cs="Calibri Light"/>
          <w:noProof/>
          <w:sz w:val="16"/>
          <w:szCs w:val="24"/>
        </w:rPr>
        <w:t>, vol. 27, no. 3, pp. 183–198, Sep. 1999.</w:t>
      </w:r>
    </w:p>
    <w:p w14:paraId="3DAEA04F"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[63]</w:t>
      </w:r>
      <w:r w:rsidRPr="00113825">
        <w:rPr>
          <w:rFonts w:ascii="Calibri Light" w:hAnsi="Calibri Light" w:cs="Calibri Light"/>
          <w:noProof/>
          <w:sz w:val="16"/>
          <w:szCs w:val="24"/>
        </w:rPr>
        <w:tab/>
        <w:t xml:space="preserve">I. Farrance and R. Frenkel, “Uncertainty of Measurement: A Review of the Rules for Calculating Uncertainty Components through Functional Relationships.,” </w:t>
      </w:r>
      <w:r w:rsidRPr="00113825">
        <w:rPr>
          <w:rFonts w:ascii="Calibri Light" w:hAnsi="Calibri Light" w:cs="Calibri Light"/>
          <w:i/>
          <w:iCs/>
          <w:noProof/>
          <w:sz w:val="16"/>
          <w:szCs w:val="24"/>
        </w:rPr>
        <w:t>Clin. Biochem. Rev.</w:t>
      </w:r>
      <w:r w:rsidRPr="00113825">
        <w:rPr>
          <w:rFonts w:ascii="Calibri Light" w:hAnsi="Calibri Light" w:cs="Calibri Light"/>
          <w:noProof/>
          <w:sz w:val="16"/>
          <w:szCs w:val="24"/>
        </w:rPr>
        <w:t>, vol. 33, no. 2, pp. 49–75, May 2012.</w:t>
      </w:r>
    </w:p>
    <w:p w14:paraId="6F48D66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[64]</w:t>
      </w:r>
      <w:r w:rsidRPr="00113825">
        <w:rPr>
          <w:rFonts w:ascii="Calibri Light" w:hAnsi="Calibri Light" w:cs="Calibri Light"/>
          <w:noProof/>
          <w:sz w:val="16"/>
          <w:szCs w:val="24"/>
        </w:rPr>
        <w:tab/>
        <w:t xml:space="preserve">B. P. Weidema and M. S. Wesnæs, “Data quality management for life cycle inventories—an example of using data quality indicators,” </w:t>
      </w:r>
      <w:r w:rsidRPr="00113825">
        <w:rPr>
          <w:rFonts w:ascii="Calibri Light" w:hAnsi="Calibri Light" w:cs="Calibri Light"/>
          <w:i/>
          <w:iCs/>
          <w:noProof/>
          <w:sz w:val="16"/>
          <w:szCs w:val="24"/>
        </w:rPr>
        <w:t>J. Clean. Prod.</w:t>
      </w:r>
      <w:r w:rsidRPr="00113825">
        <w:rPr>
          <w:rFonts w:ascii="Calibri Light" w:hAnsi="Calibri Light" w:cs="Calibri Light"/>
          <w:noProof/>
          <w:sz w:val="16"/>
          <w:szCs w:val="24"/>
        </w:rPr>
        <w:t>, vol. 4, no. 3–4, pp. 167–174, Jan. 1996.</w:t>
      </w:r>
    </w:p>
    <w:p w14:paraId="585545B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[65]</w:t>
      </w:r>
      <w:r w:rsidRPr="00113825">
        <w:rPr>
          <w:rFonts w:ascii="Calibri Light" w:hAnsi="Calibri Light" w:cs="Calibri Light"/>
          <w:noProof/>
          <w:sz w:val="16"/>
          <w:szCs w:val="24"/>
        </w:rPr>
        <w:tab/>
        <w:t xml:space="preserve">European Commission, </w:t>
      </w:r>
      <w:r w:rsidRPr="00113825">
        <w:rPr>
          <w:rFonts w:ascii="Calibri Light" w:hAnsi="Calibri Light" w:cs="Calibri Light"/>
          <w:i/>
          <w:iCs/>
          <w:noProof/>
          <w:sz w:val="16"/>
          <w:szCs w:val="24"/>
        </w:rPr>
        <w:t>A sustainable Bioeconomy for Europe: strengthening the connection between economy, society and the environment</w:t>
      </w:r>
      <w:r w:rsidRPr="00113825">
        <w:rPr>
          <w:rFonts w:ascii="Calibri Light" w:hAnsi="Calibri Light" w:cs="Calibri Light"/>
          <w:noProof/>
          <w:sz w:val="16"/>
          <w:szCs w:val="24"/>
        </w:rPr>
        <w:t>. 2018.</w:t>
      </w:r>
    </w:p>
    <w:p w14:paraId="5A606EB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[66]</w:t>
      </w:r>
      <w:r w:rsidRPr="00113825">
        <w:rPr>
          <w:rFonts w:ascii="Calibri Light" w:hAnsi="Calibri Light" w:cs="Calibri Light"/>
          <w:noProof/>
          <w:sz w:val="16"/>
          <w:szCs w:val="24"/>
        </w:rPr>
        <w:tab/>
        <w:t>“Over 40% of the EU covered with forests - Product - Eurostat.” [Online]. Available: https://ec.europa.eu/eurostat/web/products-eurostat-news/-/EDN-20180321-1. [Accessed: 13-Dec-2019].</w:t>
      </w:r>
    </w:p>
    <w:p w14:paraId="40838E1D"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[67]</w:t>
      </w:r>
      <w:r w:rsidRPr="00113825">
        <w:rPr>
          <w:rFonts w:ascii="Calibri Light" w:hAnsi="Calibri Light" w:cs="Calibri Light"/>
          <w:noProof/>
          <w:sz w:val="16"/>
          <w:szCs w:val="24"/>
        </w:rPr>
        <w:tab/>
        <w:t xml:space="preserve">IGN, “Le mémento,” </w:t>
      </w:r>
      <w:r w:rsidRPr="00113825">
        <w:rPr>
          <w:rFonts w:ascii="Calibri Light" w:hAnsi="Calibri Light" w:cs="Calibri Light"/>
          <w:i/>
          <w:iCs/>
          <w:noProof/>
          <w:sz w:val="16"/>
          <w:szCs w:val="24"/>
        </w:rPr>
        <w:t>Inven. For. Natl.</w:t>
      </w:r>
      <w:r w:rsidRPr="00113825">
        <w:rPr>
          <w:rFonts w:ascii="Calibri Light" w:hAnsi="Calibri Light" w:cs="Calibri Light"/>
          <w:noProof/>
          <w:sz w:val="16"/>
          <w:szCs w:val="24"/>
        </w:rPr>
        <w:t>, p. 29, 2017.</w:t>
      </w:r>
    </w:p>
    <w:p w14:paraId="11EFB42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[68]</w:t>
      </w:r>
      <w:r w:rsidRPr="00113825">
        <w:rPr>
          <w:rFonts w:ascii="Calibri Light" w:hAnsi="Calibri Light" w:cs="Calibri Light"/>
          <w:noProof/>
          <w:sz w:val="16"/>
          <w:szCs w:val="24"/>
        </w:rPr>
        <w:tab/>
        <w:t xml:space="preserve">F. Schmithusen and F. Hirsch, “Private forest ownership in Europe,” </w:t>
      </w:r>
      <w:r w:rsidRPr="00113825">
        <w:rPr>
          <w:rFonts w:ascii="Calibri Light" w:hAnsi="Calibri Light" w:cs="Calibri Light"/>
          <w:i/>
          <w:iCs/>
          <w:noProof/>
          <w:sz w:val="16"/>
          <w:szCs w:val="24"/>
        </w:rPr>
        <w:t>Geneva Timber For. Study Pap. 26, UNECE</w:t>
      </w:r>
      <w:r w:rsidRPr="00113825">
        <w:rPr>
          <w:rFonts w:ascii="Calibri Light" w:hAnsi="Calibri Light" w:cs="Calibri Light"/>
          <w:noProof/>
          <w:sz w:val="16"/>
          <w:szCs w:val="24"/>
        </w:rPr>
        <w:t>, pp. 1–120, 2010.</w:t>
      </w:r>
    </w:p>
    <w:p w14:paraId="33DEBF7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[69]</w:t>
      </w:r>
      <w:r w:rsidRPr="00113825">
        <w:rPr>
          <w:rFonts w:ascii="Calibri Light" w:hAnsi="Calibri Light" w:cs="Calibri Light"/>
          <w:noProof/>
          <w:sz w:val="16"/>
          <w:szCs w:val="24"/>
        </w:rPr>
        <w:tab/>
        <w:t xml:space="preserve">IGN, “Le mémento,” </w:t>
      </w:r>
      <w:r w:rsidRPr="00113825">
        <w:rPr>
          <w:rFonts w:ascii="Calibri Light" w:hAnsi="Calibri Light" w:cs="Calibri Light"/>
          <w:i/>
          <w:iCs/>
          <w:noProof/>
          <w:sz w:val="16"/>
          <w:szCs w:val="24"/>
        </w:rPr>
        <w:t>Inven. For. Natl.</w:t>
      </w:r>
      <w:r w:rsidRPr="00113825">
        <w:rPr>
          <w:rFonts w:ascii="Calibri Light" w:hAnsi="Calibri Light" w:cs="Calibri Light"/>
          <w:noProof/>
          <w:sz w:val="16"/>
          <w:szCs w:val="24"/>
        </w:rPr>
        <w:t>, p. 29, 2017.</w:t>
      </w:r>
    </w:p>
    <w:p w14:paraId="036411C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[70]</w:t>
      </w:r>
      <w:r w:rsidRPr="00113825">
        <w:rPr>
          <w:rFonts w:ascii="Calibri Light" w:hAnsi="Calibri Light" w:cs="Calibri Light"/>
          <w:noProof/>
          <w:sz w:val="16"/>
          <w:szCs w:val="24"/>
        </w:rPr>
        <w:tab/>
        <w:t>“Forests in France - GEVES.” [Online]. Available: https://www.geves.fr/variety-seed-expertise/forest/forestry-in-france/. [Accessed: 13-Dec-2019].</w:t>
      </w:r>
    </w:p>
    <w:p w14:paraId="310A8EBB"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[71]</w:t>
      </w:r>
      <w:r w:rsidRPr="00113825">
        <w:rPr>
          <w:rFonts w:ascii="Calibri Light" w:hAnsi="Calibri Light" w:cs="Calibri Light"/>
          <w:noProof/>
          <w:sz w:val="16"/>
          <w:szCs w:val="24"/>
        </w:rPr>
        <w:tab/>
        <w:t>“BD Forêt® | IGN - Professional Area.” [Online]. Available: http://professionnels.ign.fr/bdforet. [Accessed: 08-Oct-2019].</w:t>
      </w:r>
    </w:p>
    <w:p w14:paraId="7D125F7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[72]</w:t>
      </w:r>
      <w:r w:rsidRPr="00113825">
        <w:rPr>
          <w:rFonts w:ascii="Calibri Light" w:hAnsi="Calibri Light" w:cs="Calibri Light"/>
          <w:noProof/>
          <w:sz w:val="16"/>
          <w:szCs w:val="24"/>
        </w:rPr>
        <w:tab/>
        <w:t>“LES BASES VECTORIELLES.” pp. 1–52, 2018.</w:t>
      </w:r>
    </w:p>
    <w:p w14:paraId="44E46524"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[73]</w:t>
      </w:r>
      <w:r w:rsidRPr="00113825">
        <w:rPr>
          <w:rFonts w:ascii="Calibri Light" w:hAnsi="Calibri Light" w:cs="Calibri Light"/>
          <w:noProof/>
          <w:sz w:val="16"/>
          <w:szCs w:val="24"/>
        </w:rPr>
        <w:tab/>
        <w:t>“Ademe PTC.” [Online]. Available: https://www.territoires-climat.ademe.fr/actualite/loutil-aldo-pour-une-premiere-estimation-de-la-sequestration-carbone-dans-les-sols-et-la-biomasse. [Accessed: 11-Oct-2019].</w:t>
      </w:r>
    </w:p>
    <w:p w14:paraId="0908EFEC"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[74]</w:t>
      </w:r>
      <w:r w:rsidRPr="00113825">
        <w:rPr>
          <w:rFonts w:ascii="Calibri Light" w:hAnsi="Calibri Light" w:cs="Calibri Light"/>
          <w:noProof/>
          <w:sz w:val="16"/>
          <w:szCs w:val="24"/>
        </w:rPr>
        <w:tab/>
        <w:t>“GADM.” [Online]. Available: https://gadm.org/. [Accessed: 11-Oct-2019].</w:t>
      </w:r>
    </w:p>
    <w:p w14:paraId="36E8DC0B"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[75]</w:t>
      </w:r>
      <w:r w:rsidRPr="00113825">
        <w:rPr>
          <w:rFonts w:ascii="Calibri Light" w:hAnsi="Calibri Light" w:cs="Calibri Light"/>
          <w:noProof/>
          <w:sz w:val="16"/>
          <w:szCs w:val="24"/>
        </w:rPr>
        <w:tab/>
        <w:t>“Contours of EPCI 2015 - data.gouv.fr.” [Online]. Available: https://www.data.gouv.fr/fr/datasets/contours-des-epci-2015/. [Accessed: 11-Oct-2019].</w:t>
      </w:r>
    </w:p>
    <w:p w14:paraId="1E4E6B63"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[76]</w:t>
      </w:r>
      <w:r w:rsidRPr="00113825">
        <w:rPr>
          <w:rFonts w:ascii="Calibri Light" w:hAnsi="Calibri Light" w:cs="Calibri Light"/>
          <w:noProof/>
          <w:sz w:val="16"/>
          <w:szCs w:val="24"/>
        </w:rPr>
        <w:tab/>
        <w:t>“Public forests (public distribution) - data.gouv.fr.” [Online]. Available: https://www.data.gouv.fr/fr/datasets/forets-publiques-diffusion-publique/. [Accessed: 14-Oct-2019].</w:t>
      </w:r>
    </w:p>
    <w:p w14:paraId="417A833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[77]</w:t>
      </w:r>
      <w:r w:rsidRPr="00113825">
        <w:rPr>
          <w:rFonts w:ascii="Calibri Light" w:hAnsi="Calibri Light" w:cs="Calibri Light"/>
          <w:noProof/>
          <w:sz w:val="16"/>
          <w:szCs w:val="24"/>
        </w:rPr>
        <w:tab/>
        <w:t>A. Colin, M. Simon, E. Roos, and Y. Schwarz, “Contribution de l’IGN à l’établissement des bilans carbone des forêts des territoires (PCAET),” 2019.</w:t>
      </w:r>
    </w:p>
    <w:p w14:paraId="1407BA8E"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[78]</w:t>
      </w:r>
      <w:r w:rsidRPr="00113825">
        <w:rPr>
          <w:rFonts w:ascii="Calibri Light" w:hAnsi="Calibri Light" w:cs="Calibri Light"/>
          <w:noProof/>
          <w:sz w:val="16"/>
          <w:szCs w:val="24"/>
        </w:rPr>
        <w:tab/>
        <w:t>“Ademe PTC.” [Online]. Available: https://www.territoires-climat.ademe.fr/actualite/loutil-aldo-pour-une-premiere-estimation-de-la-sequestration-carbone-dans-les-sols-et-la-biomasse. [Accessed: 13-Dec-2019].</w:t>
      </w:r>
    </w:p>
    <w:p w14:paraId="078CA59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[79]</w:t>
      </w:r>
      <w:r w:rsidRPr="00113825">
        <w:rPr>
          <w:rFonts w:ascii="Calibri Light" w:hAnsi="Calibri Light" w:cs="Calibri Light"/>
          <w:noProof/>
          <w:sz w:val="16"/>
          <w:szCs w:val="24"/>
        </w:rPr>
        <w:tab/>
        <w:t>“Data classification methods—ArcGIS Pro | Documentation.” [Online]. Available: https://pro.arcgis.com/en/pro-app/help/mapping/layer-properties/data-classification-methods.htm. [Accessed: 10-Dec-2019].</w:t>
      </w:r>
    </w:p>
    <w:p w14:paraId="39B86632"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[80]</w:t>
      </w:r>
      <w:r w:rsidRPr="00113825">
        <w:rPr>
          <w:rFonts w:ascii="Calibri Light" w:hAnsi="Calibri Light" w:cs="Calibri Light"/>
          <w:noProof/>
          <w:sz w:val="16"/>
          <w:szCs w:val="24"/>
        </w:rPr>
        <w:tab/>
        <w:t xml:space="preserve">M. C. Hansen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“High-Resolution Global Maps of 21st-Century Forest Cover Change,” </w:t>
      </w:r>
      <w:r w:rsidRPr="00113825">
        <w:rPr>
          <w:rFonts w:ascii="Calibri Light" w:hAnsi="Calibri Light" w:cs="Calibri Light"/>
          <w:i/>
          <w:iCs/>
          <w:noProof/>
          <w:sz w:val="16"/>
          <w:szCs w:val="24"/>
        </w:rPr>
        <w:t>Science (80-. ).</w:t>
      </w:r>
      <w:r w:rsidRPr="00113825">
        <w:rPr>
          <w:rFonts w:ascii="Calibri Light" w:hAnsi="Calibri Light" w:cs="Calibri Light"/>
          <w:noProof/>
          <w:sz w:val="16"/>
          <w:szCs w:val="24"/>
        </w:rPr>
        <w:t>, vol. 342, no. 6160, pp. 850 LP – 853, Nov. 2013.</w:t>
      </w:r>
    </w:p>
    <w:p w14:paraId="723560AE"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[81]</w:t>
      </w:r>
      <w:r w:rsidRPr="00113825">
        <w:rPr>
          <w:rFonts w:ascii="Calibri Light" w:hAnsi="Calibri Light" w:cs="Calibri Light"/>
          <w:noProof/>
          <w:sz w:val="16"/>
          <w:szCs w:val="24"/>
        </w:rPr>
        <w:tab/>
        <w:t xml:space="preserve">J. Inglada, A. Vincent, M. Arias, B. Tardy, D. Morin, and I. Rodes, “Operational High Resolution Land Cover Map Production at the Country Scale Using Satellite Image Time Series,” </w:t>
      </w:r>
      <w:r w:rsidRPr="00113825">
        <w:rPr>
          <w:rFonts w:ascii="Calibri Light" w:hAnsi="Calibri Light" w:cs="Calibri Light"/>
          <w:i/>
          <w:iCs/>
          <w:noProof/>
          <w:sz w:val="16"/>
          <w:szCs w:val="24"/>
        </w:rPr>
        <w:t>Remote Sens.</w:t>
      </w:r>
      <w:r w:rsidRPr="00113825">
        <w:rPr>
          <w:rFonts w:ascii="Calibri Light" w:hAnsi="Calibri Light" w:cs="Calibri Light"/>
          <w:noProof/>
          <w:sz w:val="16"/>
          <w:szCs w:val="24"/>
        </w:rPr>
        <w:t>, vol. 9, no. 1, p. 95, 2017.</w:t>
      </w:r>
    </w:p>
    <w:p w14:paraId="04CAEF39"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[82]</w:t>
      </w:r>
      <w:r w:rsidRPr="00113825">
        <w:rPr>
          <w:rFonts w:ascii="Calibri Light" w:hAnsi="Calibri Light" w:cs="Calibri Light"/>
          <w:noProof/>
          <w:sz w:val="16"/>
          <w:szCs w:val="24"/>
        </w:rPr>
        <w:tab/>
        <w:t>“Satellite Data: What Spatial Resolution Is Enough for You?” [Online]. Available: https://eos.com/blog/satellite-data-what-spatial-resolution-is-enough-for-you/. [Accessed: 10-Oct-2019].</w:t>
      </w:r>
    </w:p>
    <w:p w14:paraId="7848027E"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[83]</w:t>
      </w:r>
      <w:r w:rsidRPr="00113825">
        <w:rPr>
          <w:rFonts w:ascii="Calibri Light" w:hAnsi="Calibri Light" w:cs="Calibri Light"/>
          <w:noProof/>
          <w:sz w:val="16"/>
          <w:szCs w:val="24"/>
        </w:rPr>
        <w:tab/>
        <w:t xml:space="preserve">N. Martinkus, G. Latta, T. Morgan, and M. Wolcott, “A comparison of methodologies for estimating delivered forest residue volume and cost to a wood-based biorefinery,” </w:t>
      </w:r>
      <w:r w:rsidRPr="00113825">
        <w:rPr>
          <w:rFonts w:ascii="Calibri Light" w:hAnsi="Calibri Light" w:cs="Calibri Light"/>
          <w:i/>
          <w:iCs/>
          <w:noProof/>
          <w:sz w:val="16"/>
          <w:szCs w:val="24"/>
        </w:rPr>
        <w:t>Biomass and Bioenergy</w:t>
      </w:r>
      <w:r w:rsidRPr="00113825">
        <w:rPr>
          <w:rFonts w:ascii="Calibri Light" w:hAnsi="Calibri Light" w:cs="Calibri Light"/>
          <w:noProof/>
          <w:sz w:val="16"/>
          <w:szCs w:val="24"/>
        </w:rPr>
        <w:t>, vol. 106, pp. 83–94, 2017.</w:t>
      </w:r>
    </w:p>
    <w:p w14:paraId="7D94A31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[84]</w:t>
      </w:r>
      <w:r w:rsidRPr="00113825">
        <w:rPr>
          <w:rFonts w:ascii="Calibri Light" w:hAnsi="Calibri Light" w:cs="Calibri Light"/>
          <w:noProof/>
          <w:sz w:val="16"/>
          <w:szCs w:val="24"/>
        </w:rPr>
        <w:tab/>
        <w:t>P. Brassard, S. Godbout, and L. Hamelin, “Framework for the consequential life cycle assessment of pyrolysis biorefineries: A case study for the conversion of primary forestry residues.”</w:t>
      </w:r>
    </w:p>
    <w:p w14:paraId="4A41AB5B"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[85]</w:t>
      </w:r>
      <w:r w:rsidRPr="00113825">
        <w:rPr>
          <w:rFonts w:ascii="Calibri Light" w:hAnsi="Calibri Light" w:cs="Calibri Light"/>
          <w:noProof/>
          <w:sz w:val="16"/>
          <w:szCs w:val="24"/>
        </w:rPr>
        <w:tab/>
        <w:t xml:space="preserve">A. Colin and A. Thivolle, “Disponibilites Forestieres Pour l’Energie Et Les Materiaux à l’Horizon 2035,” </w:t>
      </w:r>
      <w:r w:rsidRPr="00113825">
        <w:rPr>
          <w:rFonts w:ascii="Calibri Light" w:hAnsi="Calibri Light" w:cs="Calibri Light"/>
          <w:i/>
          <w:iCs/>
          <w:noProof/>
          <w:sz w:val="16"/>
          <w:szCs w:val="24"/>
        </w:rPr>
        <w:t>Ademe</w:t>
      </w:r>
      <w:r w:rsidRPr="00113825">
        <w:rPr>
          <w:rFonts w:ascii="Calibri Light" w:hAnsi="Calibri Light" w:cs="Calibri Light"/>
          <w:noProof/>
          <w:sz w:val="16"/>
          <w:szCs w:val="24"/>
        </w:rPr>
        <w:t>, pp. 1–91, 2016.</w:t>
      </w:r>
    </w:p>
    <w:p w14:paraId="5457A197"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[86]</w:t>
      </w:r>
      <w:r w:rsidRPr="00113825">
        <w:rPr>
          <w:rFonts w:ascii="Calibri Light" w:hAnsi="Calibri Light" w:cs="Calibri Light"/>
          <w:noProof/>
          <w:sz w:val="16"/>
          <w:szCs w:val="24"/>
        </w:rPr>
        <w:tab/>
        <w:t>“Data tables – Data &amp; Statistics - IEA.” [Online]. Available: https://www.iea.org/data-and-statistics/data-tables?country=FRANCE&amp;energy=Balances&amp;year=2017. [Accessed: 17-Dec-2019].</w:t>
      </w:r>
    </w:p>
    <w:p w14:paraId="40DF0E6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[87]</w:t>
      </w:r>
      <w:r w:rsidRPr="00113825">
        <w:rPr>
          <w:rFonts w:ascii="Calibri Light" w:hAnsi="Calibri Light" w:cs="Calibri Light"/>
          <w:noProof/>
          <w:sz w:val="16"/>
          <w:szCs w:val="24"/>
        </w:rPr>
        <w:tab/>
        <w:t>A. Colin, M. Simon, E. Roos, and Y. Schwarz, “Contribution de l’IGN à l’établissement des bilans carbone des forêts des territoires (PCAET),” 2019.</w:t>
      </w:r>
    </w:p>
    <w:p w14:paraId="48383226"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t>[88]</w:t>
      </w:r>
      <w:r w:rsidRPr="00113825">
        <w:rPr>
          <w:rFonts w:ascii="Calibri Light" w:hAnsi="Calibri Light" w:cs="Calibri Light"/>
          <w:noProof/>
          <w:sz w:val="16"/>
          <w:szCs w:val="24"/>
        </w:rPr>
        <w:tab/>
        <w:t>“Large ecological regions (GRECO) | geo.data.gouv.fr.” [Online]. Available: https://geo.data.gouv.fr/fr/datasets/6c8a6dc109c93f05365752e494ba4643dce882fa. [Accessed: 20-Dec-2019].</w:t>
      </w:r>
    </w:p>
    <w:p w14:paraId="2EE8C681"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szCs w:val="24"/>
        </w:rPr>
      </w:pPr>
      <w:r w:rsidRPr="00113825">
        <w:rPr>
          <w:rFonts w:ascii="Calibri Light" w:hAnsi="Calibri Light" w:cs="Calibri Light"/>
          <w:noProof/>
          <w:sz w:val="16"/>
          <w:szCs w:val="24"/>
        </w:rPr>
        <w:lastRenderedPageBreak/>
        <w:t>[89]</w:t>
      </w:r>
      <w:r w:rsidRPr="00113825">
        <w:rPr>
          <w:rFonts w:ascii="Calibri Light" w:hAnsi="Calibri Light" w:cs="Calibri Light"/>
          <w:noProof/>
          <w:sz w:val="16"/>
          <w:szCs w:val="24"/>
        </w:rPr>
        <w:tab/>
        <w:t xml:space="preserve">K. Blennow, E. Persson, M. Lindner, S. P. Faias, and M. Hanewinkel, “Forest owner motivations and attitudes towards supplying biomass for energy in Europe,” </w:t>
      </w:r>
      <w:r w:rsidRPr="00113825">
        <w:rPr>
          <w:rFonts w:ascii="Calibri Light" w:hAnsi="Calibri Light" w:cs="Calibri Light"/>
          <w:i/>
          <w:iCs/>
          <w:noProof/>
          <w:sz w:val="16"/>
          <w:szCs w:val="24"/>
        </w:rPr>
        <w:t>Biomass and Bioenergy</w:t>
      </w:r>
      <w:r w:rsidRPr="00113825">
        <w:rPr>
          <w:rFonts w:ascii="Calibri Light" w:hAnsi="Calibri Light" w:cs="Calibri Light"/>
          <w:noProof/>
          <w:sz w:val="16"/>
          <w:szCs w:val="24"/>
        </w:rPr>
        <w:t>, vol. 67, pp. 223–230, 2014.</w:t>
      </w:r>
    </w:p>
    <w:p w14:paraId="33140F84" w14:textId="77777777" w:rsidR="0089363E" w:rsidRPr="00113825" w:rsidRDefault="0089363E" w:rsidP="0089363E">
      <w:pPr>
        <w:widowControl w:val="0"/>
        <w:autoSpaceDE w:val="0"/>
        <w:autoSpaceDN w:val="0"/>
        <w:adjustRightInd w:val="0"/>
        <w:spacing w:after="0" w:line="240" w:lineRule="auto"/>
        <w:ind w:left="640" w:hanging="640"/>
        <w:rPr>
          <w:rFonts w:ascii="Calibri Light" w:hAnsi="Calibri Light" w:cs="Calibri Light"/>
          <w:noProof/>
          <w:sz w:val="16"/>
        </w:rPr>
      </w:pPr>
      <w:r w:rsidRPr="00113825">
        <w:rPr>
          <w:rFonts w:ascii="Calibri Light" w:hAnsi="Calibri Light" w:cs="Calibri Light"/>
          <w:noProof/>
          <w:sz w:val="16"/>
          <w:szCs w:val="24"/>
        </w:rPr>
        <w:t>[90]</w:t>
      </w:r>
      <w:r w:rsidRPr="00113825">
        <w:rPr>
          <w:rFonts w:ascii="Calibri Light" w:hAnsi="Calibri Light" w:cs="Calibri Light"/>
          <w:noProof/>
          <w:sz w:val="16"/>
          <w:szCs w:val="24"/>
        </w:rPr>
        <w:tab/>
        <w:t xml:space="preserve">P. Stjepan </w:t>
      </w:r>
      <w:r w:rsidRPr="00113825">
        <w:rPr>
          <w:rFonts w:ascii="Calibri Light" w:hAnsi="Calibri Light" w:cs="Calibri Light"/>
          <w:i/>
          <w:iCs/>
          <w:noProof/>
          <w:sz w:val="16"/>
          <w:szCs w:val="24"/>
        </w:rPr>
        <w:t>et al.</w:t>
      </w:r>
      <w:r w:rsidRPr="00113825">
        <w:rPr>
          <w:rFonts w:ascii="Calibri Light" w:hAnsi="Calibri Light" w:cs="Calibri Light"/>
          <w:noProof/>
          <w:sz w:val="16"/>
          <w:szCs w:val="24"/>
        </w:rPr>
        <w:t xml:space="preserve">, “Private forest owners’ willingness to supply woody biomass in selected South-Eastern European countries,” </w:t>
      </w:r>
      <w:r w:rsidRPr="00113825">
        <w:rPr>
          <w:rFonts w:ascii="Calibri Light" w:hAnsi="Calibri Light" w:cs="Calibri Light"/>
          <w:i/>
          <w:iCs/>
          <w:noProof/>
          <w:sz w:val="16"/>
          <w:szCs w:val="24"/>
        </w:rPr>
        <w:t>Biomass and Bioenergy</w:t>
      </w:r>
      <w:r w:rsidRPr="00113825">
        <w:rPr>
          <w:rFonts w:ascii="Calibri Light" w:hAnsi="Calibri Light" w:cs="Calibri Light"/>
          <w:noProof/>
          <w:sz w:val="16"/>
          <w:szCs w:val="24"/>
        </w:rPr>
        <w:t>, vol. 81, no. 2015, pp. 144–153, 2015.</w:t>
      </w:r>
    </w:p>
    <w:p w14:paraId="4C1C3FE8" w14:textId="562CF7F7" w:rsidR="0012482E" w:rsidRPr="00113825" w:rsidRDefault="00781481" w:rsidP="00C02BA0">
      <w:pPr>
        <w:widowControl w:val="0"/>
        <w:autoSpaceDE w:val="0"/>
        <w:autoSpaceDN w:val="0"/>
        <w:adjustRightInd w:val="0"/>
        <w:spacing w:after="0" w:line="240" w:lineRule="auto"/>
        <w:ind w:left="640" w:hanging="640"/>
        <w:rPr>
          <w:rFonts w:cstheme="majorHAnsi"/>
          <w:b/>
          <w:sz w:val="16"/>
          <w:szCs w:val="16"/>
        </w:rPr>
      </w:pPr>
      <w:r w:rsidRPr="00113825">
        <w:rPr>
          <w:rFonts w:cstheme="majorHAnsi"/>
          <w:b/>
          <w:sz w:val="16"/>
          <w:szCs w:val="16"/>
        </w:rPr>
        <w:fldChar w:fldCharType="end"/>
      </w:r>
    </w:p>
    <w:sectPr w:rsidR="0012482E" w:rsidRPr="00113825" w:rsidSect="00DE6E0A">
      <w:pgSz w:w="11906" w:h="16838" w:code="9"/>
      <w:pgMar w:top="994" w:right="1411" w:bottom="994" w:left="1411" w:header="720" w:footer="59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F3E61" w16cid:durableId="214DE4FC"/>
  <w16cid:commentId w16cid:paraId="29D48620" w16cid:durableId="214DE4FD"/>
  <w16cid:commentId w16cid:paraId="2FCF47D9" w16cid:durableId="214DE4FE"/>
  <w16cid:commentId w16cid:paraId="26ABA4DE" w16cid:durableId="214DE4FF"/>
  <w16cid:commentId w16cid:paraId="0391D50D" w16cid:durableId="214DE500"/>
  <w16cid:commentId w16cid:paraId="77239FCA" w16cid:durableId="214DE501"/>
  <w16cid:commentId w16cid:paraId="0D137BAF" w16cid:durableId="214DE502"/>
  <w16cid:commentId w16cid:paraId="02BCA090" w16cid:durableId="214DE503"/>
  <w16cid:commentId w16cid:paraId="78312FB9" w16cid:durableId="214DE504"/>
  <w16cid:commentId w16cid:paraId="00D043FC" w16cid:durableId="214DE505"/>
  <w16cid:commentId w16cid:paraId="0030AB05" w16cid:durableId="214DE506"/>
  <w16cid:commentId w16cid:paraId="37453086" w16cid:durableId="214DE507"/>
  <w16cid:commentId w16cid:paraId="5777CC51" w16cid:durableId="214DE508"/>
  <w16cid:commentId w16cid:paraId="0C4CDF78" w16cid:durableId="214DE509"/>
  <w16cid:commentId w16cid:paraId="11BAF826" w16cid:durableId="214DE50A"/>
  <w16cid:commentId w16cid:paraId="7F900EBB" w16cid:durableId="214DE50B"/>
  <w16cid:commentId w16cid:paraId="40EDA694" w16cid:durableId="214DE50C"/>
  <w16cid:commentId w16cid:paraId="6C7B1DFA" w16cid:durableId="214DE50D"/>
  <w16cid:commentId w16cid:paraId="7471EF19" w16cid:durableId="214DE50E"/>
  <w16cid:commentId w16cid:paraId="2188C3A7" w16cid:durableId="214DE50F"/>
  <w16cid:commentId w16cid:paraId="5FCE4FA8" w16cid:durableId="214DE510"/>
  <w16cid:commentId w16cid:paraId="642733B1" w16cid:durableId="214DE511"/>
  <w16cid:commentId w16cid:paraId="5723CBE3" w16cid:durableId="214DE512"/>
  <w16cid:commentId w16cid:paraId="4501F526" w16cid:durableId="214DE513"/>
  <w16cid:commentId w16cid:paraId="1214B743" w16cid:durableId="214DE514"/>
  <w16cid:commentId w16cid:paraId="6348B325" w16cid:durableId="214DE515"/>
  <w16cid:commentId w16cid:paraId="725AA7FA" w16cid:durableId="214DE516"/>
  <w16cid:commentId w16cid:paraId="2E374C31" w16cid:durableId="214DE517"/>
  <w16cid:commentId w16cid:paraId="6B0D318E" w16cid:durableId="214DE518"/>
  <w16cid:commentId w16cid:paraId="5B3A2FF7" w16cid:durableId="214DE519"/>
  <w16cid:commentId w16cid:paraId="038B66DD" w16cid:durableId="214DE51A"/>
  <w16cid:commentId w16cid:paraId="5AC3218E" w16cid:durableId="214DE51B"/>
  <w16cid:commentId w16cid:paraId="71F7EBF8" w16cid:durableId="214DE51C"/>
  <w16cid:commentId w16cid:paraId="61659BF7" w16cid:durableId="214DE51D"/>
  <w16cid:commentId w16cid:paraId="7EB694BA" w16cid:durableId="214DE51E"/>
  <w16cid:commentId w16cid:paraId="601C9A8F" w16cid:durableId="214DE51F"/>
  <w16cid:commentId w16cid:paraId="1DBAB4DF" w16cid:durableId="214DE520"/>
  <w16cid:commentId w16cid:paraId="061AC899" w16cid:durableId="214DE521"/>
  <w16cid:commentId w16cid:paraId="71F36A09" w16cid:durableId="214DE522"/>
  <w16cid:commentId w16cid:paraId="37377324" w16cid:durableId="214DE523"/>
  <w16cid:commentId w16cid:paraId="266B0608" w16cid:durableId="214DE524"/>
  <w16cid:commentId w16cid:paraId="42A79F86" w16cid:durableId="214DE525"/>
  <w16cid:commentId w16cid:paraId="4790F54B" w16cid:durableId="214DE526"/>
  <w16cid:commentId w16cid:paraId="5A9D1430" w16cid:durableId="214DE527"/>
  <w16cid:commentId w16cid:paraId="3F4E6D16" w16cid:durableId="214DE528"/>
  <w16cid:commentId w16cid:paraId="72D71EB3" w16cid:durableId="214DE529"/>
  <w16cid:commentId w16cid:paraId="4C3217CA" w16cid:durableId="214DE52A"/>
  <w16cid:commentId w16cid:paraId="582987C4" w16cid:durableId="214DE52B"/>
  <w16cid:commentId w16cid:paraId="282A758A" w16cid:durableId="214DE52C"/>
  <w16cid:commentId w16cid:paraId="534B5D50" w16cid:durableId="214DE52D"/>
  <w16cid:commentId w16cid:paraId="2C6E1992" w16cid:durableId="214DE52E"/>
  <w16cid:commentId w16cid:paraId="2E729C7D" w16cid:durableId="214DE52F"/>
  <w16cid:commentId w16cid:paraId="0141D1B0" w16cid:durableId="214DE530"/>
  <w16cid:commentId w16cid:paraId="2C523D9D" w16cid:durableId="214DE531"/>
  <w16cid:commentId w16cid:paraId="1DE537C3" w16cid:durableId="214DE532"/>
  <w16cid:commentId w16cid:paraId="38EB229F" w16cid:durableId="214DE533"/>
  <w16cid:commentId w16cid:paraId="545A9678" w16cid:durableId="214DE534"/>
  <w16cid:commentId w16cid:paraId="7D79871E" w16cid:durableId="214DE535"/>
  <w16cid:commentId w16cid:paraId="201C9B88" w16cid:durableId="214DE536"/>
  <w16cid:commentId w16cid:paraId="7D538322" w16cid:durableId="214DE537"/>
  <w16cid:commentId w16cid:paraId="654529C6" w16cid:durableId="214DE538"/>
  <w16cid:commentId w16cid:paraId="3E172D7D" w16cid:durableId="214DE539"/>
  <w16cid:commentId w16cid:paraId="59E08727" w16cid:durableId="214DE53A"/>
  <w16cid:commentId w16cid:paraId="25BC6C18" w16cid:durableId="214DE53B"/>
  <w16cid:commentId w16cid:paraId="064484CE" w16cid:durableId="214DE53C"/>
  <w16cid:commentId w16cid:paraId="207279A9" w16cid:durableId="214DE53D"/>
  <w16cid:commentId w16cid:paraId="39CBC249" w16cid:durableId="214DE53E"/>
  <w16cid:commentId w16cid:paraId="4DF2A7FD" w16cid:durableId="214DE53F"/>
  <w16cid:commentId w16cid:paraId="42A1E909" w16cid:durableId="214DE540"/>
  <w16cid:commentId w16cid:paraId="04176BC4" w16cid:durableId="214DE541"/>
  <w16cid:commentId w16cid:paraId="11415895" w16cid:durableId="214DE542"/>
  <w16cid:commentId w16cid:paraId="12F8429E" w16cid:durableId="214DE543"/>
  <w16cid:commentId w16cid:paraId="4BC7F729" w16cid:durableId="214DE544"/>
  <w16cid:commentId w16cid:paraId="23A71CE7" w16cid:durableId="214DE5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E8AB1" w14:textId="77777777" w:rsidR="009F7B24" w:rsidRDefault="009F7B24" w:rsidP="00864B56">
      <w:pPr>
        <w:spacing w:after="0" w:line="240" w:lineRule="auto"/>
      </w:pPr>
      <w:r>
        <w:separator/>
      </w:r>
    </w:p>
  </w:endnote>
  <w:endnote w:type="continuationSeparator" w:id="0">
    <w:p w14:paraId="622E8DC6" w14:textId="77777777" w:rsidR="009F7B24" w:rsidRDefault="009F7B24" w:rsidP="0086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220301"/>
      <w:docPartObj>
        <w:docPartGallery w:val="Page Numbers (Bottom of Page)"/>
        <w:docPartUnique/>
      </w:docPartObj>
    </w:sdtPr>
    <w:sdtEndPr>
      <w:rPr>
        <w:noProof/>
      </w:rPr>
    </w:sdtEndPr>
    <w:sdtContent>
      <w:p w14:paraId="16F7F2C2" w14:textId="52E60FAE" w:rsidR="0089363E" w:rsidRDefault="0089363E">
        <w:pPr>
          <w:pStyle w:val="Footer"/>
          <w:jc w:val="right"/>
        </w:pPr>
        <w:r>
          <w:fldChar w:fldCharType="begin"/>
        </w:r>
        <w:r>
          <w:instrText xml:space="preserve"> PAGE   \* MERGEFORMAT </w:instrText>
        </w:r>
        <w:r>
          <w:fldChar w:fldCharType="separate"/>
        </w:r>
        <w:r w:rsidR="00FC24D0">
          <w:rPr>
            <w:noProof/>
          </w:rPr>
          <w:t>3</w:t>
        </w:r>
        <w:r>
          <w:rPr>
            <w:noProof/>
          </w:rPr>
          <w:fldChar w:fldCharType="end"/>
        </w:r>
      </w:p>
    </w:sdtContent>
  </w:sdt>
  <w:p w14:paraId="4128BF8A" w14:textId="77777777" w:rsidR="0089363E" w:rsidRDefault="00893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DFFE5" w14:textId="77777777" w:rsidR="009F7B24" w:rsidRDefault="009F7B24" w:rsidP="00864B56">
      <w:pPr>
        <w:spacing w:after="0" w:line="240" w:lineRule="auto"/>
      </w:pPr>
      <w:r>
        <w:separator/>
      </w:r>
    </w:p>
  </w:footnote>
  <w:footnote w:type="continuationSeparator" w:id="0">
    <w:p w14:paraId="6C841E20" w14:textId="77777777" w:rsidR="009F7B24" w:rsidRDefault="009F7B24" w:rsidP="0086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40BE2" w14:textId="77777777" w:rsidR="0089363E" w:rsidRDefault="00893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50D51"/>
    <w:multiLevelType w:val="hybridMultilevel"/>
    <w:tmpl w:val="14CE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823D1"/>
    <w:multiLevelType w:val="hybridMultilevel"/>
    <w:tmpl w:val="6EEC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D0FD9"/>
    <w:multiLevelType w:val="hybridMultilevel"/>
    <w:tmpl w:val="CC7C6C3E"/>
    <w:lvl w:ilvl="0" w:tplc="FAB6BA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55E3E"/>
    <w:multiLevelType w:val="hybridMultilevel"/>
    <w:tmpl w:val="9700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F4B4B"/>
    <w:multiLevelType w:val="hybridMultilevel"/>
    <w:tmpl w:val="EE4C7D2E"/>
    <w:lvl w:ilvl="0" w:tplc="FAB6BA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B3747"/>
    <w:multiLevelType w:val="hybridMultilevel"/>
    <w:tmpl w:val="5EAEBA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404F8C"/>
    <w:multiLevelType w:val="hybridMultilevel"/>
    <w:tmpl w:val="10085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46842"/>
    <w:multiLevelType w:val="hybridMultilevel"/>
    <w:tmpl w:val="E9DA1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B625F"/>
    <w:multiLevelType w:val="hybridMultilevel"/>
    <w:tmpl w:val="3FC8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73D84"/>
    <w:multiLevelType w:val="hybridMultilevel"/>
    <w:tmpl w:val="B09E0926"/>
    <w:lvl w:ilvl="0" w:tplc="6FF0AC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85F62"/>
    <w:multiLevelType w:val="hybridMultilevel"/>
    <w:tmpl w:val="1CCCF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C76A70"/>
    <w:multiLevelType w:val="hybridMultilevel"/>
    <w:tmpl w:val="B1A24370"/>
    <w:lvl w:ilvl="0" w:tplc="9ED6205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C7D18"/>
    <w:multiLevelType w:val="hybridMultilevel"/>
    <w:tmpl w:val="9D569DD2"/>
    <w:lvl w:ilvl="0" w:tplc="0409000F">
      <w:start w:val="1"/>
      <w:numFmt w:val="decimal"/>
      <w:lvlText w:val="%1."/>
      <w:lvlJc w:val="left"/>
      <w:pPr>
        <w:ind w:left="50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0"/>
  </w:num>
  <w:num w:numId="5">
    <w:abstractNumId w:val="9"/>
  </w:num>
  <w:num w:numId="6">
    <w:abstractNumId w:val="11"/>
  </w:num>
  <w:num w:numId="7">
    <w:abstractNumId w:val="2"/>
  </w:num>
  <w:num w:numId="8">
    <w:abstractNumId w:val="4"/>
  </w:num>
  <w:num w:numId="9">
    <w:abstractNumId w:val="1"/>
  </w:num>
  <w:num w:numId="10">
    <w:abstractNumId w:val="3"/>
  </w:num>
  <w:num w:numId="11">
    <w:abstractNumId w:val="5"/>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2MTA0MrUwMDM3MLdU0lEKTi0uzszPAykwNDCsBQCqpAvXLgAAAA=="/>
  </w:docVars>
  <w:rsids>
    <w:rsidRoot w:val="00BE7D58"/>
    <w:rsid w:val="00000818"/>
    <w:rsid w:val="00000D8B"/>
    <w:rsid w:val="00005E8C"/>
    <w:rsid w:val="000075F4"/>
    <w:rsid w:val="000107BE"/>
    <w:rsid w:val="00010863"/>
    <w:rsid w:val="00011A93"/>
    <w:rsid w:val="00012671"/>
    <w:rsid w:val="00014ADC"/>
    <w:rsid w:val="0001562B"/>
    <w:rsid w:val="00017760"/>
    <w:rsid w:val="00017B1E"/>
    <w:rsid w:val="00017FFD"/>
    <w:rsid w:val="00023F97"/>
    <w:rsid w:val="0002544E"/>
    <w:rsid w:val="00025B55"/>
    <w:rsid w:val="00025EA7"/>
    <w:rsid w:val="000267E5"/>
    <w:rsid w:val="00027114"/>
    <w:rsid w:val="0003154C"/>
    <w:rsid w:val="000322C3"/>
    <w:rsid w:val="00032C5B"/>
    <w:rsid w:val="00036CF4"/>
    <w:rsid w:val="00037A5C"/>
    <w:rsid w:val="000419AE"/>
    <w:rsid w:val="00043232"/>
    <w:rsid w:val="00044A6A"/>
    <w:rsid w:val="000455C4"/>
    <w:rsid w:val="00046F67"/>
    <w:rsid w:val="00047132"/>
    <w:rsid w:val="00047314"/>
    <w:rsid w:val="00047703"/>
    <w:rsid w:val="000510CF"/>
    <w:rsid w:val="00053918"/>
    <w:rsid w:val="00054F27"/>
    <w:rsid w:val="00055365"/>
    <w:rsid w:val="00060B0C"/>
    <w:rsid w:val="00060EE5"/>
    <w:rsid w:val="00061F2B"/>
    <w:rsid w:val="00062C20"/>
    <w:rsid w:val="000721A8"/>
    <w:rsid w:val="00072C3D"/>
    <w:rsid w:val="00073402"/>
    <w:rsid w:val="00073ED1"/>
    <w:rsid w:val="000747BC"/>
    <w:rsid w:val="00074830"/>
    <w:rsid w:val="00075A50"/>
    <w:rsid w:val="00076252"/>
    <w:rsid w:val="0008046E"/>
    <w:rsid w:val="00080A89"/>
    <w:rsid w:val="00081016"/>
    <w:rsid w:val="00081B96"/>
    <w:rsid w:val="00082E5E"/>
    <w:rsid w:val="00083B7A"/>
    <w:rsid w:val="00085BFA"/>
    <w:rsid w:val="00086665"/>
    <w:rsid w:val="000949C5"/>
    <w:rsid w:val="00094B93"/>
    <w:rsid w:val="00094C68"/>
    <w:rsid w:val="000A09A3"/>
    <w:rsid w:val="000A0AF6"/>
    <w:rsid w:val="000A3C86"/>
    <w:rsid w:val="000A47E3"/>
    <w:rsid w:val="000A701B"/>
    <w:rsid w:val="000A7436"/>
    <w:rsid w:val="000A7A8A"/>
    <w:rsid w:val="000B15D7"/>
    <w:rsid w:val="000B2605"/>
    <w:rsid w:val="000B2D8A"/>
    <w:rsid w:val="000B4CE3"/>
    <w:rsid w:val="000B540D"/>
    <w:rsid w:val="000B57F8"/>
    <w:rsid w:val="000B5F26"/>
    <w:rsid w:val="000B62F3"/>
    <w:rsid w:val="000B6B74"/>
    <w:rsid w:val="000C03F0"/>
    <w:rsid w:val="000C08D5"/>
    <w:rsid w:val="000C39D5"/>
    <w:rsid w:val="000C4808"/>
    <w:rsid w:val="000C5501"/>
    <w:rsid w:val="000C6F75"/>
    <w:rsid w:val="000C7A10"/>
    <w:rsid w:val="000D01F5"/>
    <w:rsid w:val="000D2ABE"/>
    <w:rsid w:val="000D3599"/>
    <w:rsid w:val="000D3987"/>
    <w:rsid w:val="000D515B"/>
    <w:rsid w:val="000D5DA3"/>
    <w:rsid w:val="000D6247"/>
    <w:rsid w:val="000D67CE"/>
    <w:rsid w:val="000D6906"/>
    <w:rsid w:val="000E028A"/>
    <w:rsid w:val="000E6324"/>
    <w:rsid w:val="000E7C6E"/>
    <w:rsid w:val="000F0EDA"/>
    <w:rsid w:val="000F1FBF"/>
    <w:rsid w:val="000F2727"/>
    <w:rsid w:val="000F2F4F"/>
    <w:rsid w:val="000F47C7"/>
    <w:rsid w:val="000F794D"/>
    <w:rsid w:val="00101E19"/>
    <w:rsid w:val="00102264"/>
    <w:rsid w:val="00103D51"/>
    <w:rsid w:val="00103F8D"/>
    <w:rsid w:val="001059AB"/>
    <w:rsid w:val="00107E1D"/>
    <w:rsid w:val="00110C5E"/>
    <w:rsid w:val="001119C1"/>
    <w:rsid w:val="00113825"/>
    <w:rsid w:val="001148D8"/>
    <w:rsid w:val="00114BF0"/>
    <w:rsid w:val="00121C67"/>
    <w:rsid w:val="0012482E"/>
    <w:rsid w:val="00125026"/>
    <w:rsid w:val="00125948"/>
    <w:rsid w:val="0013227A"/>
    <w:rsid w:val="00132F84"/>
    <w:rsid w:val="0013424E"/>
    <w:rsid w:val="0013452D"/>
    <w:rsid w:val="00141B50"/>
    <w:rsid w:val="00144585"/>
    <w:rsid w:val="00145B34"/>
    <w:rsid w:val="0014644C"/>
    <w:rsid w:val="00146B32"/>
    <w:rsid w:val="00147968"/>
    <w:rsid w:val="00147E8E"/>
    <w:rsid w:val="00150DA3"/>
    <w:rsid w:val="00151A9D"/>
    <w:rsid w:val="0015293D"/>
    <w:rsid w:val="00153F16"/>
    <w:rsid w:val="001550CE"/>
    <w:rsid w:val="001552BA"/>
    <w:rsid w:val="00156DFF"/>
    <w:rsid w:val="001600B3"/>
    <w:rsid w:val="00160371"/>
    <w:rsid w:val="001609B9"/>
    <w:rsid w:val="00161711"/>
    <w:rsid w:val="0016264D"/>
    <w:rsid w:val="001631CF"/>
    <w:rsid w:val="001646BE"/>
    <w:rsid w:val="001649CD"/>
    <w:rsid w:val="001665E4"/>
    <w:rsid w:val="00166F79"/>
    <w:rsid w:val="00171F64"/>
    <w:rsid w:val="00172357"/>
    <w:rsid w:val="00172F43"/>
    <w:rsid w:val="00173F67"/>
    <w:rsid w:val="00174DEC"/>
    <w:rsid w:val="001773CA"/>
    <w:rsid w:val="001779CE"/>
    <w:rsid w:val="00177DA7"/>
    <w:rsid w:val="00181D39"/>
    <w:rsid w:val="0018376A"/>
    <w:rsid w:val="00183C68"/>
    <w:rsid w:val="001840BD"/>
    <w:rsid w:val="00184254"/>
    <w:rsid w:val="0018573D"/>
    <w:rsid w:val="00187ADB"/>
    <w:rsid w:val="00190685"/>
    <w:rsid w:val="001908DB"/>
    <w:rsid w:val="00191F1D"/>
    <w:rsid w:val="0019266A"/>
    <w:rsid w:val="00195550"/>
    <w:rsid w:val="001955AF"/>
    <w:rsid w:val="00196C16"/>
    <w:rsid w:val="00197FF9"/>
    <w:rsid w:val="001A052C"/>
    <w:rsid w:val="001A4376"/>
    <w:rsid w:val="001A4377"/>
    <w:rsid w:val="001A6C2D"/>
    <w:rsid w:val="001B00FA"/>
    <w:rsid w:val="001B2989"/>
    <w:rsid w:val="001B2B8D"/>
    <w:rsid w:val="001B387E"/>
    <w:rsid w:val="001B5588"/>
    <w:rsid w:val="001B6E84"/>
    <w:rsid w:val="001B7FDE"/>
    <w:rsid w:val="001C0630"/>
    <w:rsid w:val="001C0939"/>
    <w:rsid w:val="001C164A"/>
    <w:rsid w:val="001C1A5D"/>
    <w:rsid w:val="001C4203"/>
    <w:rsid w:val="001C5E5F"/>
    <w:rsid w:val="001C6894"/>
    <w:rsid w:val="001C6E2F"/>
    <w:rsid w:val="001C74DE"/>
    <w:rsid w:val="001C7E92"/>
    <w:rsid w:val="001D0A0F"/>
    <w:rsid w:val="001D30C6"/>
    <w:rsid w:val="001D3150"/>
    <w:rsid w:val="001D63B5"/>
    <w:rsid w:val="001D6716"/>
    <w:rsid w:val="001D6C73"/>
    <w:rsid w:val="001E161E"/>
    <w:rsid w:val="001E2664"/>
    <w:rsid w:val="001E2D38"/>
    <w:rsid w:val="001E48E2"/>
    <w:rsid w:val="001E5906"/>
    <w:rsid w:val="001E602B"/>
    <w:rsid w:val="001E7076"/>
    <w:rsid w:val="001E7F11"/>
    <w:rsid w:val="001F15B0"/>
    <w:rsid w:val="001F3881"/>
    <w:rsid w:val="001F7501"/>
    <w:rsid w:val="0020486D"/>
    <w:rsid w:val="00205A6B"/>
    <w:rsid w:val="00205E3F"/>
    <w:rsid w:val="002104C0"/>
    <w:rsid w:val="0021366E"/>
    <w:rsid w:val="00213BBE"/>
    <w:rsid w:val="00214C70"/>
    <w:rsid w:val="002155C8"/>
    <w:rsid w:val="00216FF0"/>
    <w:rsid w:val="00217A95"/>
    <w:rsid w:val="002200D5"/>
    <w:rsid w:val="002216D8"/>
    <w:rsid w:val="0022236A"/>
    <w:rsid w:val="002235CB"/>
    <w:rsid w:val="0022706C"/>
    <w:rsid w:val="002271DD"/>
    <w:rsid w:val="00227E4A"/>
    <w:rsid w:val="00230168"/>
    <w:rsid w:val="0023316A"/>
    <w:rsid w:val="00234575"/>
    <w:rsid w:val="00235ACC"/>
    <w:rsid w:val="002369F1"/>
    <w:rsid w:val="002401AA"/>
    <w:rsid w:val="002415C4"/>
    <w:rsid w:val="0024408B"/>
    <w:rsid w:val="0024450E"/>
    <w:rsid w:val="002446B9"/>
    <w:rsid w:val="002457BE"/>
    <w:rsid w:val="002460AC"/>
    <w:rsid w:val="00250F7B"/>
    <w:rsid w:val="002535DF"/>
    <w:rsid w:val="002564C3"/>
    <w:rsid w:val="002567DC"/>
    <w:rsid w:val="002612A4"/>
    <w:rsid w:val="00264039"/>
    <w:rsid w:val="00267FE8"/>
    <w:rsid w:val="00270045"/>
    <w:rsid w:val="00270381"/>
    <w:rsid w:val="00270ADC"/>
    <w:rsid w:val="002712CF"/>
    <w:rsid w:val="00271625"/>
    <w:rsid w:val="00272BE0"/>
    <w:rsid w:val="00272D8B"/>
    <w:rsid w:val="00273CEE"/>
    <w:rsid w:val="002755A5"/>
    <w:rsid w:val="002767D6"/>
    <w:rsid w:val="0028125C"/>
    <w:rsid w:val="00282427"/>
    <w:rsid w:val="002827BE"/>
    <w:rsid w:val="00285162"/>
    <w:rsid w:val="00290524"/>
    <w:rsid w:val="00291D6F"/>
    <w:rsid w:val="00291EB5"/>
    <w:rsid w:val="002931CE"/>
    <w:rsid w:val="00294BCD"/>
    <w:rsid w:val="00295F23"/>
    <w:rsid w:val="00297591"/>
    <w:rsid w:val="002A0DA6"/>
    <w:rsid w:val="002A1F43"/>
    <w:rsid w:val="002A3872"/>
    <w:rsid w:val="002A448E"/>
    <w:rsid w:val="002A4E88"/>
    <w:rsid w:val="002B0CF7"/>
    <w:rsid w:val="002B13B3"/>
    <w:rsid w:val="002B1E8A"/>
    <w:rsid w:val="002B5BEF"/>
    <w:rsid w:val="002B5F51"/>
    <w:rsid w:val="002B693A"/>
    <w:rsid w:val="002B7D4D"/>
    <w:rsid w:val="002C21AF"/>
    <w:rsid w:val="002C3517"/>
    <w:rsid w:val="002C369D"/>
    <w:rsid w:val="002C37F8"/>
    <w:rsid w:val="002C4FB3"/>
    <w:rsid w:val="002D1D05"/>
    <w:rsid w:val="002D1F29"/>
    <w:rsid w:val="002D261B"/>
    <w:rsid w:val="002D2FC5"/>
    <w:rsid w:val="002D3C9F"/>
    <w:rsid w:val="002D6189"/>
    <w:rsid w:val="002D6C81"/>
    <w:rsid w:val="002E100D"/>
    <w:rsid w:val="002E199F"/>
    <w:rsid w:val="002E3559"/>
    <w:rsid w:val="002E4078"/>
    <w:rsid w:val="002F0DD9"/>
    <w:rsid w:val="002F3682"/>
    <w:rsid w:val="002F36D0"/>
    <w:rsid w:val="003000C0"/>
    <w:rsid w:val="003012E6"/>
    <w:rsid w:val="0030324A"/>
    <w:rsid w:val="00310D71"/>
    <w:rsid w:val="00311715"/>
    <w:rsid w:val="00316C47"/>
    <w:rsid w:val="00317409"/>
    <w:rsid w:val="00317EC7"/>
    <w:rsid w:val="00320702"/>
    <w:rsid w:val="00323146"/>
    <w:rsid w:val="00324423"/>
    <w:rsid w:val="0032488E"/>
    <w:rsid w:val="0032647F"/>
    <w:rsid w:val="00327007"/>
    <w:rsid w:val="003334CE"/>
    <w:rsid w:val="0033494D"/>
    <w:rsid w:val="003351D4"/>
    <w:rsid w:val="0033594D"/>
    <w:rsid w:val="00335CCD"/>
    <w:rsid w:val="003364DA"/>
    <w:rsid w:val="00337FAF"/>
    <w:rsid w:val="00341193"/>
    <w:rsid w:val="00343CEA"/>
    <w:rsid w:val="003444AF"/>
    <w:rsid w:val="00345674"/>
    <w:rsid w:val="00351319"/>
    <w:rsid w:val="00351F40"/>
    <w:rsid w:val="0035304E"/>
    <w:rsid w:val="00354AA1"/>
    <w:rsid w:val="00360B80"/>
    <w:rsid w:val="00360BDF"/>
    <w:rsid w:val="003631B1"/>
    <w:rsid w:val="00364152"/>
    <w:rsid w:val="0036620D"/>
    <w:rsid w:val="00371061"/>
    <w:rsid w:val="0037455F"/>
    <w:rsid w:val="00374C3B"/>
    <w:rsid w:val="00377B1C"/>
    <w:rsid w:val="0038161D"/>
    <w:rsid w:val="0038259E"/>
    <w:rsid w:val="00385B4B"/>
    <w:rsid w:val="0039042C"/>
    <w:rsid w:val="003905FF"/>
    <w:rsid w:val="003953DD"/>
    <w:rsid w:val="0039552D"/>
    <w:rsid w:val="00396692"/>
    <w:rsid w:val="003967CC"/>
    <w:rsid w:val="003A02F8"/>
    <w:rsid w:val="003A03E0"/>
    <w:rsid w:val="003A3DB1"/>
    <w:rsid w:val="003A461A"/>
    <w:rsid w:val="003B0CEE"/>
    <w:rsid w:val="003B199B"/>
    <w:rsid w:val="003B2512"/>
    <w:rsid w:val="003B412F"/>
    <w:rsid w:val="003B6CDC"/>
    <w:rsid w:val="003B7A57"/>
    <w:rsid w:val="003C182F"/>
    <w:rsid w:val="003C3C59"/>
    <w:rsid w:val="003C57E7"/>
    <w:rsid w:val="003D34E4"/>
    <w:rsid w:val="003D5BEB"/>
    <w:rsid w:val="003D62D3"/>
    <w:rsid w:val="003D7234"/>
    <w:rsid w:val="003D7E9A"/>
    <w:rsid w:val="003E22F1"/>
    <w:rsid w:val="003E4846"/>
    <w:rsid w:val="003E699F"/>
    <w:rsid w:val="003E6C35"/>
    <w:rsid w:val="003E728F"/>
    <w:rsid w:val="003E7889"/>
    <w:rsid w:val="003F360C"/>
    <w:rsid w:val="003F605A"/>
    <w:rsid w:val="003F789C"/>
    <w:rsid w:val="004016B2"/>
    <w:rsid w:val="00401F7D"/>
    <w:rsid w:val="0040372A"/>
    <w:rsid w:val="00407D41"/>
    <w:rsid w:val="0041137B"/>
    <w:rsid w:val="00411418"/>
    <w:rsid w:val="004135D3"/>
    <w:rsid w:val="0041531E"/>
    <w:rsid w:val="004172CB"/>
    <w:rsid w:val="0042006F"/>
    <w:rsid w:val="00422558"/>
    <w:rsid w:val="00422599"/>
    <w:rsid w:val="0042283B"/>
    <w:rsid w:val="00423E96"/>
    <w:rsid w:val="00425E73"/>
    <w:rsid w:val="00426A41"/>
    <w:rsid w:val="004272DE"/>
    <w:rsid w:val="004300C6"/>
    <w:rsid w:val="00430364"/>
    <w:rsid w:val="004318A0"/>
    <w:rsid w:val="00431CED"/>
    <w:rsid w:val="00433DC3"/>
    <w:rsid w:val="00434A0E"/>
    <w:rsid w:val="0043627A"/>
    <w:rsid w:val="00437068"/>
    <w:rsid w:val="00443A41"/>
    <w:rsid w:val="00444C07"/>
    <w:rsid w:val="0044501C"/>
    <w:rsid w:val="004450E2"/>
    <w:rsid w:val="00445E49"/>
    <w:rsid w:val="00446B5C"/>
    <w:rsid w:val="004475CC"/>
    <w:rsid w:val="00451040"/>
    <w:rsid w:val="00451735"/>
    <w:rsid w:val="00451BAD"/>
    <w:rsid w:val="00452C42"/>
    <w:rsid w:val="004532E3"/>
    <w:rsid w:val="00454A32"/>
    <w:rsid w:val="00454ADF"/>
    <w:rsid w:val="00455FBC"/>
    <w:rsid w:val="0045775D"/>
    <w:rsid w:val="00462B12"/>
    <w:rsid w:val="00462BA2"/>
    <w:rsid w:val="00462E90"/>
    <w:rsid w:val="00463836"/>
    <w:rsid w:val="00464A9B"/>
    <w:rsid w:val="0046500D"/>
    <w:rsid w:val="00470699"/>
    <w:rsid w:val="0047491B"/>
    <w:rsid w:val="00480C2A"/>
    <w:rsid w:val="0048432B"/>
    <w:rsid w:val="00485212"/>
    <w:rsid w:val="0048587F"/>
    <w:rsid w:val="00486049"/>
    <w:rsid w:val="00486BB4"/>
    <w:rsid w:val="0048700D"/>
    <w:rsid w:val="004870D5"/>
    <w:rsid w:val="00490F12"/>
    <w:rsid w:val="004916A8"/>
    <w:rsid w:val="0049214E"/>
    <w:rsid w:val="00492280"/>
    <w:rsid w:val="00496BAF"/>
    <w:rsid w:val="004A04E9"/>
    <w:rsid w:val="004A2BFC"/>
    <w:rsid w:val="004A3B6C"/>
    <w:rsid w:val="004A54B8"/>
    <w:rsid w:val="004A5E33"/>
    <w:rsid w:val="004B02A1"/>
    <w:rsid w:val="004B1BAF"/>
    <w:rsid w:val="004B211B"/>
    <w:rsid w:val="004B2B12"/>
    <w:rsid w:val="004B56C1"/>
    <w:rsid w:val="004B620C"/>
    <w:rsid w:val="004B69CA"/>
    <w:rsid w:val="004B6DDC"/>
    <w:rsid w:val="004C006A"/>
    <w:rsid w:val="004C0363"/>
    <w:rsid w:val="004C0796"/>
    <w:rsid w:val="004C0F28"/>
    <w:rsid w:val="004C269F"/>
    <w:rsid w:val="004C4086"/>
    <w:rsid w:val="004C4716"/>
    <w:rsid w:val="004C5919"/>
    <w:rsid w:val="004C7010"/>
    <w:rsid w:val="004C7E7D"/>
    <w:rsid w:val="004D4889"/>
    <w:rsid w:val="004D4FD2"/>
    <w:rsid w:val="004D6487"/>
    <w:rsid w:val="004D6FAD"/>
    <w:rsid w:val="004D7F6C"/>
    <w:rsid w:val="004E037A"/>
    <w:rsid w:val="004E0B2A"/>
    <w:rsid w:val="004E0E6C"/>
    <w:rsid w:val="004E25D2"/>
    <w:rsid w:val="004E2C11"/>
    <w:rsid w:val="004E3178"/>
    <w:rsid w:val="004E6B66"/>
    <w:rsid w:val="004E6D7A"/>
    <w:rsid w:val="004F037C"/>
    <w:rsid w:val="004F5E35"/>
    <w:rsid w:val="004F73BC"/>
    <w:rsid w:val="00501246"/>
    <w:rsid w:val="005014EB"/>
    <w:rsid w:val="00504C81"/>
    <w:rsid w:val="005061E6"/>
    <w:rsid w:val="005062BD"/>
    <w:rsid w:val="00507737"/>
    <w:rsid w:val="00510341"/>
    <w:rsid w:val="00514A2C"/>
    <w:rsid w:val="00514DDC"/>
    <w:rsid w:val="005173BB"/>
    <w:rsid w:val="005205B1"/>
    <w:rsid w:val="0052071E"/>
    <w:rsid w:val="00523AB3"/>
    <w:rsid w:val="005241E8"/>
    <w:rsid w:val="00524C55"/>
    <w:rsid w:val="005265C9"/>
    <w:rsid w:val="00530010"/>
    <w:rsid w:val="005318E5"/>
    <w:rsid w:val="005333B8"/>
    <w:rsid w:val="00533A8B"/>
    <w:rsid w:val="00535B41"/>
    <w:rsid w:val="00535D6C"/>
    <w:rsid w:val="0053768F"/>
    <w:rsid w:val="005403E2"/>
    <w:rsid w:val="00541543"/>
    <w:rsid w:val="0054396C"/>
    <w:rsid w:val="00543E8B"/>
    <w:rsid w:val="00544D05"/>
    <w:rsid w:val="005457A2"/>
    <w:rsid w:val="005469DE"/>
    <w:rsid w:val="00546D31"/>
    <w:rsid w:val="0054713E"/>
    <w:rsid w:val="00547504"/>
    <w:rsid w:val="00547DEA"/>
    <w:rsid w:val="005504BB"/>
    <w:rsid w:val="00550664"/>
    <w:rsid w:val="005524EA"/>
    <w:rsid w:val="005528A7"/>
    <w:rsid w:val="0055465D"/>
    <w:rsid w:val="00554C17"/>
    <w:rsid w:val="005570DC"/>
    <w:rsid w:val="005571CD"/>
    <w:rsid w:val="00561D94"/>
    <w:rsid w:val="00562186"/>
    <w:rsid w:val="005627A3"/>
    <w:rsid w:val="00565EF2"/>
    <w:rsid w:val="005669D6"/>
    <w:rsid w:val="00566DB7"/>
    <w:rsid w:val="0057090E"/>
    <w:rsid w:val="005712AF"/>
    <w:rsid w:val="005729EB"/>
    <w:rsid w:val="00573C5E"/>
    <w:rsid w:val="00573E68"/>
    <w:rsid w:val="00580995"/>
    <w:rsid w:val="005836E1"/>
    <w:rsid w:val="00584256"/>
    <w:rsid w:val="00584EF9"/>
    <w:rsid w:val="00585D3A"/>
    <w:rsid w:val="00586BA2"/>
    <w:rsid w:val="00587A0A"/>
    <w:rsid w:val="0059147E"/>
    <w:rsid w:val="00592D91"/>
    <w:rsid w:val="00593AF9"/>
    <w:rsid w:val="0059505A"/>
    <w:rsid w:val="005950C2"/>
    <w:rsid w:val="00595EA3"/>
    <w:rsid w:val="0059652D"/>
    <w:rsid w:val="005A08BE"/>
    <w:rsid w:val="005A3020"/>
    <w:rsid w:val="005A4ED6"/>
    <w:rsid w:val="005A5CB2"/>
    <w:rsid w:val="005A773F"/>
    <w:rsid w:val="005B0C10"/>
    <w:rsid w:val="005B5E72"/>
    <w:rsid w:val="005B6562"/>
    <w:rsid w:val="005C75C3"/>
    <w:rsid w:val="005C7C1B"/>
    <w:rsid w:val="005D0F28"/>
    <w:rsid w:val="005D108C"/>
    <w:rsid w:val="005D3FD8"/>
    <w:rsid w:val="005D4B7B"/>
    <w:rsid w:val="005D6CA6"/>
    <w:rsid w:val="005D744A"/>
    <w:rsid w:val="005E2494"/>
    <w:rsid w:val="005E454D"/>
    <w:rsid w:val="005E4B3F"/>
    <w:rsid w:val="005E7A42"/>
    <w:rsid w:val="005F016B"/>
    <w:rsid w:val="005F1205"/>
    <w:rsid w:val="005F40D0"/>
    <w:rsid w:val="005F7D76"/>
    <w:rsid w:val="00600527"/>
    <w:rsid w:val="006031C7"/>
    <w:rsid w:val="00603EA5"/>
    <w:rsid w:val="00604BA0"/>
    <w:rsid w:val="00606F33"/>
    <w:rsid w:val="00607C93"/>
    <w:rsid w:val="00611C8E"/>
    <w:rsid w:val="006138B6"/>
    <w:rsid w:val="006139D8"/>
    <w:rsid w:val="006151FC"/>
    <w:rsid w:val="006156D4"/>
    <w:rsid w:val="00615806"/>
    <w:rsid w:val="00616577"/>
    <w:rsid w:val="006167B1"/>
    <w:rsid w:val="00620A79"/>
    <w:rsid w:val="00621A0D"/>
    <w:rsid w:val="006220DB"/>
    <w:rsid w:val="00624DE1"/>
    <w:rsid w:val="006255D6"/>
    <w:rsid w:val="0062572D"/>
    <w:rsid w:val="00625944"/>
    <w:rsid w:val="00630690"/>
    <w:rsid w:val="00632314"/>
    <w:rsid w:val="00632A04"/>
    <w:rsid w:val="0063509D"/>
    <w:rsid w:val="00635377"/>
    <w:rsid w:val="00640B12"/>
    <w:rsid w:val="00640C23"/>
    <w:rsid w:val="00641221"/>
    <w:rsid w:val="006419DB"/>
    <w:rsid w:val="006436D1"/>
    <w:rsid w:val="00644821"/>
    <w:rsid w:val="0064505E"/>
    <w:rsid w:val="00645AFE"/>
    <w:rsid w:val="0065178F"/>
    <w:rsid w:val="00651E3A"/>
    <w:rsid w:val="00652149"/>
    <w:rsid w:val="00652200"/>
    <w:rsid w:val="0065511B"/>
    <w:rsid w:val="00661F26"/>
    <w:rsid w:val="006634F0"/>
    <w:rsid w:val="00663AA0"/>
    <w:rsid w:val="00665492"/>
    <w:rsid w:val="00672695"/>
    <w:rsid w:val="00673B29"/>
    <w:rsid w:val="00674227"/>
    <w:rsid w:val="00674280"/>
    <w:rsid w:val="0067529A"/>
    <w:rsid w:val="006801F6"/>
    <w:rsid w:val="00680F13"/>
    <w:rsid w:val="00682192"/>
    <w:rsid w:val="00683331"/>
    <w:rsid w:val="00684302"/>
    <w:rsid w:val="00684EDF"/>
    <w:rsid w:val="00685727"/>
    <w:rsid w:val="00685B68"/>
    <w:rsid w:val="00685C9A"/>
    <w:rsid w:val="006901C8"/>
    <w:rsid w:val="00691D37"/>
    <w:rsid w:val="006929E2"/>
    <w:rsid w:val="006974AE"/>
    <w:rsid w:val="006975A5"/>
    <w:rsid w:val="00697EDB"/>
    <w:rsid w:val="006A01C8"/>
    <w:rsid w:val="006A275F"/>
    <w:rsid w:val="006A2A8C"/>
    <w:rsid w:val="006A5A46"/>
    <w:rsid w:val="006A5CB7"/>
    <w:rsid w:val="006A6147"/>
    <w:rsid w:val="006A6C5D"/>
    <w:rsid w:val="006B1183"/>
    <w:rsid w:val="006B2355"/>
    <w:rsid w:val="006B32FB"/>
    <w:rsid w:val="006B4263"/>
    <w:rsid w:val="006B63A9"/>
    <w:rsid w:val="006C1969"/>
    <w:rsid w:val="006C2D3F"/>
    <w:rsid w:val="006C3E35"/>
    <w:rsid w:val="006C585D"/>
    <w:rsid w:val="006C59BB"/>
    <w:rsid w:val="006C6245"/>
    <w:rsid w:val="006C67C5"/>
    <w:rsid w:val="006D0D7D"/>
    <w:rsid w:val="006D112E"/>
    <w:rsid w:val="006D377C"/>
    <w:rsid w:val="006D4E00"/>
    <w:rsid w:val="006D4EF2"/>
    <w:rsid w:val="006D50D5"/>
    <w:rsid w:val="006D5839"/>
    <w:rsid w:val="006D7646"/>
    <w:rsid w:val="006E12B8"/>
    <w:rsid w:val="006E3DB2"/>
    <w:rsid w:val="006E49E7"/>
    <w:rsid w:val="006E513E"/>
    <w:rsid w:val="006E53C7"/>
    <w:rsid w:val="006E5691"/>
    <w:rsid w:val="006F015F"/>
    <w:rsid w:val="006F40C8"/>
    <w:rsid w:val="006F4BF6"/>
    <w:rsid w:val="006F5013"/>
    <w:rsid w:val="006F5FEF"/>
    <w:rsid w:val="006F7B8A"/>
    <w:rsid w:val="00701E5C"/>
    <w:rsid w:val="007023B9"/>
    <w:rsid w:val="00702E95"/>
    <w:rsid w:val="007037BD"/>
    <w:rsid w:val="00703DE1"/>
    <w:rsid w:val="007063D3"/>
    <w:rsid w:val="007105A8"/>
    <w:rsid w:val="007124F2"/>
    <w:rsid w:val="0071256B"/>
    <w:rsid w:val="0071273E"/>
    <w:rsid w:val="00713C31"/>
    <w:rsid w:val="00713E44"/>
    <w:rsid w:val="007159A2"/>
    <w:rsid w:val="00721EC5"/>
    <w:rsid w:val="0072565E"/>
    <w:rsid w:val="00726294"/>
    <w:rsid w:val="0072656E"/>
    <w:rsid w:val="00727060"/>
    <w:rsid w:val="007304A1"/>
    <w:rsid w:val="00731D52"/>
    <w:rsid w:val="00732178"/>
    <w:rsid w:val="0073635A"/>
    <w:rsid w:val="00737650"/>
    <w:rsid w:val="00737F78"/>
    <w:rsid w:val="007435E7"/>
    <w:rsid w:val="00751FF9"/>
    <w:rsid w:val="00752B8B"/>
    <w:rsid w:val="0075319E"/>
    <w:rsid w:val="00757794"/>
    <w:rsid w:val="00757986"/>
    <w:rsid w:val="007601BB"/>
    <w:rsid w:val="007604E0"/>
    <w:rsid w:val="00760793"/>
    <w:rsid w:val="00760ADE"/>
    <w:rsid w:val="00760D48"/>
    <w:rsid w:val="00761FCE"/>
    <w:rsid w:val="00763254"/>
    <w:rsid w:val="00764C18"/>
    <w:rsid w:val="00765B46"/>
    <w:rsid w:val="00770798"/>
    <w:rsid w:val="007708AC"/>
    <w:rsid w:val="007716DF"/>
    <w:rsid w:val="0077455C"/>
    <w:rsid w:val="00780208"/>
    <w:rsid w:val="00781481"/>
    <w:rsid w:val="007819FE"/>
    <w:rsid w:val="0078256B"/>
    <w:rsid w:val="00783118"/>
    <w:rsid w:val="00786489"/>
    <w:rsid w:val="00791AEE"/>
    <w:rsid w:val="00793BCA"/>
    <w:rsid w:val="007941AE"/>
    <w:rsid w:val="00794321"/>
    <w:rsid w:val="00794A47"/>
    <w:rsid w:val="00796058"/>
    <w:rsid w:val="007977AB"/>
    <w:rsid w:val="00797DCD"/>
    <w:rsid w:val="007A171C"/>
    <w:rsid w:val="007A1760"/>
    <w:rsid w:val="007A3774"/>
    <w:rsid w:val="007A3CD2"/>
    <w:rsid w:val="007A470C"/>
    <w:rsid w:val="007A4A03"/>
    <w:rsid w:val="007A6932"/>
    <w:rsid w:val="007A726B"/>
    <w:rsid w:val="007A7A3A"/>
    <w:rsid w:val="007A7F5E"/>
    <w:rsid w:val="007B15EA"/>
    <w:rsid w:val="007B19EE"/>
    <w:rsid w:val="007B1E76"/>
    <w:rsid w:val="007B4DE1"/>
    <w:rsid w:val="007B5708"/>
    <w:rsid w:val="007B60F5"/>
    <w:rsid w:val="007C1983"/>
    <w:rsid w:val="007C32F2"/>
    <w:rsid w:val="007C3A4A"/>
    <w:rsid w:val="007C3E80"/>
    <w:rsid w:val="007C6DBF"/>
    <w:rsid w:val="007D00B1"/>
    <w:rsid w:val="007D20B4"/>
    <w:rsid w:val="007D21FF"/>
    <w:rsid w:val="007D4E29"/>
    <w:rsid w:val="007D5499"/>
    <w:rsid w:val="007D76C0"/>
    <w:rsid w:val="007E2D95"/>
    <w:rsid w:val="007E315C"/>
    <w:rsid w:val="007E4375"/>
    <w:rsid w:val="007E71D6"/>
    <w:rsid w:val="007E7C86"/>
    <w:rsid w:val="007E7E2E"/>
    <w:rsid w:val="007F066E"/>
    <w:rsid w:val="007F1262"/>
    <w:rsid w:val="007F3B8B"/>
    <w:rsid w:val="007F553D"/>
    <w:rsid w:val="007F65BD"/>
    <w:rsid w:val="007F68C2"/>
    <w:rsid w:val="007F6B41"/>
    <w:rsid w:val="007F7667"/>
    <w:rsid w:val="008018D3"/>
    <w:rsid w:val="00802197"/>
    <w:rsid w:val="00803F68"/>
    <w:rsid w:val="008044B2"/>
    <w:rsid w:val="008065C2"/>
    <w:rsid w:val="0080695C"/>
    <w:rsid w:val="00807CB2"/>
    <w:rsid w:val="00810BE0"/>
    <w:rsid w:val="00810E78"/>
    <w:rsid w:val="00812984"/>
    <w:rsid w:val="008134D3"/>
    <w:rsid w:val="00814168"/>
    <w:rsid w:val="00814EA8"/>
    <w:rsid w:val="00815BDD"/>
    <w:rsid w:val="00821BCD"/>
    <w:rsid w:val="00822495"/>
    <w:rsid w:val="00826081"/>
    <w:rsid w:val="00830290"/>
    <w:rsid w:val="008312E2"/>
    <w:rsid w:val="00834C63"/>
    <w:rsid w:val="008369D4"/>
    <w:rsid w:val="00836BA4"/>
    <w:rsid w:val="00840EFD"/>
    <w:rsid w:val="008429F5"/>
    <w:rsid w:val="00843090"/>
    <w:rsid w:val="00843BEF"/>
    <w:rsid w:val="008444C3"/>
    <w:rsid w:val="00846566"/>
    <w:rsid w:val="00853440"/>
    <w:rsid w:val="00855816"/>
    <w:rsid w:val="00857483"/>
    <w:rsid w:val="008574A9"/>
    <w:rsid w:val="008576F1"/>
    <w:rsid w:val="00861BDB"/>
    <w:rsid w:val="00862F62"/>
    <w:rsid w:val="008641B7"/>
    <w:rsid w:val="00864B56"/>
    <w:rsid w:val="008714CF"/>
    <w:rsid w:val="00873836"/>
    <w:rsid w:val="008743CA"/>
    <w:rsid w:val="00874F61"/>
    <w:rsid w:val="0087779D"/>
    <w:rsid w:val="008816C4"/>
    <w:rsid w:val="00882C70"/>
    <w:rsid w:val="0088403C"/>
    <w:rsid w:val="008843A2"/>
    <w:rsid w:val="00884A3D"/>
    <w:rsid w:val="00884C03"/>
    <w:rsid w:val="0088548F"/>
    <w:rsid w:val="00885756"/>
    <w:rsid w:val="00885A43"/>
    <w:rsid w:val="00885D42"/>
    <w:rsid w:val="0088608D"/>
    <w:rsid w:val="00887934"/>
    <w:rsid w:val="00890BD2"/>
    <w:rsid w:val="00892600"/>
    <w:rsid w:val="008929A5"/>
    <w:rsid w:val="0089363E"/>
    <w:rsid w:val="00897037"/>
    <w:rsid w:val="008A0268"/>
    <w:rsid w:val="008A2151"/>
    <w:rsid w:val="008A37E1"/>
    <w:rsid w:val="008A63EF"/>
    <w:rsid w:val="008A7595"/>
    <w:rsid w:val="008A78CB"/>
    <w:rsid w:val="008B0774"/>
    <w:rsid w:val="008B0D0D"/>
    <w:rsid w:val="008B261E"/>
    <w:rsid w:val="008B38CF"/>
    <w:rsid w:val="008B69E1"/>
    <w:rsid w:val="008B785B"/>
    <w:rsid w:val="008B7B92"/>
    <w:rsid w:val="008C23E2"/>
    <w:rsid w:val="008C37C3"/>
    <w:rsid w:val="008C5498"/>
    <w:rsid w:val="008C6E5C"/>
    <w:rsid w:val="008C7B26"/>
    <w:rsid w:val="008D002D"/>
    <w:rsid w:val="008D0053"/>
    <w:rsid w:val="008D0AB1"/>
    <w:rsid w:val="008D1B47"/>
    <w:rsid w:val="008D3DFF"/>
    <w:rsid w:val="008D7B26"/>
    <w:rsid w:val="008D7CFF"/>
    <w:rsid w:val="008D7EBE"/>
    <w:rsid w:val="008E1600"/>
    <w:rsid w:val="008E396E"/>
    <w:rsid w:val="008E4775"/>
    <w:rsid w:val="008E7E4B"/>
    <w:rsid w:val="008F004E"/>
    <w:rsid w:val="008F2B18"/>
    <w:rsid w:val="008F3319"/>
    <w:rsid w:val="008F7865"/>
    <w:rsid w:val="009009A9"/>
    <w:rsid w:val="00901568"/>
    <w:rsid w:val="0090252D"/>
    <w:rsid w:val="00902824"/>
    <w:rsid w:val="0090337F"/>
    <w:rsid w:val="0090479D"/>
    <w:rsid w:val="00904FF3"/>
    <w:rsid w:val="009064EC"/>
    <w:rsid w:val="009071B1"/>
    <w:rsid w:val="009127C4"/>
    <w:rsid w:val="009132E1"/>
    <w:rsid w:val="00914292"/>
    <w:rsid w:val="0092187E"/>
    <w:rsid w:val="00922F1D"/>
    <w:rsid w:val="00923025"/>
    <w:rsid w:val="0092530C"/>
    <w:rsid w:val="00925833"/>
    <w:rsid w:val="00926BD3"/>
    <w:rsid w:val="00926D73"/>
    <w:rsid w:val="00927D11"/>
    <w:rsid w:val="0093139E"/>
    <w:rsid w:val="00931A4C"/>
    <w:rsid w:val="009327EF"/>
    <w:rsid w:val="00932AA8"/>
    <w:rsid w:val="009340B1"/>
    <w:rsid w:val="009345E9"/>
    <w:rsid w:val="00934FA5"/>
    <w:rsid w:val="009355B7"/>
    <w:rsid w:val="0093577F"/>
    <w:rsid w:val="00935DCA"/>
    <w:rsid w:val="00936604"/>
    <w:rsid w:val="00940644"/>
    <w:rsid w:val="009415DB"/>
    <w:rsid w:val="00942EF8"/>
    <w:rsid w:val="009432CF"/>
    <w:rsid w:val="00950D68"/>
    <w:rsid w:val="00953654"/>
    <w:rsid w:val="009539A7"/>
    <w:rsid w:val="0095449C"/>
    <w:rsid w:val="00954E07"/>
    <w:rsid w:val="009553A4"/>
    <w:rsid w:val="00956E7E"/>
    <w:rsid w:val="00961DF8"/>
    <w:rsid w:val="009630E8"/>
    <w:rsid w:val="00972BF4"/>
    <w:rsid w:val="009738F9"/>
    <w:rsid w:val="0097591F"/>
    <w:rsid w:val="009807B6"/>
    <w:rsid w:val="00981641"/>
    <w:rsid w:val="00984998"/>
    <w:rsid w:val="00985370"/>
    <w:rsid w:val="00986714"/>
    <w:rsid w:val="00991880"/>
    <w:rsid w:val="0099265D"/>
    <w:rsid w:val="0099299C"/>
    <w:rsid w:val="00997712"/>
    <w:rsid w:val="009A08A6"/>
    <w:rsid w:val="009A0CD6"/>
    <w:rsid w:val="009A0FC9"/>
    <w:rsid w:val="009A21A7"/>
    <w:rsid w:val="009A226D"/>
    <w:rsid w:val="009A3CDB"/>
    <w:rsid w:val="009A6BE9"/>
    <w:rsid w:val="009B0808"/>
    <w:rsid w:val="009B2194"/>
    <w:rsid w:val="009B2FE0"/>
    <w:rsid w:val="009B3815"/>
    <w:rsid w:val="009B4130"/>
    <w:rsid w:val="009B6A76"/>
    <w:rsid w:val="009B74BA"/>
    <w:rsid w:val="009B7996"/>
    <w:rsid w:val="009C16DA"/>
    <w:rsid w:val="009C1FCB"/>
    <w:rsid w:val="009C220F"/>
    <w:rsid w:val="009C32B2"/>
    <w:rsid w:val="009C4871"/>
    <w:rsid w:val="009C653C"/>
    <w:rsid w:val="009C7343"/>
    <w:rsid w:val="009C75A3"/>
    <w:rsid w:val="009D15F6"/>
    <w:rsid w:val="009D2122"/>
    <w:rsid w:val="009D4D1A"/>
    <w:rsid w:val="009D6513"/>
    <w:rsid w:val="009D716D"/>
    <w:rsid w:val="009D7DE9"/>
    <w:rsid w:val="009E5859"/>
    <w:rsid w:val="009E6971"/>
    <w:rsid w:val="009F0731"/>
    <w:rsid w:val="009F083A"/>
    <w:rsid w:val="009F1A50"/>
    <w:rsid w:val="009F2724"/>
    <w:rsid w:val="009F33DE"/>
    <w:rsid w:val="009F3B64"/>
    <w:rsid w:val="009F6FF1"/>
    <w:rsid w:val="009F75DE"/>
    <w:rsid w:val="009F7B24"/>
    <w:rsid w:val="009F7B5E"/>
    <w:rsid w:val="00A00444"/>
    <w:rsid w:val="00A01148"/>
    <w:rsid w:val="00A0606F"/>
    <w:rsid w:val="00A07E42"/>
    <w:rsid w:val="00A10674"/>
    <w:rsid w:val="00A10849"/>
    <w:rsid w:val="00A11E56"/>
    <w:rsid w:val="00A14616"/>
    <w:rsid w:val="00A15C3E"/>
    <w:rsid w:val="00A25613"/>
    <w:rsid w:val="00A268A6"/>
    <w:rsid w:val="00A27842"/>
    <w:rsid w:val="00A302C2"/>
    <w:rsid w:val="00A302DD"/>
    <w:rsid w:val="00A30790"/>
    <w:rsid w:val="00A311B5"/>
    <w:rsid w:val="00A367A3"/>
    <w:rsid w:val="00A36FA4"/>
    <w:rsid w:val="00A37C2F"/>
    <w:rsid w:val="00A4001D"/>
    <w:rsid w:val="00A4055B"/>
    <w:rsid w:val="00A40A66"/>
    <w:rsid w:val="00A418B1"/>
    <w:rsid w:val="00A44F84"/>
    <w:rsid w:val="00A451CE"/>
    <w:rsid w:val="00A45870"/>
    <w:rsid w:val="00A56439"/>
    <w:rsid w:val="00A56798"/>
    <w:rsid w:val="00A61E5F"/>
    <w:rsid w:val="00A650EE"/>
    <w:rsid w:val="00A65CDB"/>
    <w:rsid w:val="00A661E3"/>
    <w:rsid w:val="00A70B3C"/>
    <w:rsid w:val="00A70FB7"/>
    <w:rsid w:val="00A71F15"/>
    <w:rsid w:val="00A73C9A"/>
    <w:rsid w:val="00A74A43"/>
    <w:rsid w:val="00A80FB8"/>
    <w:rsid w:val="00A81364"/>
    <w:rsid w:val="00A8141E"/>
    <w:rsid w:val="00A8157F"/>
    <w:rsid w:val="00A8691F"/>
    <w:rsid w:val="00A877D3"/>
    <w:rsid w:val="00A906D7"/>
    <w:rsid w:val="00A90D80"/>
    <w:rsid w:val="00A92B1B"/>
    <w:rsid w:val="00A93A9B"/>
    <w:rsid w:val="00A93D83"/>
    <w:rsid w:val="00A94ADC"/>
    <w:rsid w:val="00A94B8C"/>
    <w:rsid w:val="00A95142"/>
    <w:rsid w:val="00A95E27"/>
    <w:rsid w:val="00A97F1C"/>
    <w:rsid w:val="00A97F27"/>
    <w:rsid w:val="00AA30BE"/>
    <w:rsid w:val="00AA3B58"/>
    <w:rsid w:val="00AA507D"/>
    <w:rsid w:val="00AA50D3"/>
    <w:rsid w:val="00AA517D"/>
    <w:rsid w:val="00AA65CD"/>
    <w:rsid w:val="00AB59C9"/>
    <w:rsid w:val="00AB6EAE"/>
    <w:rsid w:val="00AC0515"/>
    <w:rsid w:val="00AC17BE"/>
    <w:rsid w:val="00AC1E73"/>
    <w:rsid w:val="00AC30F8"/>
    <w:rsid w:val="00AC7901"/>
    <w:rsid w:val="00AD1B9B"/>
    <w:rsid w:val="00AD1CD9"/>
    <w:rsid w:val="00AD4982"/>
    <w:rsid w:val="00AD4BBD"/>
    <w:rsid w:val="00AD5A8A"/>
    <w:rsid w:val="00AE1667"/>
    <w:rsid w:val="00AF5556"/>
    <w:rsid w:val="00AF7E52"/>
    <w:rsid w:val="00B00EDA"/>
    <w:rsid w:val="00B0295A"/>
    <w:rsid w:val="00B02CE5"/>
    <w:rsid w:val="00B050E4"/>
    <w:rsid w:val="00B053C8"/>
    <w:rsid w:val="00B057C3"/>
    <w:rsid w:val="00B06F8E"/>
    <w:rsid w:val="00B07097"/>
    <w:rsid w:val="00B074C9"/>
    <w:rsid w:val="00B10E81"/>
    <w:rsid w:val="00B11F0E"/>
    <w:rsid w:val="00B12320"/>
    <w:rsid w:val="00B14362"/>
    <w:rsid w:val="00B15076"/>
    <w:rsid w:val="00B152E1"/>
    <w:rsid w:val="00B15BCC"/>
    <w:rsid w:val="00B16741"/>
    <w:rsid w:val="00B16C28"/>
    <w:rsid w:val="00B2284F"/>
    <w:rsid w:val="00B23853"/>
    <w:rsid w:val="00B252F1"/>
    <w:rsid w:val="00B26FD3"/>
    <w:rsid w:val="00B32095"/>
    <w:rsid w:val="00B33607"/>
    <w:rsid w:val="00B34DE5"/>
    <w:rsid w:val="00B36192"/>
    <w:rsid w:val="00B37DB2"/>
    <w:rsid w:val="00B37EF6"/>
    <w:rsid w:val="00B40E48"/>
    <w:rsid w:val="00B419AC"/>
    <w:rsid w:val="00B42F45"/>
    <w:rsid w:val="00B45C75"/>
    <w:rsid w:val="00B516FD"/>
    <w:rsid w:val="00B52A66"/>
    <w:rsid w:val="00B53AA3"/>
    <w:rsid w:val="00B53F2C"/>
    <w:rsid w:val="00B5442E"/>
    <w:rsid w:val="00B55300"/>
    <w:rsid w:val="00B561EC"/>
    <w:rsid w:val="00B56B4E"/>
    <w:rsid w:val="00B57199"/>
    <w:rsid w:val="00B60CD4"/>
    <w:rsid w:val="00B6113E"/>
    <w:rsid w:val="00B62A7C"/>
    <w:rsid w:val="00B634B5"/>
    <w:rsid w:val="00B64D2D"/>
    <w:rsid w:val="00B6500E"/>
    <w:rsid w:val="00B675DB"/>
    <w:rsid w:val="00B67700"/>
    <w:rsid w:val="00B71B6D"/>
    <w:rsid w:val="00B73B94"/>
    <w:rsid w:val="00B81847"/>
    <w:rsid w:val="00B81CB2"/>
    <w:rsid w:val="00B8444E"/>
    <w:rsid w:val="00B84731"/>
    <w:rsid w:val="00B85D3A"/>
    <w:rsid w:val="00B86AD3"/>
    <w:rsid w:val="00B90F54"/>
    <w:rsid w:val="00B91BF2"/>
    <w:rsid w:val="00B92848"/>
    <w:rsid w:val="00B93087"/>
    <w:rsid w:val="00B941B0"/>
    <w:rsid w:val="00B95184"/>
    <w:rsid w:val="00B95554"/>
    <w:rsid w:val="00B9615E"/>
    <w:rsid w:val="00B96617"/>
    <w:rsid w:val="00BA0292"/>
    <w:rsid w:val="00BA0EEE"/>
    <w:rsid w:val="00BA4601"/>
    <w:rsid w:val="00BA466B"/>
    <w:rsid w:val="00BB06DB"/>
    <w:rsid w:val="00BB3739"/>
    <w:rsid w:val="00BB3CC1"/>
    <w:rsid w:val="00BB4521"/>
    <w:rsid w:val="00BB47AB"/>
    <w:rsid w:val="00BC1027"/>
    <w:rsid w:val="00BC10DF"/>
    <w:rsid w:val="00BC64FE"/>
    <w:rsid w:val="00BD06A7"/>
    <w:rsid w:val="00BD411D"/>
    <w:rsid w:val="00BD4780"/>
    <w:rsid w:val="00BD5C34"/>
    <w:rsid w:val="00BD718B"/>
    <w:rsid w:val="00BD79CE"/>
    <w:rsid w:val="00BE1D05"/>
    <w:rsid w:val="00BE275D"/>
    <w:rsid w:val="00BE3035"/>
    <w:rsid w:val="00BE313E"/>
    <w:rsid w:val="00BE6C88"/>
    <w:rsid w:val="00BE7D58"/>
    <w:rsid w:val="00BF0C17"/>
    <w:rsid w:val="00BF119A"/>
    <w:rsid w:val="00BF179E"/>
    <w:rsid w:val="00BF18D2"/>
    <w:rsid w:val="00BF29CD"/>
    <w:rsid w:val="00BF2D22"/>
    <w:rsid w:val="00BF3462"/>
    <w:rsid w:val="00BF4084"/>
    <w:rsid w:val="00BF42BA"/>
    <w:rsid w:val="00C0114C"/>
    <w:rsid w:val="00C01F48"/>
    <w:rsid w:val="00C02695"/>
    <w:rsid w:val="00C02BA0"/>
    <w:rsid w:val="00C037AA"/>
    <w:rsid w:val="00C03F10"/>
    <w:rsid w:val="00C0733D"/>
    <w:rsid w:val="00C07C8E"/>
    <w:rsid w:val="00C10D6B"/>
    <w:rsid w:val="00C113BE"/>
    <w:rsid w:val="00C12615"/>
    <w:rsid w:val="00C23624"/>
    <w:rsid w:val="00C2479A"/>
    <w:rsid w:val="00C30609"/>
    <w:rsid w:val="00C33AAF"/>
    <w:rsid w:val="00C34107"/>
    <w:rsid w:val="00C349D7"/>
    <w:rsid w:val="00C34EE8"/>
    <w:rsid w:val="00C351B2"/>
    <w:rsid w:val="00C36476"/>
    <w:rsid w:val="00C400FB"/>
    <w:rsid w:val="00C41B96"/>
    <w:rsid w:val="00C43172"/>
    <w:rsid w:val="00C453FF"/>
    <w:rsid w:val="00C47E88"/>
    <w:rsid w:val="00C505F5"/>
    <w:rsid w:val="00C51487"/>
    <w:rsid w:val="00C51845"/>
    <w:rsid w:val="00C53CF3"/>
    <w:rsid w:val="00C53D2B"/>
    <w:rsid w:val="00C5430B"/>
    <w:rsid w:val="00C54DC8"/>
    <w:rsid w:val="00C56525"/>
    <w:rsid w:val="00C607AE"/>
    <w:rsid w:val="00C621B6"/>
    <w:rsid w:val="00C62AFB"/>
    <w:rsid w:val="00C639A3"/>
    <w:rsid w:val="00C64797"/>
    <w:rsid w:val="00C65725"/>
    <w:rsid w:val="00C66D04"/>
    <w:rsid w:val="00C672A6"/>
    <w:rsid w:val="00C67514"/>
    <w:rsid w:val="00C67D77"/>
    <w:rsid w:val="00C7016F"/>
    <w:rsid w:val="00C70E4E"/>
    <w:rsid w:val="00C70E67"/>
    <w:rsid w:val="00C71751"/>
    <w:rsid w:val="00C72C71"/>
    <w:rsid w:val="00C73457"/>
    <w:rsid w:val="00C73777"/>
    <w:rsid w:val="00C739FE"/>
    <w:rsid w:val="00C73C2C"/>
    <w:rsid w:val="00C75C4E"/>
    <w:rsid w:val="00C765E0"/>
    <w:rsid w:val="00C769E0"/>
    <w:rsid w:val="00C77BBC"/>
    <w:rsid w:val="00C81446"/>
    <w:rsid w:val="00C82571"/>
    <w:rsid w:val="00C843E8"/>
    <w:rsid w:val="00C8506F"/>
    <w:rsid w:val="00C854D6"/>
    <w:rsid w:val="00C87E70"/>
    <w:rsid w:val="00C903BC"/>
    <w:rsid w:val="00C90AFB"/>
    <w:rsid w:val="00C9143C"/>
    <w:rsid w:val="00C930A6"/>
    <w:rsid w:val="00C93953"/>
    <w:rsid w:val="00C939F4"/>
    <w:rsid w:val="00C93B57"/>
    <w:rsid w:val="00C955C4"/>
    <w:rsid w:val="00C9599E"/>
    <w:rsid w:val="00C963D9"/>
    <w:rsid w:val="00C979D2"/>
    <w:rsid w:val="00CA05A3"/>
    <w:rsid w:val="00CA3036"/>
    <w:rsid w:val="00CA4055"/>
    <w:rsid w:val="00CA52E3"/>
    <w:rsid w:val="00CA54DA"/>
    <w:rsid w:val="00CA669E"/>
    <w:rsid w:val="00CA7EB5"/>
    <w:rsid w:val="00CA7F8D"/>
    <w:rsid w:val="00CB07C1"/>
    <w:rsid w:val="00CB121F"/>
    <w:rsid w:val="00CB1B0F"/>
    <w:rsid w:val="00CB1D4F"/>
    <w:rsid w:val="00CB3478"/>
    <w:rsid w:val="00CB4E53"/>
    <w:rsid w:val="00CB6F0D"/>
    <w:rsid w:val="00CB7471"/>
    <w:rsid w:val="00CC04CC"/>
    <w:rsid w:val="00CC1F6C"/>
    <w:rsid w:val="00CD083C"/>
    <w:rsid w:val="00CD2293"/>
    <w:rsid w:val="00CD7A10"/>
    <w:rsid w:val="00CE1DF4"/>
    <w:rsid w:val="00CE42B8"/>
    <w:rsid w:val="00CE5DC4"/>
    <w:rsid w:val="00CE606E"/>
    <w:rsid w:val="00CE71ED"/>
    <w:rsid w:val="00CE7EF6"/>
    <w:rsid w:val="00CF0C9D"/>
    <w:rsid w:val="00CF10AD"/>
    <w:rsid w:val="00CF3E11"/>
    <w:rsid w:val="00CF4116"/>
    <w:rsid w:val="00CF49E3"/>
    <w:rsid w:val="00CF50F8"/>
    <w:rsid w:val="00CF5B69"/>
    <w:rsid w:val="00CF6D73"/>
    <w:rsid w:val="00D03726"/>
    <w:rsid w:val="00D05877"/>
    <w:rsid w:val="00D06F9E"/>
    <w:rsid w:val="00D11403"/>
    <w:rsid w:val="00D138C3"/>
    <w:rsid w:val="00D13D72"/>
    <w:rsid w:val="00D14B04"/>
    <w:rsid w:val="00D15C9A"/>
    <w:rsid w:val="00D16776"/>
    <w:rsid w:val="00D17D67"/>
    <w:rsid w:val="00D202AB"/>
    <w:rsid w:val="00D211DD"/>
    <w:rsid w:val="00D21B37"/>
    <w:rsid w:val="00D224B5"/>
    <w:rsid w:val="00D22536"/>
    <w:rsid w:val="00D24408"/>
    <w:rsid w:val="00D24512"/>
    <w:rsid w:val="00D260D0"/>
    <w:rsid w:val="00D26955"/>
    <w:rsid w:val="00D3005D"/>
    <w:rsid w:val="00D33AA0"/>
    <w:rsid w:val="00D34B3D"/>
    <w:rsid w:val="00D3780C"/>
    <w:rsid w:val="00D41DC5"/>
    <w:rsid w:val="00D46794"/>
    <w:rsid w:val="00D470A5"/>
    <w:rsid w:val="00D471A1"/>
    <w:rsid w:val="00D47DCB"/>
    <w:rsid w:val="00D539AE"/>
    <w:rsid w:val="00D53ECF"/>
    <w:rsid w:val="00D55D39"/>
    <w:rsid w:val="00D56F25"/>
    <w:rsid w:val="00D578AC"/>
    <w:rsid w:val="00D62129"/>
    <w:rsid w:val="00D6260B"/>
    <w:rsid w:val="00D62B6C"/>
    <w:rsid w:val="00D63DF5"/>
    <w:rsid w:val="00D6569C"/>
    <w:rsid w:val="00D65FD2"/>
    <w:rsid w:val="00D673F4"/>
    <w:rsid w:val="00D722D7"/>
    <w:rsid w:val="00D733E1"/>
    <w:rsid w:val="00D74332"/>
    <w:rsid w:val="00D75C69"/>
    <w:rsid w:val="00D75C91"/>
    <w:rsid w:val="00D76D35"/>
    <w:rsid w:val="00D77F7C"/>
    <w:rsid w:val="00D80957"/>
    <w:rsid w:val="00D84F51"/>
    <w:rsid w:val="00D900B2"/>
    <w:rsid w:val="00D91C7F"/>
    <w:rsid w:val="00D91D3A"/>
    <w:rsid w:val="00D924EA"/>
    <w:rsid w:val="00D93033"/>
    <w:rsid w:val="00D93169"/>
    <w:rsid w:val="00D95B18"/>
    <w:rsid w:val="00D95E27"/>
    <w:rsid w:val="00D96623"/>
    <w:rsid w:val="00DA1D80"/>
    <w:rsid w:val="00DA2E5C"/>
    <w:rsid w:val="00DA3056"/>
    <w:rsid w:val="00DA40A3"/>
    <w:rsid w:val="00DA4F76"/>
    <w:rsid w:val="00DA560A"/>
    <w:rsid w:val="00DB6619"/>
    <w:rsid w:val="00DB7335"/>
    <w:rsid w:val="00DC0AA2"/>
    <w:rsid w:val="00DC1A27"/>
    <w:rsid w:val="00DC22F7"/>
    <w:rsid w:val="00DC38C3"/>
    <w:rsid w:val="00DC4309"/>
    <w:rsid w:val="00DC578C"/>
    <w:rsid w:val="00DC5C24"/>
    <w:rsid w:val="00DC63C0"/>
    <w:rsid w:val="00DE10EB"/>
    <w:rsid w:val="00DE5033"/>
    <w:rsid w:val="00DE6E0A"/>
    <w:rsid w:val="00DE7223"/>
    <w:rsid w:val="00DF03D6"/>
    <w:rsid w:val="00DF03EE"/>
    <w:rsid w:val="00DF1CB6"/>
    <w:rsid w:val="00DF1D93"/>
    <w:rsid w:val="00DF402A"/>
    <w:rsid w:val="00DF443F"/>
    <w:rsid w:val="00DF4EC8"/>
    <w:rsid w:val="00E002B9"/>
    <w:rsid w:val="00E013F4"/>
    <w:rsid w:val="00E01602"/>
    <w:rsid w:val="00E03CDB"/>
    <w:rsid w:val="00E05169"/>
    <w:rsid w:val="00E05467"/>
    <w:rsid w:val="00E055AE"/>
    <w:rsid w:val="00E0670D"/>
    <w:rsid w:val="00E06DAB"/>
    <w:rsid w:val="00E0737B"/>
    <w:rsid w:val="00E1052D"/>
    <w:rsid w:val="00E1090C"/>
    <w:rsid w:val="00E13560"/>
    <w:rsid w:val="00E13EB3"/>
    <w:rsid w:val="00E15A11"/>
    <w:rsid w:val="00E214B1"/>
    <w:rsid w:val="00E218A6"/>
    <w:rsid w:val="00E21BA2"/>
    <w:rsid w:val="00E21CF0"/>
    <w:rsid w:val="00E22D89"/>
    <w:rsid w:val="00E239F2"/>
    <w:rsid w:val="00E24FFB"/>
    <w:rsid w:val="00E30F9A"/>
    <w:rsid w:val="00E31702"/>
    <w:rsid w:val="00E31EC2"/>
    <w:rsid w:val="00E32AAC"/>
    <w:rsid w:val="00E32F2C"/>
    <w:rsid w:val="00E33CA1"/>
    <w:rsid w:val="00E372EC"/>
    <w:rsid w:val="00E374E2"/>
    <w:rsid w:val="00E37932"/>
    <w:rsid w:val="00E405C2"/>
    <w:rsid w:val="00E4161C"/>
    <w:rsid w:val="00E44790"/>
    <w:rsid w:val="00E45A39"/>
    <w:rsid w:val="00E46045"/>
    <w:rsid w:val="00E507A1"/>
    <w:rsid w:val="00E50FAA"/>
    <w:rsid w:val="00E5141A"/>
    <w:rsid w:val="00E52230"/>
    <w:rsid w:val="00E523C8"/>
    <w:rsid w:val="00E52D33"/>
    <w:rsid w:val="00E550CE"/>
    <w:rsid w:val="00E55853"/>
    <w:rsid w:val="00E55B70"/>
    <w:rsid w:val="00E5697E"/>
    <w:rsid w:val="00E61DFE"/>
    <w:rsid w:val="00E61E47"/>
    <w:rsid w:val="00E6220F"/>
    <w:rsid w:val="00E65737"/>
    <w:rsid w:val="00E6787A"/>
    <w:rsid w:val="00E71940"/>
    <w:rsid w:val="00E820FE"/>
    <w:rsid w:val="00E82D31"/>
    <w:rsid w:val="00E83234"/>
    <w:rsid w:val="00E840EB"/>
    <w:rsid w:val="00E8432A"/>
    <w:rsid w:val="00E91975"/>
    <w:rsid w:val="00E91D1A"/>
    <w:rsid w:val="00E94555"/>
    <w:rsid w:val="00EA3579"/>
    <w:rsid w:val="00EA3AEE"/>
    <w:rsid w:val="00EA4D81"/>
    <w:rsid w:val="00EA52B7"/>
    <w:rsid w:val="00EA5FB5"/>
    <w:rsid w:val="00EA7E92"/>
    <w:rsid w:val="00EB14BC"/>
    <w:rsid w:val="00EB5A91"/>
    <w:rsid w:val="00EB6BD7"/>
    <w:rsid w:val="00EB76CE"/>
    <w:rsid w:val="00EB7D59"/>
    <w:rsid w:val="00EC4713"/>
    <w:rsid w:val="00EC4855"/>
    <w:rsid w:val="00ED10C4"/>
    <w:rsid w:val="00ED17E4"/>
    <w:rsid w:val="00ED1C50"/>
    <w:rsid w:val="00ED20B1"/>
    <w:rsid w:val="00ED360B"/>
    <w:rsid w:val="00ED7835"/>
    <w:rsid w:val="00EE156A"/>
    <w:rsid w:val="00EE18D6"/>
    <w:rsid w:val="00EE20D3"/>
    <w:rsid w:val="00EE3DFC"/>
    <w:rsid w:val="00EE47E5"/>
    <w:rsid w:val="00EE51B3"/>
    <w:rsid w:val="00EE69EE"/>
    <w:rsid w:val="00EF060D"/>
    <w:rsid w:val="00EF0B07"/>
    <w:rsid w:val="00EF3922"/>
    <w:rsid w:val="00EF427B"/>
    <w:rsid w:val="00EF7A33"/>
    <w:rsid w:val="00F002C3"/>
    <w:rsid w:val="00F0376D"/>
    <w:rsid w:val="00F04AD4"/>
    <w:rsid w:val="00F05A1E"/>
    <w:rsid w:val="00F12269"/>
    <w:rsid w:val="00F12EB1"/>
    <w:rsid w:val="00F13579"/>
    <w:rsid w:val="00F13CAB"/>
    <w:rsid w:val="00F14ADA"/>
    <w:rsid w:val="00F14B8E"/>
    <w:rsid w:val="00F1578D"/>
    <w:rsid w:val="00F1688C"/>
    <w:rsid w:val="00F20AED"/>
    <w:rsid w:val="00F21DED"/>
    <w:rsid w:val="00F247E7"/>
    <w:rsid w:val="00F25DCE"/>
    <w:rsid w:val="00F26809"/>
    <w:rsid w:val="00F27CCF"/>
    <w:rsid w:val="00F35ED8"/>
    <w:rsid w:val="00F35FE8"/>
    <w:rsid w:val="00F37959"/>
    <w:rsid w:val="00F4034D"/>
    <w:rsid w:val="00F40AA6"/>
    <w:rsid w:val="00F420E4"/>
    <w:rsid w:val="00F42126"/>
    <w:rsid w:val="00F4316D"/>
    <w:rsid w:val="00F44DDA"/>
    <w:rsid w:val="00F465BD"/>
    <w:rsid w:val="00F51ADE"/>
    <w:rsid w:val="00F51D3F"/>
    <w:rsid w:val="00F52DD0"/>
    <w:rsid w:val="00F530ED"/>
    <w:rsid w:val="00F56D33"/>
    <w:rsid w:val="00F56F63"/>
    <w:rsid w:val="00F62EED"/>
    <w:rsid w:val="00F64294"/>
    <w:rsid w:val="00F64449"/>
    <w:rsid w:val="00F6587E"/>
    <w:rsid w:val="00F665C6"/>
    <w:rsid w:val="00F70E5D"/>
    <w:rsid w:val="00F71522"/>
    <w:rsid w:val="00F72C12"/>
    <w:rsid w:val="00F731F9"/>
    <w:rsid w:val="00F800D7"/>
    <w:rsid w:val="00F818F0"/>
    <w:rsid w:val="00F82B01"/>
    <w:rsid w:val="00F8342D"/>
    <w:rsid w:val="00F83ECA"/>
    <w:rsid w:val="00F8413C"/>
    <w:rsid w:val="00F84988"/>
    <w:rsid w:val="00F86B40"/>
    <w:rsid w:val="00F901AD"/>
    <w:rsid w:val="00F928B0"/>
    <w:rsid w:val="00F94B46"/>
    <w:rsid w:val="00F95466"/>
    <w:rsid w:val="00F95A18"/>
    <w:rsid w:val="00F9648F"/>
    <w:rsid w:val="00F96BAE"/>
    <w:rsid w:val="00FA0B18"/>
    <w:rsid w:val="00FA13C1"/>
    <w:rsid w:val="00FA41F1"/>
    <w:rsid w:val="00FA4947"/>
    <w:rsid w:val="00FA4A7E"/>
    <w:rsid w:val="00FA74F8"/>
    <w:rsid w:val="00FA7E73"/>
    <w:rsid w:val="00FA7F8D"/>
    <w:rsid w:val="00FB1C60"/>
    <w:rsid w:val="00FB3EBE"/>
    <w:rsid w:val="00FB6E71"/>
    <w:rsid w:val="00FB7FB9"/>
    <w:rsid w:val="00FC00D6"/>
    <w:rsid w:val="00FC1F1A"/>
    <w:rsid w:val="00FC24D0"/>
    <w:rsid w:val="00FC30D9"/>
    <w:rsid w:val="00FC4D51"/>
    <w:rsid w:val="00FC5E18"/>
    <w:rsid w:val="00FC6F25"/>
    <w:rsid w:val="00FD0AF6"/>
    <w:rsid w:val="00FD2AD9"/>
    <w:rsid w:val="00FD308A"/>
    <w:rsid w:val="00FD5D91"/>
    <w:rsid w:val="00FE21E8"/>
    <w:rsid w:val="00FE6B62"/>
    <w:rsid w:val="00FE761B"/>
    <w:rsid w:val="00FF2039"/>
    <w:rsid w:val="00FF206C"/>
    <w:rsid w:val="00FF3205"/>
    <w:rsid w:val="00FF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293E3"/>
  <w14:defaultImageDpi w14:val="330"/>
  <w15:chartTrackingRefBased/>
  <w15:docId w15:val="{B816C746-0F6E-4724-B1A5-C0783B79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F54"/>
    <w:rPr>
      <w:rFonts w:asciiTheme="majorHAnsi" w:hAnsiTheme="majorHAnsi"/>
      <w:sz w:val="20"/>
    </w:rPr>
  </w:style>
  <w:style w:type="paragraph" w:styleId="Heading1">
    <w:name w:val="heading 1"/>
    <w:basedOn w:val="Normal"/>
    <w:next w:val="Normal"/>
    <w:link w:val="Heading1Char"/>
    <w:autoRedefine/>
    <w:uiPriority w:val="9"/>
    <w:qFormat/>
    <w:rsid w:val="0048432B"/>
    <w:pPr>
      <w:keepNext/>
      <w:keepLines/>
      <w:spacing w:after="120" w:line="240" w:lineRule="auto"/>
      <w:jc w:val="both"/>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7304A1"/>
    <w:pPr>
      <w:keepNext/>
      <w:keepLines/>
      <w:spacing w:after="120" w:line="276" w:lineRule="auto"/>
      <w:outlineLvl w:val="1"/>
    </w:pPr>
    <w:rPr>
      <w:rFonts w:eastAsiaTheme="majorEastAsia" w:cstheme="majorBidi"/>
      <w:szCs w:val="21"/>
    </w:rPr>
  </w:style>
  <w:style w:type="paragraph" w:styleId="Heading3">
    <w:name w:val="heading 3"/>
    <w:basedOn w:val="Normal"/>
    <w:next w:val="Normal"/>
    <w:link w:val="Heading3Char"/>
    <w:uiPriority w:val="9"/>
    <w:unhideWhenUsed/>
    <w:qFormat/>
    <w:rsid w:val="00107E1D"/>
    <w:pPr>
      <w:keepNext/>
      <w:keepLines/>
      <w:spacing w:after="120" w:line="276" w:lineRule="auto"/>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83234"/>
    <w:pPr>
      <w:spacing w:after="120"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E83234"/>
    <w:rPr>
      <w:rFonts w:asciiTheme="majorHAnsi" w:eastAsiaTheme="majorEastAsia" w:hAnsiTheme="majorHAnsi" w:cstheme="majorBidi"/>
      <w:b/>
      <w:spacing w:val="-10"/>
      <w:kern w:val="28"/>
      <w:sz w:val="20"/>
      <w:szCs w:val="56"/>
    </w:rPr>
  </w:style>
  <w:style w:type="character" w:customStyle="1" w:styleId="Heading1Char">
    <w:name w:val="Heading 1 Char"/>
    <w:basedOn w:val="DefaultParagraphFont"/>
    <w:link w:val="Heading1"/>
    <w:uiPriority w:val="9"/>
    <w:rsid w:val="0048432B"/>
    <w:rPr>
      <w:rFonts w:asciiTheme="majorHAnsi" w:eastAsiaTheme="majorEastAsia" w:hAnsiTheme="majorHAnsi" w:cstheme="majorBidi"/>
      <w:b/>
      <w:sz w:val="20"/>
      <w:szCs w:val="32"/>
    </w:rPr>
  </w:style>
  <w:style w:type="character" w:customStyle="1" w:styleId="Heading2Char">
    <w:name w:val="Heading 2 Char"/>
    <w:basedOn w:val="DefaultParagraphFont"/>
    <w:link w:val="Heading2"/>
    <w:uiPriority w:val="9"/>
    <w:rsid w:val="007304A1"/>
    <w:rPr>
      <w:rFonts w:asciiTheme="majorHAnsi" w:eastAsiaTheme="majorEastAsia" w:hAnsiTheme="majorHAnsi" w:cstheme="majorBidi"/>
      <w:sz w:val="20"/>
      <w:szCs w:val="21"/>
    </w:rPr>
  </w:style>
  <w:style w:type="paragraph" w:styleId="ListParagraph">
    <w:name w:val="List Paragraph"/>
    <w:basedOn w:val="Normal"/>
    <w:uiPriority w:val="34"/>
    <w:qFormat/>
    <w:rsid w:val="00D06F9E"/>
    <w:pPr>
      <w:ind w:left="720"/>
      <w:contextualSpacing/>
    </w:pPr>
  </w:style>
  <w:style w:type="character" w:styleId="Hyperlink">
    <w:name w:val="Hyperlink"/>
    <w:basedOn w:val="DefaultParagraphFont"/>
    <w:uiPriority w:val="99"/>
    <w:unhideWhenUsed/>
    <w:rsid w:val="00781481"/>
    <w:rPr>
      <w:color w:val="0563C1" w:themeColor="hyperlink"/>
      <w:u w:val="single"/>
    </w:rPr>
  </w:style>
  <w:style w:type="table" w:styleId="TableGrid">
    <w:name w:val="Table Grid"/>
    <w:basedOn w:val="TableNormal"/>
    <w:uiPriority w:val="39"/>
    <w:rsid w:val="0078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7E1D"/>
    <w:rPr>
      <w:rFonts w:asciiTheme="majorHAnsi" w:eastAsiaTheme="majorEastAsia" w:hAnsiTheme="majorHAnsi" w:cstheme="majorBidi"/>
      <w:i/>
      <w:sz w:val="20"/>
      <w:szCs w:val="24"/>
    </w:rPr>
  </w:style>
  <w:style w:type="character" w:styleId="CommentReference">
    <w:name w:val="annotation reference"/>
    <w:basedOn w:val="DefaultParagraphFont"/>
    <w:uiPriority w:val="99"/>
    <w:semiHidden/>
    <w:unhideWhenUsed/>
    <w:rsid w:val="00674280"/>
    <w:rPr>
      <w:sz w:val="16"/>
      <w:szCs w:val="16"/>
    </w:rPr>
  </w:style>
  <w:style w:type="paragraph" w:styleId="CommentText">
    <w:name w:val="annotation text"/>
    <w:basedOn w:val="Normal"/>
    <w:link w:val="CommentTextChar"/>
    <w:uiPriority w:val="99"/>
    <w:semiHidden/>
    <w:unhideWhenUsed/>
    <w:rsid w:val="00674280"/>
    <w:pPr>
      <w:spacing w:line="240" w:lineRule="auto"/>
    </w:pPr>
    <w:rPr>
      <w:szCs w:val="20"/>
    </w:rPr>
  </w:style>
  <w:style w:type="character" w:customStyle="1" w:styleId="CommentTextChar">
    <w:name w:val="Comment Text Char"/>
    <w:basedOn w:val="DefaultParagraphFont"/>
    <w:link w:val="CommentText"/>
    <w:uiPriority w:val="99"/>
    <w:semiHidden/>
    <w:rsid w:val="00674280"/>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674280"/>
    <w:rPr>
      <w:b/>
      <w:bCs/>
    </w:rPr>
  </w:style>
  <w:style w:type="character" w:customStyle="1" w:styleId="CommentSubjectChar">
    <w:name w:val="Comment Subject Char"/>
    <w:basedOn w:val="CommentTextChar"/>
    <w:link w:val="CommentSubject"/>
    <w:uiPriority w:val="99"/>
    <w:semiHidden/>
    <w:rsid w:val="00674280"/>
    <w:rPr>
      <w:rFonts w:asciiTheme="majorHAnsi" w:hAnsiTheme="majorHAnsi"/>
      <w:b/>
      <w:bCs/>
      <w:sz w:val="20"/>
      <w:szCs w:val="20"/>
    </w:rPr>
  </w:style>
  <w:style w:type="paragraph" w:styleId="BalloonText">
    <w:name w:val="Balloon Text"/>
    <w:basedOn w:val="Normal"/>
    <w:link w:val="BalloonTextChar"/>
    <w:uiPriority w:val="99"/>
    <w:semiHidden/>
    <w:unhideWhenUsed/>
    <w:rsid w:val="006742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280"/>
    <w:rPr>
      <w:rFonts w:ascii="Segoe UI" w:hAnsi="Segoe UI" w:cs="Segoe UI"/>
      <w:sz w:val="18"/>
      <w:szCs w:val="18"/>
    </w:rPr>
  </w:style>
  <w:style w:type="character" w:styleId="LineNumber">
    <w:name w:val="line number"/>
    <w:basedOn w:val="DefaultParagraphFont"/>
    <w:uiPriority w:val="99"/>
    <w:semiHidden/>
    <w:unhideWhenUsed/>
    <w:rsid w:val="005A5CB2"/>
  </w:style>
  <w:style w:type="paragraph" w:styleId="Header">
    <w:name w:val="header"/>
    <w:basedOn w:val="Normal"/>
    <w:link w:val="HeaderChar"/>
    <w:uiPriority w:val="99"/>
    <w:unhideWhenUsed/>
    <w:rsid w:val="00864B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864B56"/>
    <w:rPr>
      <w:rFonts w:asciiTheme="majorHAnsi" w:hAnsiTheme="majorHAnsi"/>
      <w:sz w:val="20"/>
    </w:rPr>
  </w:style>
  <w:style w:type="paragraph" w:styleId="Footer">
    <w:name w:val="footer"/>
    <w:basedOn w:val="Normal"/>
    <w:link w:val="FooterChar"/>
    <w:uiPriority w:val="99"/>
    <w:unhideWhenUsed/>
    <w:rsid w:val="00864B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864B56"/>
    <w:rPr>
      <w:rFonts w:asciiTheme="majorHAnsi" w:hAnsiTheme="majorHAnsi"/>
      <w:sz w:val="20"/>
    </w:rPr>
  </w:style>
  <w:style w:type="paragraph" w:styleId="Revision">
    <w:name w:val="Revision"/>
    <w:hidden/>
    <w:uiPriority w:val="99"/>
    <w:semiHidden/>
    <w:rsid w:val="00025EA7"/>
    <w:pPr>
      <w:spacing w:after="0" w:line="240" w:lineRule="auto"/>
    </w:pPr>
    <w:rPr>
      <w:rFonts w:asciiTheme="majorHAnsi" w:hAnsiTheme="majorHAnsi"/>
      <w:sz w:val="20"/>
    </w:rPr>
  </w:style>
  <w:style w:type="paragraph" w:styleId="TOCHeading">
    <w:name w:val="TOC Heading"/>
    <w:basedOn w:val="Heading1"/>
    <w:next w:val="Normal"/>
    <w:uiPriority w:val="39"/>
    <w:unhideWhenUsed/>
    <w:qFormat/>
    <w:rsid w:val="00702E95"/>
    <w:pPr>
      <w:spacing w:before="240" w:after="0" w:line="259" w:lineRule="auto"/>
      <w:jc w:val="left"/>
      <w:outlineLvl w:val="9"/>
    </w:pPr>
    <w:rPr>
      <w:b w:val="0"/>
      <w:color w:val="2E74B5" w:themeColor="accent1" w:themeShade="BF"/>
      <w:sz w:val="32"/>
    </w:rPr>
  </w:style>
  <w:style w:type="paragraph" w:styleId="TOC1">
    <w:name w:val="toc 1"/>
    <w:basedOn w:val="Normal"/>
    <w:next w:val="Normal"/>
    <w:autoRedefine/>
    <w:uiPriority w:val="39"/>
    <w:unhideWhenUsed/>
    <w:rsid w:val="00702E95"/>
    <w:pPr>
      <w:spacing w:after="100"/>
    </w:pPr>
  </w:style>
  <w:style w:type="paragraph" w:styleId="TOC2">
    <w:name w:val="toc 2"/>
    <w:basedOn w:val="Normal"/>
    <w:next w:val="Normal"/>
    <w:autoRedefine/>
    <w:uiPriority w:val="39"/>
    <w:unhideWhenUsed/>
    <w:rsid w:val="00702E95"/>
    <w:pPr>
      <w:spacing w:after="100"/>
      <w:ind w:left="200"/>
    </w:pPr>
  </w:style>
  <w:style w:type="paragraph" w:styleId="TOC3">
    <w:name w:val="toc 3"/>
    <w:basedOn w:val="Normal"/>
    <w:next w:val="Normal"/>
    <w:autoRedefine/>
    <w:uiPriority w:val="39"/>
    <w:unhideWhenUsed/>
    <w:rsid w:val="00702E95"/>
    <w:pPr>
      <w:spacing w:after="100"/>
      <w:ind w:left="400"/>
    </w:pPr>
  </w:style>
  <w:style w:type="character" w:styleId="Strong">
    <w:name w:val="Strong"/>
    <w:basedOn w:val="DefaultParagraphFont"/>
    <w:uiPriority w:val="22"/>
    <w:qFormat/>
    <w:rsid w:val="00086665"/>
    <w:rPr>
      <w:b/>
      <w:bCs/>
    </w:rPr>
  </w:style>
  <w:style w:type="paragraph" w:styleId="Caption">
    <w:name w:val="caption"/>
    <w:basedOn w:val="Normal"/>
    <w:next w:val="Normal"/>
    <w:uiPriority w:val="35"/>
    <w:unhideWhenUsed/>
    <w:qFormat/>
    <w:rsid w:val="007B19E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3654"/>
    <w:rPr>
      <w:color w:val="954F72" w:themeColor="followedHyperlink"/>
      <w:u w:val="single"/>
    </w:rPr>
  </w:style>
  <w:style w:type="character" w:styleId="PlaceholderText">
    <w:name w:val="Placeholder Text"/>
    <w:basedOn w:val="DefaultParagraphFont"/>
    <w:uiPriority w:val="99"/>
    <w:semiHidden/>
    <w:rsid w:val="00037A5C"/>
    <w:rPr>
      <w:color w:val="808080"/>
    </w:rPr>
  </w:style>
  <w:style w:type="paragraph" w:styleId="FootnoteText">
    <w:name w:val="footnote text"/>
    <w:basedOn w:val="Normal"/>
    <w:link w:val="FootnoteTextChar"/>
    <w:uiPriority w:val="99"/>
    <w:semiHidden/>
    <w:unhideWhenUsed/>
    <w:rsid w:val="006C59BB"/>
    <w:pPr>
      <w:spacing w:after="0" w:line="240" w:lineRule="auto"/>
    </w:pPr>
    <w:rPr>
      <w:szCs w:val="20"/>
    </w:rPr>
  </w:style>
  <w:style w:type="character" w:customStyle="1" w:styleId="FootnoteTextChar">
    <w:name w:val="Footnote Text Char"/>
    <w:basedOn w:val="DefaultParagraphFont"/>
    <w:link w:val="FootnoteText"/>
    <w:uiPriority w:val="99"/>
    <w:semiHidden/>
    <w:rsid w:val="006C59BB"/>
    <w:rPr>
      <w:rFonts w:asciiTheme="majorHAnsi" w:hAnsiTheme="majorHAnsi"/>
      <w:sz w:val="20"/>
      <w:szCs w:val="20"/>
    </w:rPr>
  </w:style>
  <w:style w:type="character" w:styleId="FootnoteReference">
    <w:name w:val="footnote reference"/>
    <w:basedOn w:val="DefaultParagraphFont"/>
    <w:uiPriority w:val="99"/>
    <w:semiHidden/>
    <w:unhideWhenUsed/>
    <w:rsid w:val="006C59BB"/>
    <w:rPr>
      <w:vertAlign w:val="superscript"/>
    </w:rPr>
  </w:style>
  <w:style w:type="paragraph" w:styleId="EndnoteText">
    <w:name w:val="endnote text"/>
    <w:basedOn w:val="Normal"/>
    <w:link w:val="EndnoteTextChar"/>
    <w:uiPriority w:val="99"/>
    <w:semiHidden/>
    <w:unhideWhenUsed/>
    <w:rsid w:val="009009A9"/>
    <w:pPr>
      <w:spacing w:after="0" w:line="240" w:lineRule="auto"/>
    </w:pPr>
    <w:rPr>
      <w:szCs w:val="20"/>
    </w:rPr>
  </w:style>
  <w:style w:type="character" w:customStyle="1" w:styleId="EndnoteTextChar">
    <w:name w:val="Endnote Text Char"/>
    <w:basedOn w:val="DefaultParagraphFont"/>
    <w:link w:val="EndnoteText"/>
    <w:uiPriority w:val="99"/>
    <w:semiHidden/>
    <w:rsid w:val="009009A9"/>
    <w:rPr>
      <w:rFonts w:asciiTheme="majorHAnsi" w:hAnsiTheme="majorHAnsi"/>
      <w:sz w:val="20"/>
      <w:szCs w:val="20"/>
    </w:rPr>
  </w:style>
  <w:style w:type="character" w:styleId="EndnoteReference">
    <w:name w:val="endnote reference"/>
    <w:basedOn w:val="DefaultParagraphFont"/>
    <w:uiPriority w:val="99"/>
    <w:semiHidden/>
    <w:unhideWhenUsed/>
    <w:rsid w:val="009009A9"/>
    <w:rPr>
      <w:vertAlign w:val="superscript"/>
    </w:rPr>
  </w:style>
  <w:style w:type="table" w:customStyle="1" w:styleId="TableGrid1">
    <w:name w:val="Table Grid1"/>
    <w:basedOn w:val="TableNormal"/>
    <w:next w:val="TableGrid"/>
    <w:uiPriority w:val="39"/>
    <w:rsid w:val="008C7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6826">
      <w:bodyDiv w:val="1"/>
      <w:marLeft w:val="0"/>
      <w:marRight w:val="0"/>
      <w:marTop w:val="0"/>
      <w:marBottom w:val="0"/>
      <w:divBdr>
        <w:top w:val="none" w:sz="0" w:space="0" w:color="auto"/>
        <w:left w:val="none" w:sz="0" w:space="0" w:color="auto"/>
        <w:bottom w:val="none" w:sz="0" w:space="0" w:color="auto"/>
        <w:right w:val="none" w:sz="0" w:space="0" w:color="auto"/>
      </w:divBdr>
      <w:divsChild>
        <w:div w:id="2052411484">
          <w:marLeft w:val="0"/>
          <w:marRight w:val="0"/>
          <w:marTop w:val="0"/>
          <w:marBottom w:val="0"/>
          <w:divBdr>
            <w:top w:val="none" w:sz="0" w:space="0" w:color="auto"/>
            <w:left w:val="none" w:sz="0" w:space="0" w:color="auto"/>
            <w:bottom w:val="none" w:sz="0" w:space="0" w:color="auto"/>
            <w:right w:val="none" w:sz="0" w:space="0" w:color="auto"/>
          </w:divBdr>
        </w:div>
      </w:divsChild>
    </w:div>
    <w:div w:id="266473576">
      <w:bodyDiv w:val="1"/>
      <w:marLeft w:val="0"/>
      <w:marRight w:val="0"/>
      <w:marTop w:val="0"/>
      <w:marBottom w:val="0"/>
      <w:divBdr>
        <w:top w:val="none" w:sz="0" w:space="0" w:color="auto"/>
        <w:left w:val="none" w:sz="0" w:space="0" w:color="auto"/>
        <w:bottom w:val="none" w:sz="0" w:space="0" w:color="auto"/>
        <w:right w:val="none" w:sz="0" w:space="0" w:color="auto"/>
      </w:divBdr>
    </w:div>
    <w:div w:id="559903758">
      <w:bodyDiv w:val="1"/>
      <w:marLeft w:val="0"/>
      <w:marRight w:val="0"/>
      <w:marTop w:val="0"/>
      <w:marBottom w:val="0"/>
      <w:divBdr>
        <w:top w:val="none" w:sz="0" w:space="0" w:color="auto"/>
        <w:left w:val="none" w:sz="0" w:space="0" w:color="auto"/>
        <w:bottom w:val="none" w:sz="0" w:space="0" w:color="auto"/>
        <w:right w:val="none" w:sz="0" w:space="0" w:color="auto"/>
      </w:divBdr>
    </w:div>
    <w:div w:id="850684420">
      <w:bodyDiv w:val="1"/>
      <w:marLeft w:val="0"/>
      <w:marRight w:val="0"/>
      <w:marTop w:val="0"/>
      <w:marBottom w:val="0"/>
      <w:divBdr>
        <w:top w:val="none" w:sz="0" w:space="0" w:color="auto"/>
        <w:left w:val="none" w:sz="0" w:space="0" w:color="auto"/>
        <w:bottom w:val="none" w:sz="0" w:space="0" w:color="auto"/>
        <w:right w:val="none" w:sz="0" w:space="0" w:color="auto"/>
      </w:divBdr>
    </w:div>
    <w:div w:id="1197280493">
      <w:bodyDiv w:val="1"/>
      <w:marLeft w:val="0"/>
      <w:marRight w:val="0"/>
      <w:marTop w:val="0"/>
      <w:marBottom w:val="0"/>
      <w:divBdr>
        <w:top w:val="none" w:sz="0" w:space="0" w:color="auto"/>
        <w:left w:val="none" w:sz="0" w:space="0" w:color="auto"/>
        <w:bottom w:val="none" w:sz="0" w:space="0" w:color="auto"/>
        <w:right w:val="none" w:sz="0" w:space="0" w:color="auto"/>
      </w:divBdr>
    </w:div>
    <w:div w:id="1303849070">
      <w:bodyDiv w:val="1"/>
      <w:marLeft w:val="0"/>
      <w:marRight w:val="0"/>
      <w:marTop w:val="0"/>
      <w:marBottom w:val="0"/>
      <w:divBdr>
        <w:top w:val="none" w:sz="0" w:space="0" w:color="auto"/>
        <w:left w:val="none" w:sz="0" w:space="0" w:color="auto"/>
        <w:bottom w:val="none" w:sz="0" w:space="0" w:color="auto"/>
        <w:right w:val="none" w:sz="0" w:space="0" w:color="auto"/>
      </w:divBdr>
    </w:div>
    <w:div w:id="1400709430">
      <w:bodyDiv w:val="1"/>
      <w:marLeft w:val="0"/>
      <w:marRight w:val="0"/>
      <w:marTop w:val="0"/>
      <w:marBottom w:val="0"/>
      <w:divBdr>
        <w:top w:val="none" w:sz="0" w:space="0" w:color="auto"/>
        <w:left w:val="none" w:sz="0" w:space="0" w:color="auto"/>
        <w:bottom w:val="none" w:sz="0" w:space="0" w:color="auto"/>
        <w:right w:val="none" w:sz="0" w:space="0" w:color="auto"/>
      </w:divBdr>
    </w:div>
    <w:div w:id="1703821965">
      <w:bodyDiv w:val="1"/>
      <w:marLeft w:val="0"/>
      <w:marRight w:val="0"/>
      <w:marTop w:val="0"/>
      <w:marBottom w:val="0"/>
      <w:divBdr>
        <w:top w:val="none" w:sz="0" w:space="0" w:color="auto"/>
        <w:left w:val="none" w:sz="0" w:space="0" w:color="auto"/>
        <w:bottom w:val="none" w:sz="0" w:space="0" w:color="auto"/>
        <w:right w:val="none" w:sz="0" w:space="0" w:color="auto"/>
      </w:divBdr>
    </w:div>
    <w:div w:id="1717658302">
      <w:bodyDiv w:val="1"/>
      <w:marLeft w:val="0"/>
      <w:marRight w:val="0"/>
      <w:marTop w:val="0"/>
      <w:marBottom w:val="0"/>
      <w:divBdr>
        <w:top w:val="none" w:sz="0" w:space="0" w:color="auto"/>
        <w:left w:val="none" w:sz="0" w:space="0" w:color="auto"/>
        <w:bottom w:val="none" w:sz="0" w:space="0" w:color="auto"/>
        <w:right w:val="none" w:sz="0" w:space="0" w:color="auto"/>
      </w:divBdr>
    </w:div>
    <w:div w:id="2000501161">
      <w:bodyDiv w:val="1"/>
      <w:marLeft w:val="0"/>
      <w:marRight w:val="0"/>
      <w:marTop w:val="0"/>
      <w:marBottom w:val="0"/>
      <w:divBdr>
        <w:top w:val="none" w:sz="0" w:space="0" w:color="auto"/>
        <w:left w:val="none" w:sz="0" w:space="0" w:color="auto"/>
        <w:bottom w:val="none" w:sz="0" w:space="0" w:color="auto"/>
        <w:right w:val="none" w:sz="0" w:space="0" w:color="auto"/>
      </w:divBdr>
    </w:div>
    <w:div w:id="20693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cambioscop.cnrs.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14A86-81E5-4C8A-8C3C-A4920B92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23</Pages>
  <Words>52920</Words>
  <Characters>301647</Characters>
  <Application>Microsoft Office Word</Application>
  <DocSecurity>0</DocSecurity>
  <Lines>2513</Lines>
  <Paragraphs>707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Insa de Toulouse</Company>
  <LinksUpToDate>false</LinksUpToDate>
  <CharactersWithSpaces>353860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Shivesh Kishore Karan</dc:creator>
  <cp:keywords/>
  <dc:description/>
  <cp:lastModifiedBy>Shivesh Kishore Karan</cp:lastModifiedBy>
  <cp:revision>62</cp:revision>
  <dcterms:created xsi:type="dcterms:W3CDTF">2019-12-17T23:01:00Z</dcterms:created>
  <dcterms:modified xsi:type="dcterms:W3CDTF">2020-02-24T18:50:00Z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e0121800-774d-396c-a388-8f7ac654c752</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