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41A72" w14:textId="780EBA28" w:rsidR="00E70BAB" w:rsidRPr="004C7410" w:rsidRDefault="001A2505" w:rsidP="00F4216D">
      <w:pPr>
        <w:pStyle w:val="Heading1"/>
      </w:pPr>
      <w:bookmarkStart w:id="0" w:name="_Hlk505280040"/>
      <w:r w:rsidRPr="004C7410">
        <w:t>Wood Jam Dynamics</w:t>
      </w:r>
      <w:r w:rsidR="00653BB9" w:rsidRPr="004C7410">
        <w:t xml:space="preserve"> Database and Assessment Model (WooDDAM)</w:t>
      </w:r>
      <w:r w:rsidR="00C64A1D" w:rsidRPr="004C7410">
        <w:t xml:space="preserve">: A </w:t>
      </w:r>
      <w:r w:rsidR="00E70BAB" w:rsidRPr="004C7410">
        <w:t>Monitoring Protocol</w:t>
      </w:r>
      <w:r w:rsidR="00C64A1D" w:rsidRPr="004C7410">
        <w:t xml:space="preserve"> </w:t>
      </w:r>
      <w:r w:rsidR="00772630" w:rsidRPr="004C7410">
        <w:t>for</w:t>
      </w:r>
      <w:r w:rsidR="00C64A1D" w:rsidRPr="004C7410">
        <w:t xml:space="preserve"> an Evolving</w:t>
      </w:r>
      <w:r w:rsidRPr="004C7410">
        <w:t>, Public</w:t>
      </w:r>
      <w:r w:rsidR="00C64A1D" w:rsidRPr="004C7410">
        <w:t xml:space="preserve"> Database and </w:t>
      </w:r>
      <w:r w:rsidR="00274855" w:rsidRPr="004C7410">
        <w:t xml:space="preserve">Predictive </w:t>
      </w:r>
      <w:r w:rsidR="00C64A1D" w:rsidRPr="004C7410">
        <w:t>Model</w:t>
      </w:r>
      <w:r w:rsidR="00E70BAB" w:rsidRPr="004C7410">
        <w:t xml:space="preserve"> </w:t>
      </w:r>
    </w:p>
    <w:p w14:paraId="6808923B" w14:textId="2B75D04C" w:rsidR="00C76406" w:rsidRPr="004C7410" w:rsidRDefault="00C76406" w:rsidP="00C76406">
      <w:r w:rsidRPr="004C7410">
        <w:t>Running Title: Wood Jam Dynamics Database and Assessment Model (WooDDAM)</w:t>
      </w:r>
    </w:p>
    <w:bookmarkEnd w:id="0"/>
    <w:p w14:paraId="07C78FCA" w14:textId="77777777" w:rsidR="00A5594D" w:rsidRPr="004C7410" w:rsidRDefault="00A5594D" w:rsidP="00F4216D">
      <w:pPr>
        <w:spacing w:line="480" w:lineRule="auto"/>
      </w:pPr>
    </w:p>
    <w:p w14:paraId="0DE3DBFA" w14:textId="7C450985" w:rsidR="00C64A1D" w:rsidRPr="004C7410" w:rsidRDefault="00C64A1D" w:rsidP="00F4216D">
      <w:pPr>
        <w:spacing w:line="480" w:lineRule="auto"/>
        <w:rPr>
          <w:vertAlign w:val="superscript"/>
        </w:rPr>
      </w:pPr>
      <w:r w:rsidRPr="004C7410">
        <w:t>Daniel N. Scott</w:t>
      </w:r>
      <w:r w:rsidRPr="004C7410">
        <w:rPr>
          <w:vertAlign w:val="superscript"/>
        </w:rPr>
        <w:t>1*</w:t>
      </w:r>
      <w:r w:rsidRPr="004C7410">
        <w:t>, Ellen Wohl</w:t>
      </w:r>
      <w:r w:rsidR="005656A4" w:rsidRPr="004C7410">
        <w:rPr>
          <w:vertAlign w:val="superscript"/>
        </w:rPr>
        <w:t>2</w:t>
      </w:r>
      <w:r w:rsidR="00BF1B14" w:rsidRPr="004C7410">
        <w:t>, Steven E. Yochum</w:t>
      </w:r>
      <w:r w:rsidR="005656A4" w:rsidRPr="004C7410">
        <w:rPr>
          <w:vertAlign w:val="superscript"/>
        </w:rPr>
        <w:t>3</w:t>
      </w:r>
    </w:p>
    <w:p w14:paraId="797AC402" w14:textId="77777777" w:rsidR="00A5594D" w:rsidRPr="004C7410" w:rsidRDefault="00A5594D" w:rsidP="00F4216D">
      <w:pPr>
        <w:spacing w:line="480" w:lineRule="auto"/>
      </w:pPr>
    </w:p>
    <w:p w14:paraId="75BE77C9" w14:textId="0F9561BE" w:rsidR="00C64A1D" w:rsidRPr="004C7410" w:rsidRDefault="00C64A1D" w:rsidP="00F4216D">
      <w:pPr>
        <w:spacing w:line="480" w:lineRule="auto"/>
      </w:pPr>
      <w:r w:rsidRPr="004C7410">
        <w:rPr>
          <w:vertAlign w:val="superscript"/>
        </w:rPr>
        <w:t>1</w:t>
      </w:r>
      <w:r w:rsidRPr="004C7410">
        <w:t xml:space="preserve"> </w:t>
      </w:r>
      <w:r w:rsidR="005656A4" w:rsidRPr="004C7410">
        <w:t>University of Washington, Department of Each and Space Sciences, Seattle, WA, USA</w:t>
      </w:r>
    </w:p>
    <w:p w14:paraId="27064BFD" w14:textId="2D97170A" w:rsidR="004C7FFC" w:rsidRPr="004C7410" w:rsidRDefault="00BF1B14" w:rsidP="00F4216D">
      <w:pPr>
        <w:spacing w:line="480" w:lineRule="auto"/>
      </w:pPr>
      <w:r w:rsidRPr="004C7410">
        <w:rPr>
          <w:vertAlign w:val="superscript"/>
        </w:rPr>
        <w:t>2</w:t>
      </w:r>
      <w:r w:rsidR="004C7FFC" w:rsidRPr="004C7410">
        <w:t xml:space="preserve"> </w:t>
      </w:r>
      <w:r w:rsidR="005656A4" w:rsidRPr="004C7410">
        <w:t>Colorado State University, Department of Geosciences, Fort Collins, CO, USA</w:t>
      </w:r>
    </w:p>
    <w:p w14:paraId="778A36C5" w14:textId="22DD9AE5" w:rsidR="005656A4" w:rsidRPr="004C7410" w:rsidRDefault="005656A4" w:rsidP="005656A4">
      <w:pPr>
        <w:spacing w:line="480" w:lineRule="auto"/>
      </w:pPr>
      <w:r w:rsidRPr="004C7410">
        <w:rPr>
          <w:vertAlign w:val="superscript"/>
        </w:rPr>
        <w:t xml:space="preserve">3 </w:t>
      </w:r>
      <w:r w:rsidRPr="004C7410">
        <w:t>U.S. Forest Service, National Stream and Aquatic Ecology Center, Fort Collins, CO, USA</w:t>
      </w:r>
    </w:p>
    <w:p w14:paraId="379DE707" w14:textId="00D233EB" w:rsidR="00C64A1D" w:rsidRDefault="00C64A1D" w:rsidP="00FC33B9">
      <w:pPr>
        <w:spacing w:line="480" w:lineRule="auto"/>
      </w:pPr>
      <w:r w:rsidRPr="004C7410">
        <w:t xml:space="preserve">* Corresponding author: </w:t>
      </w:r>
      <w:r w:rsidR="00FC33B9" w:rsidRPr="004C7410">
        <w:t xml:space="preserve">Daniel N. Scott, </w:t>
      </w:r>
      <w:hyperlink r:id="rId8" w:history="1">
        <w:r w:rsidR="005642A0" w:rsidRPr="00651EBD">
          <w:rPr>
            <w:rStyle w:val="Hyperlink"/>
          </w:rPr>
          <w:t>scott93@uw.edu</w:t>
        </w:r>
      </w:hyperlink>
    </w:p>
    <w:p w14:paraId="7F530527" w14:textId="77777777" w:rsidR="005642A0" w:rsidRDefault="005642A0" w:rsidP="005642A0">
      <w:pPr>
        <w:spacing w:line="480" w:lineRule="auto"/>
      </w:pPr>
    </w:p>
    <w:p w14:paraId="2EF9AB22" w14:textId="146A52CB" w:rsidR="005642A0" w:rsidRDefault="005642A0" w:rsidP="005642A0">
      <w:pPr>
        <w:pBdr>
          <w:top w:val="single" w:sz="6" w:space="1" w:color="auto"/>
          <w:bottom w:val="single" w:sz="6" w:space="1" w:color="auto"/>
        </w:pBdr>
        <w:spacing w:line="480" w:lineRule="auto"/>
      </w:pPr>
      <w:r>
        <w:t xml:space="preserve">This manuscript </w:t>
      </w:r>
      <w:proofErr w:type="gramStart"/>
      <w:r>
        <w:t xml:space="preserve">is </w:t>
      </w:r>
      <w:r w:rsidR="005B7DFA">
        <w:t>published</w:t>
      </w:r>
      <w:proofErr w:type="gramEnd"/>
      <w:r>
        <w:t xml:space="preserve"> in </w:t>
      </w:r>
      <w:r>
        <w:rPr>
          <w:i/>
        </w:rPr>
        <w:t>River Research and Applications</w:t>
      </w:r>
      <w:r>
        <w:t>. This version of the manuscript represents a non-peer reviewed initial submission</w:t>
      </w:r>
      <w:bookmarkStart w:id="1" w:name="_GoBack"/>
      <w:bookmarkEnd w:id="1"/>
      <w:r>
        <w:t xml:space="preserve">. Subsequent versions of the manuscript may have different content. </w:t>
      </w:r>
      <w:r w:rsidR="005B7DFA">
        <w:t xml:space="preserve">The </w:t>
      </w:r>
      <w:proofErr w:type="gramStart"/>
      <w:r w:rsidR="005B7DFA">
        <w:t>final version</w:t>
      </w:r>
      <w:proofErr w:type="gramEnd"/>
      <w:r>
        <w:t xml:space="preserve"> of this manuscript </w:t>
      </w:r>
      <w:r w:rsidR="005B7DFA">
        <w:t>is</w:t>
      </w:r>
      <w:r>
        <w:t xml:space="preserve"> be available via the “Peer-reviewed Publication DOI” link on this webpage.</w:t>
      </w:r>
      <w:r w:rsidR="005B7DFA">
        <w:t xml:space="preserve"> If you do not have access to the published version and would like a copy, please email Dan Scott (</w:t>
      </w:r>
      <w:hyperlink r:id="rId9" w:history="1">
        <w:r w:rsidR="005B7DFA" w:rsidRPr="00EF3041">
          <w:rPr>
            <w:rStyle w:val="Hyperlink"/>
          </w:rPr>
          <w:t>scott93@uw.edu</w:t>
        </w:r>
      </w:hyperlink>
      <w:r w:rsidR="005B7DFA">
        <w:t>).</w:t>
      </w:r>
      <w:r>
        <w:t xml:space="preserve"> </w:t>
      </w:r>
    </w:p>
    <w:p w14:paraId="3B270042" w14:textId="77777777" w:rsidR="005642A0" w:rsidRDefault="005642A0" w:rsidP="005642A0">
      <w:pPr>
        <w:spacing w:line="480" w:lineRule="auto"/>
      </w:pPr>
    </w:p>
    <w:p w14:paraId="6DE5112C" w14:textId="6241B3B3" w:rsidR="00FC33B9" w:rsidRPr="004C7410" w:rsidRDefault="005642A0" w:rsidP="005642A0">
      <w:pPr>
        <w:pStyle w:val="Heading1"/>
      </w:pPr>
      <w:r w:rsidRPr="004C7410">
        <w:t xml:space="preserve"> </w:t>
      </w:r>
      <w:r w:rsidR="00FC33B9" w:rsidRPr="004C7410">
        <w:t>Acknowledgements</w:t>
      </w:r>
    </w:p>
    <w:p w14:paraId="3FB4C146" w14:textId="0AFED017" w:rsidR="00A5594D" w:rsidRPr="004C7410" w:rsidRDefault="00FC33B9" w:rsidP="00F4216D">
      <w:pPr>
        <w:spacing w:line="480" w:lineRule="auto"/>
      </w:pPr>
      <w:r w:rsidRPr="004C7410">
        <w:tab/>
        <w:t xml:space="preserve">We received funding for this project from the U.S. Forest Service National Stream Aquatic Ecology Center and the Colorado Water Institute. We thank Natalie Kramer and Ellen Daugherty for thoughtful discussions that helped shape the ideas and methods presented here. Additionally, we thank Ellen Daugherty for extensive assistance in the field and Mike Vogler, Shannon Weld, Michaela Snow, </w:t>
      </w:r>
      <w:r w:rsidRPr="004C7410">
        <w:lastRenderedPageBreak/>
        <w:t xml:space="preserve">and Breanna Van for field assistance in refining the measurement protocol. Data supporting this manuscript can </w:t>
      </w:r>
      <w:proofErr w:type="gramStart"/>
      <w:r w:rsidRPr="004C7410">
        <w:t>be found</w:t>
      </w:r>
      <w:proofErr w:type="gramEnd"/>
      <w:r w:rsidRPr="004C7410">
        <w:t xml:space="preserve"> on the website that hosts WooDDAM (sites.warnercnr.colostate.edu/</w:t>
      </w:r>
      <w:proofErr w:type="spellStart"/>
      <w:r w:rsidRPr="004C7410">
        <w:t>woodjam</w:t>
      </w:r>
      <w:proofErr w:type="spellEnd"/>
      <w:r w:rsidRPr="004C7410">
        <w:t>)</w:t>
      </w:r>
      <w:r w:rsidR="00F726DE" w:rsidRPr="004C7410">
        <w:t xml:space="preserve"> and the USFS website for this tool (https://www.fs.fed.us/biology/nsaec/products-tools.html#tools-woodjamdynamics)</w:t>
      </w:r>
      <w:r w:rsidRPr="004C7410">
        <w:t>.</w:t>
      </w:r>
      <w:r w:rsidRPr="004C7410">
        <w:br w:type="page"/>
      </w:r>
    </w:p>
    <w:p w14:paraId="14676A15" w14:textId="77777777" w:rsidR="00C032A3" w:rsidRPr="004C7410" w:rsidRDefault="00C032A3" w:rsidP="00F4216D">
      <w:pPr>
        <w:pStyle w:val="Heading1"/>
      </w:pPr>
      <w:r w:rsidRPr="004C7410">
        <w:lastRenderedPageBreak/>
        <w:t>Abstract</w:t>
      </w:r>
    </w:p>
    <w:p w14:paraId="5E5D5E53" w14:textId="6273D27E" w:rsidR="00C82124" w:rsidRPr="004C7410" w:rsidRDefault="00C82124" w:rsidP="00F4216D">
      <w:pPr>
        <w:spacing w:line="480" w:lineRule="auto"/>
      </w:pPr>
      <w:r w:rsidRPr="004C7410">
        <w:tab/>
        <w:t>Wood jams in rivers and on floodplains play an essential</w:t>
      </w:r>
      <w:r w:rsidR="00B117D0" w:rsidRPr="004C7410">
        <w:t xml:space="preserve"> role in shaping valley bottoms</w:t>
      </w:r>
      <w:r w:rsidR="001D393A" w:rsidRPr="004C7410">
        <w:t xml:space="preserve">, and their dynamics regulate the ecology and morphology of river systems. </w:t>
      </w:r>
      <w:r w:rsidR="00F07839" w:rsidRPr="004C7410">
        <w:t>We present the Wood Jam Dynamics Database and Assessment Model (WooDDAM)</w:t>
      </w:r>
      <w:r w:rsidR="00B2752F" w:rsidRPr="004C7410">
        <w:t xml:space="preserve"> to improve understanding and management of natural and anthropogenic wood jams i</w:t>
      </w:r>
      <w:r w:rsidR="006C055D" w:rsidRPr="004C7410">
        <w:t>n rivers</w:t>
      </w:r>
      <w:r w:rsidR="00F07839" w:rsidRPr="004C7410">
        <w:t xml:space="preserve">. </w:t>
      </w:r>
      <w:r w:rsidR="00B60D1C" w:rsidRPr="004C7410">
        <w:t>WooDDAM</w:t>
      </w:r>
      <w:r w:rsidR="00B2752F" w:rsidRPr="004C7410">
        <w:t xml:space="preserve"> </w:t>
      </w:r>
      <w:r w:rsidR="00B60D1C" w:rsidRPr="004C7410">
        <w:t>is comprised of</w:t>
      </w:r>
      <w:r w:rsidR="00B2752F" w:rsidRPr="004C7410">
        <w:t xml:space="preserve"> a field data collection protocol, </w:t>
      </w:r>
      <w:r w:rsidR="00B60D1C" w:rsidRPr="004C7410">
        <w:t>an open database of wood jam characteristics and dynamics, machine learning</w:t>
      </w:r>
      <w:r w:rsidR="00B2752F" w:rsidRPr="004C7410">
        <w:t xml:space="preserve"> statistical model</w:t>
      </w:r>
      <w:r w:rsidR="00B60D1C" w:rsidRPr="004C7410">
        <w:t>s for predicting wood jam dynamics during high flows</w:t>
      </w:r>
      <w:r w:rsidR="00B2752F" w:rsidRPr="004C7410">
        <w:t>, and an online user interface to facilitate collaborative data collection</w:t>
      </w:r>
      <w:r w:rsidR="00B60D1C" w:rsidRPr="004C7410">
        <w:t xml:space="preserve"> and use</w:t>
      </w:r>
      <w:r w:rsidR="00B2752F" w:rsidRPr="004C7410">
        <w:t xml:space="preserve">. </w:t>
      </w:r>
      <w:r w:rsidR="00B60D1C" w:rsidRPr="004C7410">
        <w:t>Here, we provide the</w:t>
      </w:r>
      <w:r w:rsidR="00DD02BB" w:rsidRPr="004C7410">
        <w:t xml:space="preserve"> background and guidance necessary to utilize WooDDAM to make predictions of </w:t>
      </w:r>
      <w:r w:rsidR="0008379F" w:rsidRPr="004C7410">
        <w:t xml:space="preserve">and </w:t>
      </w:r>
      <w:r w:rsidR="00DD02BB" w:rsidRPr="004C7410">
        <w:t>contribute to the database</w:t>
      </w:r>
      <w:r w:rsidR="006C055D" w:rsidRPr="004C7410">
        <w:t xml:space="preserve"> describing wood jam dynamics</w:t>
      </w:r>
      <w:r w:rsidR="00DD02BB" w:rsidRPr="004C7410">
        <w:t xml:space="preserve">. </w:t>
      </w:r>
      <w:r w:rsidR="00F07839" w:rsidRPr="004C7410">
        <w:t xml:space="preserve">We present </w:t>
      </w:r>
      <w:r w:rsidR="00DD02BB" w:rsidRPr="004C7410">
        <w:t xml:space="preserve">tests of </w:t>
      </w:r>
      <w:proofErr w:type="spellStart"/>
      <w:r w:rsidR="00DD02BB" w:rsidRPr="004C7410">
        <w:t>interoperator</w:t>
      </w:r>
      <w:proofErr w:type="spellEnd"/>
      <w:r w:rsidR="00DD02BB" w:rsidRPr="004C7410">
        <w:t xml:space="preserve"> variability </w:t>
      </w:r>
      <w:r w:rsidR="00F81C84" w:rsidRPr="004C7410">
        <w:t>to justify database variable selection</w:t>
      </w:r>
      <w:r w:rsidR="00DC4978" w:rsidRPr="004C7410">
        <w:t>.</w:t>
      </w:r>
      <w:r w:rsidR="00F07839" w:rsidRPr="004C7410">
        <w:t xml:space="preserve"> </w:t>
      </w:r>
      <w:r w:rsidR="00B2752F" w:rsidRPr="004C7410">
        <w:t>To refine model predictions</w:t>
      </w:r>
      <w:r w:rsidR="0008379F" w:rsidRPr="004C7410">
        <w:t xml:space="preserve"> and improve predictive power</w:t>
      </w:r>
      <w:r w:rsidR="00F07839" w:rsidRPr="004C7410">
        <w:t xml:space="preserve">, </w:t>
      </w:r>
      <w:r w:rsidR="00B60D1C" w:rsidRPr="004C7410">
        <w:t>we encourage users</w:t>
      </w:r>
      <w:r w:rsidR="00B2752F" w:rsidRPr="004C7410">
        <w:t xml:space="preserve"> to follow </w:t>
      </w:r>
      <w:r w:rsidR="00945E39" w:rsidRPr="004C7410">
        <w:t xml:space="preserve">simple resurvey procedures </w:t>
      </w:r>
      <w:r w:rsidR="0008379F" w:rsidRPr="004C7410">
        <w:t xml:space="preserve">and </w:t>
      </w:r>
      <w:r w:rsidR="00945E39" w:rsidRPr="004C7410">
        <w:t>submit</w:t>
      </w:r>
      <w:r w:rsidR="00B60D1C" w:rsidRPr="004C7410">
        <w:t xml:space="preserve"> observations of wood jam dynamics</w:t>
      </w:r>
      <w:r w:rsidR="0008379F" w:rsidRPr="004C7410">
        <w:t>.</w:t>
      </w:r>
      <w:r w:rsidR="00B117D0" w:rsidRPr="004C7410">
        <w:t xml:space="preserve"> </w:t>
      </w:r>
      <w:r w:rsidR="00B60D1C" w:rsidRPr="004C7410">
        <w:t>WooDDAM</w:t>
      </w:r>
      <w:r w:rsidR="00B117D0" w:rsidRPr="004C7410">
        <w:t xml:space="preserve"> </w:t>
      </w:r>
      <w:r w:rsidR="0008379F" w:rsidRPr="004C7410">
        <w:t>provides a management</w:t>
      </w:r>
      <w:r w:rsidR="00B60D1C" w:rsidRPr="004C7410">
        <w:t xml:space="preserve"> and monitoring</w:t>
      </w:r>
      <w:r w:rsidR="0008379F" w:rsidRPr="004C7410">
        <w:t xml:space="preserve"> tool for</w:t>
      </w:r>
      <w:r w:rsidR="00ED1DC7" w:rsidRPr="004C7410">
        <w:t xml:space="preserve"> the </w:t>
      </w:r>
      <w:r w:rsidR="0008379F" w:rsidRPr="004C7410">
        <w:t xml:space="preserve">retention or </w:t>
      </w:r>
      <w:r w:rsidR="00ED1DC7" w:rsidRPr="004C7410">
        <w:t>reintroduction of wood jams in rivers</w:t>
      </w:r>
      <w:r w:rsidR="00945E39" w:rsidRPr="004C7410">
        <w:t xml:space="preserve"> </w:t>
      </w:r>
      <w:r w:rsidR="006C055D" w:rsidRPr="004C7410">
        <w:t>and facilitates</w:t>
      </w:r>
      <w:r w:rsidR="00ED1DC7" w:rsidRPr="004C7410">
        <w:t xml:space="preserve"> further research</w:t>
      </w:r>
      <w:r w:rsidR="00945E39" w:rsidRPr="004C7410">
        <w:t xml:space="preserve"> </w:t>
      </w:r>
      <w:r w:rsidR="00ED1DC7" w:rsidRPr="004C7410">
        <w:t>into the</w:t>
      </w:r>
      <w:r w:rsidR="00945E39" w:rsidRPr="004C7410">
        <w:t xml:space="preserve"> interactions between wood jam dynamics and fluvial</w:t>
      </w:r>
      <w:r w:rsidR="00DD02BB" w:rsidRPr="004C7410">
        <w:t xml:space="preserve"> or ecologic</w:t>
      </w:r>
      <w:r w:rsidR="004E33ED" w:rsidRPr="004C7410">
        <w:t>al</w:t>
      </w:r>
      <w:r w:rsidR="00945E39" w:rsidRPr="004C7410">
        <w:t xml:space="preserve"> processes.</w:t>
      </w:r>
      <w:r w:rsidR="00DD02BB" w:rsidRPr="004C7410">
        <w:t xml:space="preserve"> </w:t>
      </w:r>
    </w:p>
    <w:p w14:paraId="0E875650" w14:textId="7906F4FB" w:rsidR="00B117D0" w:rsidRPr="004C7410" w:rsidRDefault="00B117D0" w:rsidP="00F4216D">
      <w:pPr>
        <w:spacing w:line="480" w:lineRule="auto"/>
      </w:pPr>
    </w:p>
    <w:p w14:paraId="6888126A" w14:textId="293D2FB5" w:rsidR="00B117D0" w:rsidRPr="004C7410" w:rsidRDefault="00FC33B9" w:rsidP="00F4216D">
      <w:pPr>
        <w:pStyle w:val="Heading1"/>
      </w:pPr>
      <w:r w:rsidRPr="004C7410">
        <w:t>Keywords</w:t>
      </w:r>
    </w:p>
    <w:p w14:paraId="1AF12AAF" w14:textId="15EE0132" w:rsidR="00B117D0" w:rsidRPr="004C7410" w:rsidRDefault="00B117D0" w:rsidP="00F4216D">
      <w:pPr>
        <w:spacing w:line="480" w:lineRule="auto"/>
      </w:pPr>
      <w:r w:rsidRPr="004C7410">
        <w:tab/>
      </w:r>
      <w:r w:rsidR="00FC33B9" w:rsidRPr="004C7410">
        <w:t>Wood jam; machine learning; dynamics; prediction</w:t>
      </w:r>
      <w:r w:rsidR="00B60D1C" w:rsidRPr="004C7410">
        <w:t>; management</w:t>
      </w:r>
    </w:p>
    <w:p w14:paraId="1514221F" w14:textId="406DC2D9" w:rsidR="00B117D0" w:rsidRPr="004C7410" w:rsidRDefault="00B117D0" w:rsidP="00F4216D">
      <w:pPr>
        <w:spacing w:line="480" w:lineRule="auto"/>
      </w:pPr>
    </w:p>
    <w:p w14:paraId="3EF886EB" w14:textId="61EA5A79" w:rsidR="00B60D1C" w:rsidRPr="004C7410" w:rsidRDefault="00B60D1C">
      <w:pPr>
        <w:spacing w:after="160"/>
      </w:pPr>
      <w:r w:rsidRPr="004C7410">
        <w:br w:type="page"/>
      </w:r>
    </w:p>
    <w:p w14:paraId="063F93DA" w14:textId="7F503DAD" w:rsidR="00C032A3" w:rsidRPr="004C7410" w:rsidRDefault="00EB654A" w:rsidP="00F4216D">
      <w:pPr>
        <w:pStyle w:val="Heading1"/>
      </w:pPr>
      <w:r w:rsidRPr="004C7410">
        <w:lastRenderedPageBreak/>
        <w:t xml:space="preserve">1. </w:t>
      </w:r>
      <w:r w:rsidR="00C032A3" w:rsidRPr="004C7410">
        <w:t>Introduction</w:t>
      </w:r>
    </w:p>
    <w:p w14:paraId="7ECEA6D4" w14:textId="7F806FF5" w:rsidR="00FE2499" w:rsidRPr="004C7410" w:rsidRDefault="00D54436" w:rsidP="00F4216D">
      <w:pPr>
        <w:spacing w:line="480" w:lineRule="auto"/>
      </w:pPr>
      <w:r w:rsidRPr="004C7410">
        <w:tab/>
      </w:r>
      <w:bookmarkStart w:id="2" w:name="_Hlk505147769"/>
      <w:r w:rsidR="0017623C" w:rsidRPr="004C7410">
        <w:t>Wood jams</w:t>
      </w:r>
      <w:r w:rsidR="007419BE" w:rsidRPr="004C7410">
        <w:t xml:space="preserve"> (3 or more wood pieces larger than 10 cm diameter and 1 m length</w:t>
      </w:r>
      <w:r w:rsidR="00910B7E" w:rsidRPr="004C7410">
        <w:t>)</w:t>
      </w:r>
      <w:r w:rsidR="00AE5810" w:rsidRPr="004C7410">
        <w:t xml:space="preserve"> </w:t>
      </w:r>
      <w:r w:rsidR="007E25B2" w:rsidRPr="004C7410">
        <w:t>support habitat</w:t>
      </w:r>
      <w:r w:rsidR="0017623C" w:rsidRPr="004C7410">
        <w:t xml:space="preserve"> for</w:t>
      </w:r>
      <w:r w:rsidR="007E25B2" w:rsidRPr="004C7410">
        <w:t xml:space="preserve"> </w:t>
      </w:r>
      <w:r w:rsidR="00A45C13" w:rsidRPr="004C7410">
        <w:t>diverse organisms</w:t>
      </w:r>
      <w:r w:rsidR="007E25B2" w:rsidRPr="004C7410">
        <w:t xml:space="preserve"> </w:t>
      </w:r>
      <w:r w:rsidR="007D1690" w:rsidRPr="004C7410">
        <w:fldChar w:fldCharType="begin" w:fldLock="1"/>
      </w:r>
      <w:r w:rsidR="00FE2499" w:rsidRPr="004C7410">
        <w:instrText>ADDIN CSL_CITATION {"citationItems":[{"id":"ITEM-1","itemData":{"DOI":"10.1016/j.geomorph.2011.03.017","ISBN":"0169-555X","ISSN":"0169555X","abstract":"The physical and structural characteristics of instream wood were examined within five streams that represented 200. years of stream development following glacial recession within Glacier Bay National Park, Alaska. Wood characteristics altered with watershed age as terrestrial succession progressed and wood was recruited into the riverine environment. The influence of wood characteristics on the development of geomorphic diversity and hydraulic variability within the streams were assessed using detailed habitat mapping, sediment analysis, and hydraulic assessment using an Acoustic Doppler Current Profiler at a number of transects upstream, downstream, and adjacent to wood. Results show that the size, complexity, and orientation of wood accumulations are the main drivers in determining the degree of influence instream wood have on stream geomorphic and hydraulic complexity. Adjacent terrestrial vegetation must be of a sufficient stage of development (in terms of size and maturity) in order to elicit significant hydrogeomorphic changes to benefit aquatic biota such as fish, macroinvertebrates, and plants. © 2011 Elsevier B.V.","author":[{"dropping-particle":"","family":"Klaar","given":"Megan J.","non-dropping-particle":"","parse-names":false,"suffix":""},{"dropping-particle":"","family":"Hill","given":"David F.","non-dropping-particle":"","parse-names":false,"suffix":""},{"dropping-particle":"","family":"Maddock","given":"Ian","non-dropping-particle":"","parse-names":false,"suffix":""},{"dropping-particle":"","family":"Milner","given":"Alexander M.","non-dropping-particle":"","parse-names":false,"suffix":""}],"container-title":"Geomorphology","id":"ITEM-1","issue":"3-4","issued":{"date-parts":[["2011"]]},"page":"208-220","publisher":"Elsevier B.V.","title":"Interactions between instream wood and hydrogeomorphic development within recently deglaciated streams in Glacier Bay National Park, Alaska","type":"article-journal","volume":"130"},"uris":["http://www.mendeley.com/documents/?uuid=878d55d7-6a6d-4c2f-8d94-b0ab021d048e"]},{"id":"ITEM-2","itemData":{"author":[{"dropping-particle":"","family":"Coe","given":"H J","non-dropping-particle":"","parse-names":false,"suffix":""},{"dropping-particle":"","family":"Kiffney","given":"P M","non-dropping-particle":"","parse-names":false,"suffix":""},{"dropping-particle":"","family":"Pess","given":"G R","non-dropping-particle":"","parse-names":false,"suffix":""},{"dropping-particle":"","family":"Kloehn","given":"K K","non-dropping-particle":"","parse-names":false,"suffix":""},{"dropping-particle":"","family":"McHenry","given":"M L","non-dropping-particle":"","parse-names":false,"suffix":""}],"container-title":"River research and applications","id":"ITEM-2","issued":{"date-parts":[["2009"]]},"page":"1025-1035","title":"Periphyton and Invertebrate Response to Wood Placement in Large Pacific Coastal Rivers","type":"article-journal","volume":"25"},"prefix":"e.g., ","uris":["http://www.mendeley.com/documents/?uuid=965881c6-6d33-4d78-a512-1a7901182888"]},{"id":"ITEM-3","itemData":{"DOI":"10.1007/s11273-007-9074-2","ISSN":"09234861","abstract":"Out-of-channel wood jams centred by fluvially-deposited large wood represent an important habitat for riparian plant species along large rivers dominated by exposed riverine sediments. Such wood jams often display distinct physical features associ- ated with the jams, such as areas of scour immediately upstream, plumes of fine sediment downstream and abundant organic material deposited throughout the jam. This paper examines the rela- tionship between physical characteristics of young wood jams (1–3 years since deposition) and riparian plant diversity along the braided River Tagliamento in Northeast Italy. Species richness of riparian plants was significantly positively correlated to the depth of scour features and amount of fine sediment around the wood jams, which facilitate improved access to the water table and increase available water in the sediments, respectively. Species diversity was signif- icantly positively correlated to scour pool depth only.Scour depth was in turn influenced by wood jam size, indicating that larger jams may indirectly increase riparian plant diversity. Management and restoration of riparian zones containing exposed riverine sedi- ments should allow for the formation of wood jams and their associated features where possible, in order to potentially increase localised biodiversity.","author":[{"dropping-particle":"","family":"Francis","given":"Robert A","non-dropping-particle":"","parse-names":false,"suffix":""},{"dropping-particle":"","family":"Tibaldeschi","given":"Paolo","non-dropping-particle":"","parse-names":false,"suffix":""},{"dropping-particle":"","family":"McDougall","given":"Luke","non-dropping-particle":"","parse-names":false,"suffix":""}],"container-title":"Wetlands Ecology and Management","id":"ITEM-3","issue":"5","issued":{"date-parts":[["2008"]]},"page":"371-382","title":"Fluvially-deposited large wood and riparian plant diversity","type":"article-journal","volume":"16"},"uris":["http://www.mendeley.com/documents/?uuid=476b348b-2f12-4066-880e-0a39dfe4faa7"]},{"id":"ITEM-4","itemData":{"DOI":"10.1016/j.geomorph.2016.04.014","ISSN":"0169555X","abstract":"Nearly 50. years of research focused on large wood (LW) in rivers provide a basis for understanding how wood enters rivers; how wood decays, breaks, and is transported downstream; and how at least temporarily stable wood influences channel geometry, fluxes of water, sediment, and organic matter, and the abundance and diversity of aquatic and riparian organisms. Field-based studies have led to qualitative conceptual models and to numerical stimulations of river processes involving wood. Numerous important gaps remain, however, in our understanding of wood dynamics. The majority of research on wood in rivers focuses on small- to medium-sized rivers, defined using the ratio of wood piece size to channel width as channels narrower than the locally typical wood-piece length (small) and slightly narrower than the longer wood pieces present (medium). Although diverse geographic regions and biomes are represented by one or a few studies in each region, the majority of research comes from perennial rivers draining temperate conifer forests. Regional syntheses most commonly focus on the Pacific Northwest region of North America where most of these studies originate. Consequently, significant gaps in our understanding include lack of knowledge of wood-related processes in large rivers, dryland rivers, and rivers of the high and low latitudes. Using a wood budget as an organizing framework, this paper identifies other gaps related to wood recruitment, transport, storage, and how beavers influence LW dynamics. With respect to wood recruitment, we lack information on the relative importance of mass tree mortality and transport of buried or surficial downed wood from the floodplain into the channel in diverse settings. Knowledge gaps related to wood transport include transport distances of LW and thresholds for LW mobility in small to medium rivers. With respect to wood storage, we have limited data on longitudinal trends in LW loads within unaltered large and great rivers and on fluctuations in LW load over time intervals greater than a few years. Other knowledge gaps relate to physical and ecological effects of wood, including the magnitude of flow resistance caused by LW; patterns of wood-related sediment storage for diverse river sizes and channel geometry; quantification of channel-floodplain-LW interactions; and potential threshold effects of LW in relation to physical processes and biotic communities. Finally, knowledge gaps are related to management of large w…","author":[{"dropping-particle":"","family":"Wohl","given":"Ellen","non-dropping-particle":"","parse-names":false,"suffix":""}],"container-title":"Geomorphology","id":"ITEM-4","issued":{"date-parts":[["2015"]]},"publisher":"Elsevier B.V.","title":"Bridging the gaps: An overview of wood across time and space in diverse rivers","type":"article-journal"},"uris":["http://www.mendeley.com/documents/?uuid=95e5f716-68bc-494c-bffe-9f6ab8d5286a"]}],"mendeley":{"formattedCitation":"(e.g., Coe et al., 2009; Francis et al., 2008; Klaar et al., 2011; Wohl, 2015)","plainTextFormattedCitation":"(e.g., Coe et al., 2009; Francis et al., 2008; Klaar et al., 2011; Wohl, 2015)","previouslyFormattedCitation":"(e.g., Coe et al., 2009; Francis et al., 2008; Klaar et al., 2011; Wohl, 2015)"},"properties":{"noteIndex":0},"schema":"https://github.com/citation-style-language/schema/raw/master/csl-citation.json"}</w:instrText>
      </w:r>
      <w:r w:rsidR="007D1690" w:rsidRPr="004C7410">
        <w:fldChar w:fldCharType="separate"/>
      </w:r>
      <w:r w:rsidR="008247BC" w:rsidRPr="004C7410">
        <w:rPr>
          <w:noProof/>
        </w:rPr>
        <w:t>(e.g., Coe et al., 2009; Francis et al., 2008; Klaar et al., 2011; Wohl, 2015)</w:t>
      </w:r>
      <w:r w:rsidR="007D1690" w:rsidRPr="004C7410">
        <w:fldChar w:fldCharType="end"/>
      </w:r>
      <w:r w:rsidR="00AE5810" w:rsidRPr="004C7410">
        <w:t xml:space="preserve"> and drive</w:t>
      </w:r>
      <w:r w:rsidR="007E76C0" w:rsidRPr="004C7410">
        <w:t xml:space="preserve"> overbank flow, </w:t>
      </w:r>
      <w:r w:rsidR="00772630" w:rsidRPr="004C7410">
        <w:t>forcing</w:t>
      </w:r>
      <w:r w:rsidR="007E76C0" w:rsidRPr="004C7410">
        <w:t xml:space="preserve"> water, sediment,</w:t>
      </w:r>
      <w:r w:rsidR="00846DD9" w:rsidRPr="004C7410">
        <w:t xml:space="preserve"> and nutrients onto floodplains </w:t>
      </w:r>
      <w:r w:rsidR="007D1690" w:rsidRPr="004C7410">
        <w:fldChar w:fldCharType="begin" w:fldLock="1"/>
      </w:r>
      <w:r w:rsidR="00FE2499" w:rsidRPr="004C7410">
        <w:instrText>ADDIN CSL_CITATION {"citationItems":[{"id":"ITEM-1","itemData":{"DOI":"10.1016/j.earscirev.2013.04.009","ISBN":"0012-8252","ISSN":"00128252","abstract":"Interactions between floodplains and wood date to the Carboniferous, when stable, multithread channel deposits appear with the evolution of tree-like plants. Foundational geologic texts, such as Lyell's, 1830 Principles of Geology, describe floodplain-wood interactions, yet modern technical literature describes floodplain-wood interactions in detail for only a very limited range of environments. This likely reflects more than a century of deforestation, flow regulation, and channel engineering, including instream wood removal, which has resulted in severe wood depletion in most of the world's river networks.Instream wood affects floodplain form and process by altering flow resistance, conveyance and channel-floodplain connectivity, and influencing lateral and vertical accretion of floodplains. Instream wood reflects floodplain form and process as the floodplain influences wood recruitment via bank erosion and overbank flow, and wood transport and storage via floodplain effects on stage-discharge relations and flow resistance. Examining turnover times for instream wood at the reach scale in the context of a wood budget, floodplain characteristics influence fluvial transport and dynamics (wood recruitment), valley geometry (wood transport and storage), and hydraulics and river biota (wood decay and breakage).Accumulations of wood that vary from in situ jams and beaver dams in small channels to transport jams and log rafts in very large rivers can create stable, multithread channels and floodplain wetlands. Floodplain-wood interactions are best understood for a subset of small to medium-sized rivers in the temperate zone. We know little about these interactions on very large rivers, or on rivers in the tropical or boreal regions.This review suggests that most, if not all, channels and floodplains within forested catchments in the temperate zone historically had much greater wood loads and consequently much more obvious and important influences from wood than do heavily modified contemporary catchments. For many rivers in the temperate zone, direct and indirect removal of instream wood very likely caused a fundamental shift in channel and floodplain process and form, as has been demonstrated in detail for specific rivers of diverse size in several regions. Failure to explicitly include floodplain-wood interactions creates a misleading conceptual model of floodplain dynamics in forested catchments. © 2013 Elsevier B.V.","author":[{"dropping-particle":"","family":"Wohl","given":"Ellen","non-dropping-particle":"","parse-names":false,"suffix":""}],"container-title":"Earth-Science Reviews","id":"ITEM-1","issued":{"date-parts":[["2013"]]},"page":"194-212","publisher":"Elsevier B.V.","title":"Floodplains and wood","type":"article-journal","volume":"123"},"uris":["http://www.mendeley.com/documents/?uuid=8ca49306-8db7-4671-ac24-e0bd240802bb"]},{"id":"ITEM-2","itemData":{"DOI":"10.1016/S0169-555X(02)00325-2","ISBN":"0169-555X","ISSN":"0169555X","PMID":"13218","abstract":"The presence of large woody debris (LWD) has important implications for the physical and ecological behaviour of rivers, and these aspects have been researched extensively in recent years. However, this research has so far focused primarily on interactions between LWD and in-channel processes, and the role of LWD in flood-plain genesis is still poorly understood. Established conceptual models of flood-plain evolution are, therefore, lacking because they neglect the complex interaction between water, sediment, and vegetation in systems with accumulations of LWD. This study examines the effect of LWD on patterns of sediment deposition within a small area of forest flood plain along the Highland Water, S. England. In-channel debris dams locally increase the frequency and extent of overbank flows, and the impact of such dam on flood-plain sedimentation was observed. Nine separate flood events were monitored through the exceptionally wet winter of 2000-2001. During each of these, water and sediment fluxes were quantified and correlated with general rates of overbank sedimentation. Flood-plain topography, vegetation, and LWD were surveyed and related to micro- and mesoscale patterns of sediment accretion. The amount of overbank sediment deposition was correlated most closely with flood hydrology and sediment input. The amounts (0-28 kg m-2) and patterns of sediment deposition were both greater and more variable than have been observed on nonforest flood plains. The highly variable pattern of accretion can be explained by the combined effects of topography and organic material present on the surface of the flood plain. © 2002 Elsevier Science B.V. All rights reserved.","author":[{"dropping-particle":"","family":"Jeffries","given":"Richard","non-dropping-particle":"","parse-names":false,"suffix":""},{"dropping-particle":"","family":"Darby","given":"Stephen E.","non-dropping-particle":"","parse-names":false,"suffix":""},{"dropping-particle":"","family":"Sear","given":"David A.","non-dropping-particle":"","parse-names":false,"suffix":""}],"container-title":"Geomorphology","id":"ITEM-2","issue":"1-3","issued":{"date-parts":[["2003"]]},"page":"61-80","title":"The influence of vegetation and organic debris on flood-plain sediment dynamics: Case study of a low-order stream in the New Forest, England","type":"article-journal","volume":"51"},"uris":["http://www.mendeley.com/documents/?uuid=d5b1657e-1ce6-4456-aa21-e76496de6bf2"]},{"id":"ITEM-3","itemData":{"DOI":"10.1016/j.geomorph.2009.11.022","ISBN":"0169-555X","ISSN":"0169555X","abstract":"The role of wood in the formation and maintenance of complex dynamic floodplain surfaces is important and to date has received relatively limited attention compared to in-channel habitat processes. This paper explores the role of logjams as important agents of channel:floodplain interaction. We draw on a specific case study as well as examples from the literature to show that although the processes of interaction differ, the resulting dynamic floodplain patchwork is a common feature of rivers with logjams. In addition, we contend that the presence of logjams is an important factor in the evolution and maintenance of multiple channel patterns in both montane and lowland river environments. These observations have important implications for the definition of reference targets for river restoration. The specific results of this research show:1)The presence of a range of types of multiple channel network dissecting the floodplains of low order channels that are strongly associated with the presence of logjams.2)The relatively rapid formation of floodplain channels following logjam formation.3)The dynamic nature of logjams within headwater channels on both seasonal and annual timescales that lead to a highly dynamic habitat mosaic on the floodplain surface.4)An increased frequency of overbank flooding and high rates of floodplain sediment accumulation upstream of logjams and along floodplain channel networks that create the complex topography observed in the case study forested floodplains. ?? 2009 Elsevier B.V. All rights reserved.","author":[{"dropping-particle":"","family":"Sear","given":"D. A.","non-dropping-particle":"","parse-names":false,"suffix":""},{"dropping-particle":"","family":"Millington","given":"C. E.","non-dropping-particle":"","parse-names":false,"suffix":""},{"dropping-particle":"","family":"Kitts","given":"D. R.","non-dropping-particle":"","parse-names":false,"suffix":""},{"dropping-particle":"","family":"Jeffries","given":"R.","non-dropping-particle":"","parse-names":false,"suffix":""}],"container-title":"Geomorphology","id":"ITEM-3","issue":"3-4","issued":{"date-parts":[["2010","4"]]},"page":"305-319","publisher":"Elsevier B.V.","title":"Logjam controls on channel:floodplain interactions in wooded catchments and their role in the formation of multi-channel patterns","title-short":"Logjam controls on channel","type":"article-journal","volume":"116"},"uris":["http://www.mendeley.com/documents/?uuid=5ab81120-560c-4e9f-b046-c627c4a2f066"]}],"mendeley":{"formattedCitation":"(Jeffries et al., 2003; Sear et al., 2010; Wohl, 2013)","plainTextFormattedCitation":"(Jeffries et al., 2003; Sear et al., 2010; Wohl, 2013)","previouslyFormattedCitation":"(Jeffries et al., 2003; Sear et al., 2010; Wohl, 2013)"},"properties":{"noteIndex":0},"schema":"https://github.com/citation-style-language/schema/raw/master/csl-citation.json"}</w:instrText>
      </w:r>
      <w:r w:rsidR="007D1690" w:rsidRPr="004C7410">
        <w:fldChar w:fldCharType="separate"/>
      </w:r>
      <w:r w:rsidR="008247BC" w:rsidRPr="004C7410">
        <w:rPr>
          <w:noProof/>
        </w:rPr>
        <w:t>(Jeffries et al., 2003; Sear et al., 2010; Wohl, 2013)</w:t>
      </w:r>
      <w:r w:rsidR="007D1690" w:rsidRPr="004C7410">
        <w:fldChar w:fldCharType="end"/>
      </w:r>
      <w:r w:rsidR="00846DD9" w:rsidRPr="004C7410">
        <w:t xml:space="preserve">. </w:t>
      </w:r>
      <w:r w:rsidR="00D806BA" w:rsidRPr="004C7410">
        <w:t>Stable</w:t>
      </w:r>
      <w:r w:rsidR="007E76C0" w:rsidRPr="004C7410">
        <w:t xml:space="preserve"> wood</w:t>
      </w:r>
      <w:r w:rsidR="00AE5810" w:rsidRPr="004C7410">
        <w:t xml:space="preserve"> jams </w:t>
      </w:r>
      <w:r w:rsidR="007E76C0" w:rsidRPr="004C7410">
        <w:t>can alter erosion and deposit</w:t>
      </w:r>
      <w:r w:rsidR="00AE5810" w:rsidRPr="004C7410">
        <w:t>ion on the stream bed and banks</w:t>
      </w:r>
      <w:r w:rsidR="007E76C0" w:rsidRPr="004C7410">
        <w:t xml:space="preserve"> </w:t>
      </w:r>
      <w:r w:rsidR="006B119D" w:rsidRPr="004C7410">
        <w:t xml:space="preserve">and </w:t>
      </w:r>
      <w:r w:rsidR="007E76C0" w:rsidRPr="004C7410">
        <w:t>driv</w:t>
      </w:r>
      <w:r w:rsidR="006B119D" w:rsidRPr="004C7410">
        <w:t>e</w:t>
      </w:r>
      <w:r w:rsidR="007E76C0" w:rsidRPr="004C7410">
        <w:t xml:space="preserve"> avuls</w:t>
      </w:r>
      <w:r w:rsidR="00846DD9" w:rsidRPr="004C7410">
        <w:t xml:space="preserve">ion and </w:t>
      </w:r>
      <w:r w:rsidR="006B119D" w:rsidRPr="004C7410">
        <w:t xml:space="preserve">island </w:t>
      </w:r>
      <w:r w:rsidR="00846DD9" w:rsidRPr="004C7410">
        <w:t>creation</w:t>
      </w:r>
      <w:r w:rsidR="00191D62" w:rsidRPr="004C7410">
        <w:t xml:space="preserve"> </w:t>
      </w:r>
      <w:r w:rsidR="00191D62" w:rsidRPr="004C7410">
        <w:fldChar w:fldCharType="begin" w:fldLock="1"/>
      </w:r>
      <w:r w:rsidR="00A958C8" w:rsidRPr="004C7410">
        <w:instrText>ADDIN CSL_CITATION {"citationItems":[{"id":"ITEM-1","itemData":{"DOI":"10.1016/S0169-555X(02)00326-4","ISBN":"0169-555X","ISSN":"0169555X","PMID":"14861","abstract":"Field surveys in the 724-km2 Queets river basin on the west slope of the Olympic Mountains in NW Washington reveal basin-wide patterns of distinctive wood debris (WD) accumulations that arise from different mechanisms of WD recruitment, hydraulic geometry, and physical characteristics of WD. Individual pieces of WD in an accumulation or jam can be separated into key, racked, and loose members. Ten types of WD accumulations are identified based on the mode of recruitment and the orientation of key, racked, and loose debris relative to the channel axis. Although some types of WD accumulation have few geomorphic effects, others form stable in-stream structures that influence alluvial morphology at both subreach- and reach-length scales ranging from less than 1 to greater than 10 channel widths. In the Queets river, stable accumulations of WD directly influence channel anabranching, planform geometry, flood plain topography, and establishment of long-term riparian refugia for old-growth forest development. The classification of wood debris accumulations in the Queets river basin is based on physical observations that offer a template potentially applicable to other forested mountain regions. ?? 2002 Elsevier Science B.V. All rights reserved.","author":[{"dropping-particle":"","family":"Abbe","given":"T.","non-dropping-particle":"","parse-names":false,"suffix":""},{"dropping-particle":"","family":"Montgomery","given":"D.","non-dropping-particle":"","parse-names":false,"suffix":""}],"container-title":"Geomorphology","id":"ITEM-1","issue":"1-3","issued":{"date-parts":[["2003"]]},"page":"81-107","title":"Patterns and processes of wood debris accumulation in the Queets river basin, Washington","type":"article-journal","volume":"51"},"uris":["http://www.mendeley.com/documents/?uuid=cd3b8245-e690-4437-ae21-1b415c9ba001"]},{"id":"ITEM-2","itemData":{"ISBN":"1540-9295","ISSN":"15409295","abstract":"Under natural conditions, most rivers are bordered by riparian woodland. Many studies have highlighted the ecological importance of these wooded zones, but the impact of riparian woodland dynamics on the complexity of the active tract (the area of bare sediment adjacent to the river) has been overlooked. This paper highlights the impact of downed trees and sprouting driftwood on the development of islands and associated ponds within the active tract of large rivers and the effects of these features on the abundance and diversity of plants and animals, and points to the benefits of riparian woodland for channel restoration.","author":[{"dropping-particle":"","family":"Gurnell","given":"A. M.","non-dropping-particle":"","parse-names":false,"suffix":""},{"dropping-particle":"","family":"Tockner","given":"Klement","non-dropping-particle":"","parse-names":false,"suffix":""},{"dropping-particle":"","family":"Edwards","given":"Peter","non-dropping-particle":"","parse-names":false,"suffix":""},{"dropping-particle":"","family":"Petts","given":"Geoffrey","non-dropping-particle":"","parse-names":false,"suffix":""}],"container-title":"Frontiers in Ecology and the Environment","id":"ITEM-2","issue":"7","issued":{"date-parts":[["2005"]]},"page":"377-382","title":"Effects of deposited wood on biocomplexity of river corridors","type":"article-journal","volume":"3"},"uris":["http://www.mendeley.com/documents/?uuid=bf4256fe-7ea3-4743-9928-7d4069daf799"]},{"id":"ITEM-3","itemData":{"DOI":"10.1016/j.geomorph.2011.11.011","ISBN":"0169-555X","ISSN":"0169555X","abstract":"A 'floodplain large-wood cycle' is hypothesized as a mechanism for generating landforms and influencing river dynamics in ways that structure and maintain riparian and aquatic ecosystems of forested alluvial river valleys of the Pacific coastal temperate rainforest of North America. In the cycle, pieces of wood large enough to resist fluvial transport and remain in river channels initiate and stabilize wood jams, which in turn create alluvial patches and protect them from erosion. These stable patches provide sites for trees to mature over hundreds of years in river valleys where the average cycle of floodplain turnover is much briefer, thus providing a future source of large wood and reinforcing the cycle. Different tree species can function in the floodplain large-wood cycle in different ecological regions, in different river valleys within regions, and within individual river valleys in which forest composition changes through time. The cycle promotes a physically complex, biodiverse, and self-reinforcing state. Conversely, loss of large trees from the system drives landforms and ecosystems toward an alternate stable state of diminished biogeomorphic complexity. Reestablishing large trees is thus necessary to restore such rivers. Although interactions and mechanisms may differ between biomes and in larger or smaller rivers, available evidence suggests that large riparian trees may have similarly fundamental roles in the physical and biotic structuring of river valleys elsewhere in the temperate zone. © 2011 Elsevier B.V.","author":[{"dropping-particle":"","family":"Collins","given":"Brian D.","non-dropping-particle":"","parse-names":false,"suffix":""},{"dropping-particle":"","family":"Montgomery","given":"David R.","non-dropping-particle":"","parse-names":false,"suffix":""},{"dropping-particle":"","family":"Fetherston","given":"Kevin L.","non-dropping-particle":"","parse-names":false,"suffix":""},{"dropping-particle":"","family":"Abbe","given":"Tim B.","non-dropping-particle":"","parse-names":false,"suffix":""}],"container-title":"Geomorphology","id":"ITEM-3","issued":{"date-parts":[["2012","2"]]},"page":"460-470","publisher":"Elsevier B.V.","title":"The floodplain large-wood cycle hypothesis: A mechanism for the physical and biotic structuring of temperate forested alluvial valleys in the North Pacific coastal ecoregion","title-short":"The floodplain large-wood cycle hypothesis","type":"article-journal","volume":"139-140"},"uris":["http://www.mendeley.com/documents/?uuid=ddeeb584-738a-464c-ba03-dba442c784a6"]},{"id":"ITEM-4","itemData":{"DOI":"10.1002/rra.1233","ISBN":"1535-1459","ISSN":"15351459","PMID":"2717","abstract":"The upstream migration of adult anadromous salmonids in the Columbia River Basin (CRB) has been dramatically altered and fish may be experiencing energetically costly delays at dams. To explore this notion, we estimated the energetic costs of migration and reproduction of Yakima River-bound spring Chinook salmon Oncorhynchus tshawytscha using a sequential analysis of their proximate composition (i.e., percent water, fat, protein, and ash). Tissues (muscle, viscera, and gonad) were sampled from fish near the start of their migration (Bonneville Dam), at a mid point (Roza Dam, 510km upstream from Bonneville Dam) and from fresh carcasses on the spawning grounds (about 100km above Roza Dam). At Bonneville Dam, the energy reserves of these fish were remarkably high, primarily due to the high percentage of fat in the muscle (18–20%; energy content over 11 kJ g?1). The median travel time for fish from Bonneville to Roza Dam was 27 d and ranged from 18 to 42 d. Fish lost from 6 to 17% of their energy density in muscle, depending on travel time. On average, fish taking a relatively long time for migration between dams used from 5 to 8%more energy from the muscle than faster fish. From the time they passed Bonneville Damto death, these fish, depending on gender, used 95–99% of their muscle and 73–86% of their visceral lipid stores. Also, both sexes used about 32% of their muscular and very little of their visceral protein stores. However, we were unable to relate energy use and reproductive success to migration history. Our results suggest a possible influence of the CRB hydroelectric system on adult salmonid energetics","author":[{"dropping-particle":"","family":"Bertoldi","given":"Walter","non-dropping-particle":"","parse-names":false,"suffix":""},{"dropping-particle":"","family":"Gurnell","given":"Angela","non-dropping-particle":"","parse-names":false,"suffix":""},{"dropping-particle":"","family":"Surian","given":"Nicola","non-dropping-particle":"","parse-names":false,"suffix":""},{"dropping-particle":"","family":"Tockner","given":"Klement","non-dropping-particle":"","parse-names":false,"suffix":""},{"dropping-particle":"","family":"Zanoni","given":"Luca","non-dropping-particle":"","parse-names":false,"suffix":""},{"dropping-particle":"","family":"Ziliani","given":"Luca","non-dropping-particle":"","parse-names":false,"suffix":""},{"dropping-particle":"","family":"Zolezzi","given":"Guido","non-dropping-particle":"","parse-names":false,"suffix":""}],"container-title":"River Research and Applications","id":"ITEM-4","issue":"5","issued":{"date-parts":[["2009"]]},"page":"501-516","title":"Understanding reference processes: Linkages between river flows, sediment dynamics and vegetated landforms along the Tagliamento River, Italy","type":"article-journal","volume":"25"},"uris":["http://www.mendeley.com/documents/?uuid=c3f81be1-bd75-4be4-a352-a7ce4f1fb7ab"]},{"id":"ITEM-5","itemData":{"DOI":"10.1016/j.geomorph.2009.11.022","ISBN":"0169-555X","ISSN":"0169555X","abstract":"The role of wood in the formation and maintenance of complex dynamic floodplain surfaces is important and to date has received relatively limited attention compared to in-channel habitat processes. This paper explores the role of logjams as important agents of channel:floodplain interaction. We draw on a specific case study as well as examples from the literature to show that although the processes of interaction differ, the resulting dynamic floodplain patchwork is a common feature of rivers with logjams. In addition, we contend that the presence of logjams is an important factor in the evolution and maintenance of multiple channel patterns in both montane and lowland river environments. These observations have important implications for the definition of reference targets for river restoration. The specific results of this research show:1)The presence of a range of types of multiple channel network dissecting the floodplains of low order channels that are strongly associated with the presence of logjams.2)The relatively rapid formation of floodplain channels following logjam formation.3)The dynamic nature of logjams within headwater channels on both seasonal and annual timescales that lead to a highly dynamic habitat mosaic on the floodplain surface.4)An increased frequency of overbank flooding and high rates of floodplain sediment accumulation upstream of logjams and along floodplain channel networks that create the complex topography observed in the case study forested floodplains. ?? 2009 Elsevier B.V. All rights reserved.","author":[{"dropping-particle":"","family":"Sear","given":"D. A.","non-dropping-particle":"","parse-names":false,"suffix":""},{"dropping-particle":"","family":"Millington","given":"C. E.","non-dropping-particle":"","parse-names":false,"suffix":""},{"dropping-particle":"","family":"Kitts","given":"D. R.","non-dropping-particle":"","parse-names":false,"suffix":""},{"dropping-particle":"","family":"Jeffries","given":"R.","non-dropping-particle":"","parse-names":false,"suffix":""}],"container-title":"Geomorphology","id":"ITEM-5","issue":"3-4","issued":{"date-parts":[["2010","4"]]},"page":"305-319","publisher":"Elsevier B.V.","title":"Logjam controls on channel:floodplain interactions in wooded catchments and their role in the formation of multi-channel patterns","title-short":"Logjam controls on channel","type":"article-journal","volume":"116"},"uris":["http://www.mendeley.com/documents/?uuid=5ab81120-560c-4e9f-b046-c627c4a2f066"]}],"mendeley":{"formattedCitation":"(Abbe &amp; Montgomery, 2003; Bertoldi et al., 2009; Collins et al., 2012; Gurnell et al., 2005; Sear et al., 2010)","plainTextFormattedCitation":"(Abbe &amp; Montgomery, 2003; Bertoldi et al., 2009; Collins et al., 2012; Gurnell et al., 2005; Sear et al., 2010)","previouslyFormattedCitation":"(Abbe &amp; Montgomery, 2003; Bertoldi et al., 2009; Collins et al., 2012; Gurnell et al., 2005; Sear et al., 2010)"},"properties":{"noteIndex":0},"schema":"https://github.com/citation-style-language/schema/raw/master/csl-citation.json"}</w:instrText>
      </w:r>
      <w:r w:rsidR="00191D62" w:rsidRPr="004C7410">
        <w:fldChar w:fldCharType="separate"/>
      </w:r>
      <w:r w:rsidR="00566905" w:rsidRPr="004C7410">
        <w:rPr>
          <w:noProof/>
        </w:rPr>
        <w:t>(Abbe &amp; Montgomery, 2003; Bertoldi et al., 2009; Collins et al., 2012; Gurnell et al., 2005; Sear et al., 2010)</w:t>
      </w:r>
      <w:r w:rsidR="00191D62" w:rsidRPr="004C7410">
        <w:fldChar w:fldCharType="end"/>
      </w:r>
      <w:r w:rsidR="00191D62" w:rsidRPr="004C7410">
        <w:t xml:space="preserve">. </w:t>
      </w:r>
      <w:r w:rsidR="005707AA" w:rsidRPr="004C7410">
        <w:t>D</w:t>
      </w:r>
      <w:r w:rsidR="00FE2499" w:rsidRPr="004C7410">
        <w:t>ynamic wood</w:t>
      </w:r>
      <w:r w:rsidR="00AE5810" w:rsidRPr="004C7410">
        <w:t xml:space="preserve"> jams</w:t>
      </w:r>
      <w:r w:rsidR="00FE2499" w:rsidRPr="004C7410">
        <w:t xml:space="preserve"> can generate spatial and temporal morphologic heterogeneity and regulate organic matter retention </w:t>
      </w:r>
      <w:r w:rsidR="00FE2499" w:rsidRPr="004C7410">
        <w:fldChar w:fldCharType="begin" w:fldLock="1"/>
      </w:r>
      <w:r w:rsidR="002B3324" w:rsidRPr="004C7410">
        <w:instrText>ADDIN CSL_CITATION {"citationItems":[{"id":"ITEM-1","itemData":{"DOI":"10.1016/j.geomorph.2009.11.022","ISBN":"0169-555X","ISSN":"0169555X","abstract":"The role of wood in the formation and maintenance of complex dynamic floodplain surfaces is important and to date has received relatively limited attention compared to in-channel habitat processes. This paper explores the role of logjams as important agents of channel:floodplain interaction. We draw on a specific case study as well as examples from the literature to show that although the processes of interaction differ, the resulting dynamic floodplain patchwork is a common feature of rivers with logjams. In addition, we contend that the presence of logjams is an important factor in the evolution and maintenance of multiple channel patterns in both montane and lowland river environments. These observations have important implications for the definition of reference targets for river restoration. The specific results of this research show:1)The presence of a range of types of multiple channel network dissecting the floodplains of low order channels that are strongly associated with the presence of logjams.2)The relatively rapid formation of floodplain channels following logjam formation.3)The dynamic nature of logjams within headwater channels on both seasonal and annual timescales that lead to a highly dynamic habitat mosaic on the floodplain surface.4)An increased frequency of overbank flooding and high rates of floodplain sediment accumulation upstream of logjams and along floodplain channel networks that create the complex topography observed in the case study forested floodplains. ?? 2009 Elsevier B.V. All rights reserved.","author":[{"dropping-particle":"","family":"Sear","given":"D. A.","non-dropping-particle":"","parse-names":false,"suffix":""},{"dropping-particle":"","family":"Millington","given":"C. E.","non-dropping-particle":"","parse-names":false,"suffix":""},{"dropping-particle":"","family":"Kitts","given":"D. R.","non-dropping-particle":"","parse-names":false,"suffix":""},{"dropping-particle":"","family":"Jeffries","given":"R.","non-dropping-particle":"","parse-names":false,"suffix":""}],"container-title":"Geomorphology","id":"ITEM-1","issue":"3-4","issued":{"date-parts":[["2010","4"]]},"page":"305-319","publisher":"Elsevier B.V.","title":"Logjam controls on channel:floodplain interactions in wooded catchments and their role in the formation of multi-channel patterns","title-short":"Logjam controls on channel","type":"article-journal","volume":"116"},"uris":["http://www.mendeley.com/documents/?uuid=5ab81120-560c-4e9f-b046-c627c4a2f066"]},{"id":"ITEM-2","itemData":{"DOI":"10.1016/j.geomorph.2006.01.011","ISBN":"0169-555X","ISSN":"0169555X","PMID":"7441","abstract":"This field-based study, using a combination of bed sediment sampling and large woody debris (LWD) tracking, explores the storage of organic matter and mobility of LWD in Poplar Creek, a low-energy meandering river that contains a diverse arrangement of large woody debris (LWD). This research addresses the following questions: 1) Does LWD influence the spatial pattern of the storage of benthic organic matter in meander bends? 2) How mobile is the LWD in low-gradient meandering systems? 3) Do characteristics of LWD such as length/bankfull channel width ratio, affect movement? Based on detailed sampling of sediment and LWD monitoring, this study provides a detailed representation of the influence of LWD on the storage of benthic organic matter in meander bends, as well as a detailed documentation of the mobility of LWD in the study reach. This study has demonstrated that: 1) LWD strongly influences patterns of storage of benthic organic matter in low-gradient meander bends; 2) removal of LWD from meander bends in low-gradient systems can substantially reduce the storage of benthic organic matter; and 3) the LWD within the study reach at Poplar Creek is highly mobile. The high mobility of LWD, observed in this study, contrasts with the rates observed in high-gradient systems and suggests that LWD-influenced patterns of storage of organic matter are temporally variable and that storage of benthic organic matter occurs in pulses, interspersed with transport, that are keyed to the mobility of LWD. Although LWD may exert an equally significant control over patterns of storage of organic matter in high- and low-gradient systems, the differences in the mobility rates of LWD suggest a fundamental difference in the dynamics of LWD-mediated organic matter between low- and high-gradient systems. ?? 2006 Elsevier B.V. All rights reserved.","author":[{"dropping-particle":"","family":"Daniels","given":"Melinda D.","non-dropping-particle":"","parse-names":false,"suffix":""}],"container-title":"Geomorphology","id":"ITEM-2","issue":"3-4","issued":{"date-parts":[["2006"]]},"page":"286-298","title":"Distribution and dynamics of large woody debris and organic matter in a low-energy meandering stream","type":"article-journal","volume":"77"},"uris":["http://www.mendeley.com/documents/?uuid=24fc0a2f-c587-4677-b2ec-6dc46b57773f"]}],"mendeley":{"formattedCitation":"(Daniels, 2006; Sear et al., 2010)","plainTextFormattedCitation":"(Daniels, 2006; Sear et al., 2010)","previouslyFormattedCitation":"(Daniels, 2006; Sear et al., 2010)"},"properties":{"noteIndex":0},"schema":"https://github.com/citation-style-language/schema/raw/master/csl-citation.json"}</w:instrText>
      </w:r>
      <w:r w:rsidR="00FE2499" w:rsidRPr="004C7410">
        <w:fldChar w:fldCharType="separate"/>
      </w:r>
      <w:r w:rsidR="00FE2499" w:rsidRPr="004C7410">
        <w:rPr>
          <w:noProof/>
        </w:rPr>
        <w:t>(Daniels, 2006; Sear et al., 2010)</w:t>
      </w:r>
      <w:r w:rsidR="00FE2499" w:rsidRPr="004C7410">
        <w:fldChar w:fldCharType="end"/>
      </w:r>
      <w:r w:rsidR="00FE2499" w:rsidRPr="004C7410">
        <w:t xml:space="preserve">. </w:t>
      </w:r>
      <w:r w:rsidR="00AE5810" w:rsidRPr="004C7410">
        <w:t>By interacting</w:t>
      </w:r>
      <w:r w:rsidR="00846DD9" w:rsidRPr="004C7410">
        <w:t xml:space="preserve"> with bed sediment, banks, and living wood</w:t>
      </w:r>
      <w:r w:rsidR="00AE5810" w:rsidRPr="004C7410">
        <w:t>, wood jams</w:t>
      </w:r>
      <w:r w:rsidR="00846DD9" w:rsidRPr="004C7410">
        <w:t xml:space="preserve"> shape channels and regulate fluvial processes</w:t>
      </w:r>
      <w:r w:rsidR="00191D62" w:rsidRPr="004C7410">
        <w:t xml:space="preserve"> </w:t>
      </w:r>
      <w:r w:rsidR="00191D62" w:rsidRPr="004C7410">
        <w:fldChar w:fldCharType="begin" w:fldLock="1"/>
      </w:r>
      <w:r w:rsidR="000B4D97" w:rsidRPr="004C7410">
        <w:instrText>ADDIN CSL_CITATION {"citationItems":[{"id":"ITEM-1","itemData":{"author":[{"dropping-particle":"","family":"Nakamura","given":"F","non-dropping-particle":"","parse-names":false,"suffix":""},{"dropping-particle":"","family":"Swanson","given":"F J","non-dropping-particle":"","parse-names":false,"suffix":""}],"container-title":"Earth Surface Processes and Landforms","id":"ITEM-1","issued":{"date-parts":[["1993"]]},"page":"43-61","title":"Effects of Coarse Woody Debris on Morphology and Sediment Storage of a Mountain Stream System in Western Oregon","type":"article-journal","volume":"18"},"uris":["http://www.mendeley.com/documents/?uuid=0e62728a-5568-4d09-b150-00cbe16cff9b"]},{"id":"ITEM-2","itemData":{"DOI":"10.1016/S0169-555X(02)00323-9","ISBN":"0169-555X","ISSN":"0169555X","abstract":"Numerous case studies have demonstrated that alluvial and semi-alluvial rivers in SE Australia have undergone dramatic metamorphosis in historical times. However, very few studies place these changes within a long-term evolutionary context. As a consequence, the magnitude of, and ultimate controls on, the changes to river form and processes are not fully appreciated. In this study, a paired catchment analysis is undertaken between two moderate-sized sand-bed rivers in East Gippsland, Australia. From the Thurra River, direct insight is gained into the predisturbance control exerted by riparian vegetation and wood in a lowland alluvial river. This river is effectively in the same condition today as it was at the time of the arrival of Europeans in Australia. In contrast, the adjacent Cann River, which has been settled by Europeans for 150 years, but was previously very similar to the Thurra River, exhibits stark differences today. Channel morphodynamics observed within the Thurra River, when coupled with historical and geomorphic evidence for the former condition of the Cann River, provide a detailed reference by which the recent changes to the Cann River are measured. Chronostratigraphic evidence from both flood plains places recent channel behavior within an evolutionary context extending well into the Pleistocene. Since European settlement, the study reach of the Cann River has experienced a 360% increase in channel depth, a 240% increase in channel slope, a 700% increase in channel capacity, and up to a 150-fold increase in the rate of lateral channel migration. The contemporary condition of the Cann River channel differs profoundly to that which has prevailed over at least the previous 27 ka. The first-order control on the historical channel metamorphosis is the removal of riparian vegetation and woody debris (WD). Numerous thresholds have been crossed as a result of historical channel changes, particularly the relationship between average length of woody debris pieces and channel width. Consequently, channel recovery will not simply be achieved by reintroducing the pre-existing riparian vegetation and woody debris load. Devising sound management strategies and realistic management targets for the Cann River, or any similarly altered river, requires an understanding of the long-term channel and flood plain evolutionary history, as well as the underlying controls on historical changes. © 2002 Elsevier Science B.V. All rights reserved.","author":[{"dropping-particle":"","family":"Brooks","given":"Andrew P.","non-dropping-particle":"","parse-names":false,"suffix":""},{"dropping-particle":"","family":"Brierley","given":"Gary J.","non-dropping-particle":"","parse-names":false,"suffix":""},{"dropping-particle":"","family":"Millar","given":"Robert G.","non-dropping-particle":"","parse-names":false,"suffix":""}],"container-title":"Geomorphology","id":"ITEM-2","issue":"1-3","issued":{"date-parts":[["2003"]]},"page":"7-29","title":"The long-term control of vegetation and woody debris on channel and flood-plain evolution: Insights from a paired catchment study in southeastern Australia","type":"article-journal","volume":"51"},"uris":["http://www.mendeley.com/documents/?uuid=cf84be24-ce21-4748-9125-78d97071a422"]},{"id":"ITEM-3","itemData":{"DOI":"10.1016/j.geomorph.2014.04.004","ISSN":"0169555X","abstract":"Field surveys of log steps in high-gradient streams investigate the interactions between log steps and clasts to assess whether second-growth wood can form log steps capable of diverting flow and acting as significant roughness elements similar to those formed by old-growth wood. We measure the functional log diameter and step height, as well as visually estimate the clast size in the step of 102 log steps in 15 high-gradient streams in the central Cascade Range of Washington, USA. We compare step height data to measurements of maximum bankfull depth to measure the capability of log steps to divert flow relative to their clast size and log diameter. Step height positively correlates with functional log diameter (p&lt;0.001) and clast size. Additionally, a threshold clast size exists above which functional log diameter more strongly correlates with step height, indicating that clast size can limit step height. We find that steps with cobble or larger (&gt;. 64. mm) clasts in the step are 3.7 times more likely to reach or exceed bankfull depth than steps with smaller than cobble clasts in the step. We conclude that it is necessary for steps formed by small logs to have large clasts in the step in order to reach bankfull depth, act as significant roughness elements, and create flow diversions, implying that the potential for second-growth forests to maintain log steps similar to those formed by old-growth logs depends on the size of bed material. ?? 2014 Elsevier B.V.","author":[{"dropping-particle":"","family":"Scott","given":"Daniel N.","non-dropping-particle":"","parse-names":false,"suffix":""},{"dropping-particle":"","family":"Montgomery","given":"David R.","non-dropping-particle":"","parse-names":false,"suffix":""},{"dropping-particle":"","family":"Wohl","given":"Ellen","non-dropping-particle":"","parse-names":false,"suffix":""}],"container-title":"Geomorphology","id":"ITEM-3","issued":{"date-parts":[["2014"]]},"page":"180-186","publisher":"Elsevier B.V.","title":"Log step and clast interactions in mountain streams in the central Cascade Range of Washington State, USA","type":"article-journal","volume":"216"},"uris":["http://www.mendeley.com/documents/?uuid=a3bca584-aa1a-44d5-8ac7-1bb74a5a7fa5"]}],"mendeley":{"formattedCitation":"(Brooks et al., 2003; Nakamura &amp; Swanson, 1993; Scott et al., 2014)","plainTextFormattedCitation":"(Brooks et al., 2003; Nakamura &amp; Swanson, 1993; Scott et al., 2014)","previouslyFormattedCitation":"(Brooks et al., 2003; Nakamura &amp; Swanson, 1993; Scott et al., 2014)"},"properties":{"noteIndex":0},"schema":"https://github.com/citation-style-language/schema/raw/master/csl-citation.json"}</w:instrText>
      </w:r>
      <w:r w:rsidR="00191D62" w:rsidRPr="004C7410">
        <w:fldChar w:fldCharType="separate"/>
      </w:r>
      <w:r w:rsidR="000B4D97" w:rsidRPr="004C7410">
        <w:rPr>
          <w:noProof/>
        </w:rPr>
        <w:t>(Brooks et al., 2003; Nakamura &amp; Swanson, 1993; Scott et al., 2014)</w:t>
      </w:r>
      <w:r w:rsidR="00191D62" w:rsidRPr="004C7410">
        <w:fldChar w:fldCharType="end"/>
      </w:r>
      <w:r w:rsidR="00191D62" w:rsidRPr="004C7410">
        <w:t>.</w:t>
      </w:r>
      <w:r w:rsidR="00846DD9" w:rsidRPr="004C7410">
        <w:t xml:space="preserve"> </w:t>
      </w:r>
    </w:p>
    <w:p w14:paraId="427A2486" w14:textId="565E282E" w:rsidR="007E76C0" w:rsidRPr="004C7410" w:rsidRDefault="009111CF" w:rsidP="0017623C">
      <w:pPr>
        <w:spacing w:line="480" w:lineRule="auto"/>
        <w:ind w:firstLine="720"/>
      </w:pPr>
      <w:r w:rsidRPr="004C7410">
        <w:t>Historic w</w:t>
      </w:r>
      <w:r w:rsidR="00AE5810" w:rsidRPr="004C7410">
        <w:t xml:space="preserve">ood removal </w:t>
      </w:r>
      <w:r w:rsidR="00AE5810" w:rsidRPr="004C7410">
        <w:fldChar w:fldCharType="begin" w:fldLock="1"/>
      </w:r>
      <w:r w:rsidR="00AE5810" w:rsidRPr="004C7410">
        <w:instrText>ADDIN CSL_CITATION {"citationItems":[{"id":"ITEM-1","itemData":{"PMID":"602","abstract":"Historical study showed that the pristine riparian forest extended 1.5-3.0 km on either side of the river, which was a series of multiple channels, sloughs and backwater areas. The floodplain and valley had extensive marshes and numerous downtrees helped to create and maintain shoals, multiple channels, oxbow lakes and complex aquatic habitats at the outside bends in the river. After 80 yr of snag removal and riparian forest destruction, there is now one main channel with few downed trees, relatively simple habitat for aquatic vertebrates and a &gt;four-fold decrease in river shoreline.","author":[{"dropping-particle":"","family":"Sedell","given":"James R.","non-dropping-particle":"","parse-names":false,"suffix":""},{"dropping-particle":"","family":"Froggatt","given":"Judith L.","non-dropping-particle":"","parse-names":false,"suffix":""}],"container-title":"Verhandlungen der Internationale Vereinigung fur Theoretische und Angewandte Limnologie","id":"ITEM-1","issued":{"date-parts":[["1984"]]},"page":"1828-1834","title":"Importance of streamside forests to large rivers: the isolation of the Willamette River, Oregon, U.S.A., from its floodplain by snagging and streamside forest removal","type":"article-journal","volume":"22"},"uris":["http://www.mendeley.com/documents/?uuid=c248375d-f0c1-455c-bb0b-0c4adf082bfb"]},{"id":"ITEM-2","itemData":{"DOI":"10.1002/esp.2267","ISBN":"1096-9837","ISSN":"01979337","abstract":"Historical, human-induced channel adjustments in lowland gravel-bed rivers have been documented in several geographical contexts worldwide. In particular, it is now widely accepted that the vast majority of European rivers are far from any natural, reference state prior to anthropic disturbances, and a complete restoration is hardly achievable. However, few investigations have addressed changes that have occurred in mountain rivers of the Alps, and these channels are commonly reckoned quite natural by society. This paper intends to describe how human pressure on Italian Alpine basins has been quite relevant for several centuries in terms of land-use variations, in-channel structures, timber transport (splash damming) and riparian vegetation management such that nowadays reference conditions cannot be found even in small mountain creeks. In addition, recent natural climatic variations (e.g. the Little Ice Age) are superimposed on human disturbances, thus defying the definition of any equilibrium morphological conditions even under human-free states. A summary of published as well as unpublished works on historical channel adjustments in rivers of the Italian Alps is presented in order to document the impacts deriving from human pressure at different basin scales and for different river morphologies, from steep confined streams to large unconfined rivers. General options for river management and restoration actions aiming to combine geomorphological functionality and flood hazard mitigation are discussed, in the light of the current European legislative context.","author":[{"dropping-particle":"","family":"Comiti","given":"Francesco","non-dropping-particle":"","parse-names":false,"suffix":""}],"container-title":"Earth Surface Processes and Landforms","id":"ITEM-2","issue":"7","issued":{"date-parts":[["2012"]]},"page":"693-707","title":"How natural are Alpine mountain rivers? Evidence from the Italian Alps","type":"article-journal","volume":"37"},"uris":["http://www.mendeley.com/documents/?uuid=383fe12c-b390-4332-befc-4a3d07eb583e"]},{"id":"ITEM-3","itemData":{"DOI":"10.1177/0309133314548091","ISSN":"0309-1333","abstract":"The historical removal of accumulations of wood on medium to large rivers in the continental United States caused a fundamental change in river corridors that has received relatively little attention in the scientific literature. Although scientific literature discusses the natural wood rafts present on the Red and the Atchafalaya Rivers in the southeastern United States, there is little awareness that similar extensive masses of wood are documented in the historical record from forested river catchments as diverse and widespread as those in the northeast, southeast, Texas Gulf Coast, Pacific Northwest, and upper Great Lakes regions of the country. While present, these natural wood rafts decreased channel conveyance, increased channel-floodplain connectivity, and facilitated anastomosing channels and floodplain lakes. Removal of natural wood rafts began in the 17th century in the eastern United States and proceeded westward with the movement of European settlers, accelerating during the 19th-century era of steamboats and floating of cut timber. Removal of the natural wood rafts likely forced many rivers from a multi thread planform with high channel-floodplain connectivity into an alternative stable state of single-thread channels with substantially reduced overbank flow, sedimentation, and avulsions. There is now widespread recognition among the geomorphic community of how upland clearance increased sediment yields and floodplain aggradation. I propose that widespread removal of instream wood for steamboat routes, timber rafts, and flood control was equally significant in decreasing floodplain sedimentation and river complexity, and in causing a fundamental, extensive, and intensive change in forested river corridors throughout the United States.","author":[{"dropping-particle":"","family":"Wohl","given":"Ellen","non-dropping-particle":"","parse-names":false,"suffix":""}],"container-title":"Progress in Physical Geography","id":"ITEM-3","issue":"5","issued":{"date-parts":[["2014"]]},"page":"637-663","title":"A legacy of absence: Wood removal in US rivers","type":"article-journal","volume":"38"},"uris":["http://www.mendeley.com/documents/?uuid=ff37a5b4-8483-41cd-aced-bca94b4df01c"]}],"mendeley":{"formattedCitation":"(Comiti, 2012; Sedell &amp; Froggatt, 1984; Wohl, 2014)","plainTextFormattedCitation":"(Comiti, 2012; Sedell &amp; Froggatt, 1984; Wohl, 2014)","previouslyFormattedCitation":"(Comiti, 2012; Sedell &amp; Froggatt, 1984; Wohl, 2014)"},"properties":{"noteIndex":0},"schema":"https://github.com/citation-style-language/schema/raw/master/csl-citation.json"}</w:instrText>
      </w:r>
      <w:r w:rsidR="00AE5810" w:rsidRPr="004C7410">
        <w:fldChar w:fldCharType="separate"/>
      </w:r>
      <w:r w:rsidR="00AE5810" w:rsidRPr="004C7410">
        <w:rPr>
          <w:noProof/>
        </w:rPr>
        <w:t>(Comiti, 2012; Sedell &amp; Froggatt, 1984; Wohl, 2014)</w:t>
      </w:r>
      <w:r w:rsidR="00AE5810" w:rsidRPr="004C7410">
        <w:fldChar w:fldCharType="end"/>
      </w:r>
      <w:r w:rsidR="0017623C" w:rsidRPr="004C7410">
        <w:t xml:space="preserve"> has motivated </w:t>
      </w:r>
      <w:r w:rsidR="00AE5810" w:rsidRPr="004C7410">
        <w:t>the reintroduction and active retention of wood in rivers as a mechanism of ecological restoration.</w:t>
      </w:r>
      <w:r w:rsidR="00582A68" w:rsidRPr="004C7410">
        <w:t xml:space="preserve"> However, wood can be hazardous to infrastructure and people </w:t>
      </w:r>
      <w:r w:rsidR="00582A68" w:rsidRPr="004C7410">
        <w:fldChar w:fldCharType="begin" w:fldLock="1"/>
      </w:r>
      <w:r w:rsidR="00D54465" w:rsidRPr="004C7410">
        <w:instrText>ADDIN CSL_CITATION {"citationItems":[{"id":"ITEM-1","itemData":{"DOI":"10.5194/nhess-9-197-2009","ISBN":"1561-8633","ISSN":"1684-9981","author":[{"dropping-particle":"","family":"Mazzorana","given":"B.","non-dropping-particle":"","parse-names":false,"suffix":""},{"dropping-particle":"","family":"Zischg","given":"A","non-dropping-particle":"","parse-names":false,"suffix":""},{"dropping-particle":"","family":"Largiader","given":"A","non-dropping-particle":"","parse-names":false,"suffix":""},{"dropping-particle":"","family":"Hübl","given":"J.","non-dropping-particle":"","parse-names":false,"suffix":""}],"container-title":"Natural Hazards and Earth System Science","id":"ITEM-1","issued":{"date-parts":[["2009"]]},"page":"197-209","title":"Hazard index maps for woody material recruitment and transport in alpine catchments","type":"article-journal","volume":"9"},"uris":["http://www.mendeley.com/documents/?uuid=2bf44322-b98c-495f-8f3a-77971eeeb3fc"]},{"id":"ITEM-2","itemData":{"DOI":"10.1017/CBO9781107415324.004","ISBN":"9788578110796","ISSN":"1098-6596","PMID":"25246403","author":[{"dropping-particle":"","family":"Wohl","given":"Ellen","non-dropping-particle":"","parse-names":false,"suffix":""},{"dropping-particle":"","family":"Bledsoe","given":"B P","non-dropping-particle":"","parse-names":false,"suffix":""},{"dropping-particle":"","family":"Fausch","given":"K D","non-dropping-particle":"","parse-names":false,"suffix":""},{"dropping-particle":"","family":"Kramer","given":"N","non-dropping-particle":"","parse-names":false,"suffix":""},{"dropping-particle":"","family":"Bestgen","given":"K R","non-dropping-particle":"","parse-names":false,"suffix":""},{"dropping-particle":"","family":"Gooseff","given":"M N","non-dropping-particle":"","parse-names":false,"suffix":""}],"container-title":"American Water Resources Association","id":"ITEM-2","issue":"2","issued":{"date-parts":[["2015"]]},"page":"315-335","title":"Management of Large Wood in Streams: An Overview and Proposed Framework for Hazard Evaluation","type":"article-journal","volume":"52"},"uris":["http://www.mendeley.com/documents/?uuid=d72d8f7b-1aca-4d2b-9e3d-e1e8e4b736da"]},{"id":"ITEM-3","itemData":{"DOI":"10.1002/rra.3300","ISSN":"15351467","abstract":"Abstract In?channel wood is a key component in fluvial ecosystems; however, transport of in?channel wood during floods can create hazards in urbanized areas. Among the main problems is wood accumulation at bridges, which reduces flow openings, causes blockage and inundation of nearby areas and, eventually, results in structures collapsing. Increasing awareness of the importance of the ecological role of wood in rivers calls for a compromise between the preservation of river ecosystems and management strategies for the prevention of wood?related hazards. In recent years, knowledge related to in?channel wood dynamics and hazards has notably increased, and a significant body of valuable information can be found in an extensive number of studies. This review provides a comprehensive summary of the most relevant advances regarding in?channel wood?bridge interactions. We review the factors controlling wood accumulation formation and summarize the different approaches used to analyse this process, namely, physical and numerical modelling. Finally, we conclude by highlighting the most important knowledge gaps, addressing particularly underresearched fields and stressing the remaining challenges.","author":[{"dropping-particle":"","family":"Cicco","given":"Pina Nicoletta","non-dropping-particle":"De","parse-names":false,"suffix":""},{"dropping-particle":"","family":"Paris","given":"Enio","non-dropping-particle":"","parse-names":false,"suffix":""},{"dropping-particle":"","family":"Ruiz-Villanueva","given":"Virginia","non-dropping-particle":"","parse-names":false,"suffix":""},{"dropping-particle":"","family":"Solari","given":"Luca","non-dropping-particle":"","parse-names":false,"suffix":""},{"dropping-particle":"","family":"Stoffel","given":"Markus","non-dropping-particle":"","parse-names":false,"suffix":""}],"container-title":"River Research and Applications","id":"ITEM-3","issue":"7","issued":{"date-parts":[["2018"]]},"page":"617-628","title":"In-channel wood-related hazards at bridges: A review","type":"article-journal","volume":"34"},"uris":["http://www.mendeley.com/documents/?uuid=1c7f5daf-9058-4794-8501-15a275ca29f6"]}],"mendeley":{"formattedCitation":"(De Cicco et al., 2018; Mazzorana et al., 2009; Wohl et al., 2015)","plainTextFormattedCitation":"(De Cicco et al., 2018; Mazzorana et al., 2009; Wohl et al., 2015)","previouslyFormattedCitation":"(De Cicco et al., 2018; Mazzorana et al., 2009; Wohl et al., 2015)"},"properties":{"noteIndex":0},"schema":"https://github.com/citation-style-language/schema/raw/master/csl-citation.json"}</w:instrText>
      </w:r>
      <w:r w:rsidR="00582A68" w:rsidRPr="004C7410">
        <w:fldChar w:fldCharType="separate"/>
      </w:r>
      <w:r w:rsidR="00B60D1C" w:rsidRPr="004C7410">
        <w:rPr>
          <w:noProof/>
        </w:rPr>
        <w:t>(De Cicco et al., 2018; Mazzorana et al., 2009; Wohl et al., 2015)</w:t>
      </w:r>
      <w:r w:rsidR="00582A68" w:rsidRPr="004C7410">
        <w:fldChar w:fldCharType="end"/>
      </w:r>
      <w:r w:rsidR="0017623C" w:rsidRPr="004C7410">
        <w:t>. Balancing</w:t>
      </w:r>
      <w:r w:rsidR="00582A68" w:rsidRPr="004C7410">
        <w:t xml:space="preserve"> the positive ecological effects of wood jams with their potential hazards</w:t>
      </w:r>
      <w:r w:rsidR="00AE5810" w:rsidRPr="004C7410">
        <w:t xml:space="preserve"> depends on building or retaining wood jams that will exhibit dynamics (change through time) that are desirable for given management goals (e.g., minimizing wood transport downstream while maximizing heterogeneity in a given reach).</w:t>
      </w:r>
      <w:bookmarkEnd w:id="2"/>
      <w:r w:rsidR="00582A68" w:rsidRPr="004C7410">
        <w:t xml:space="preserve"> </w:t>
      </w:r>
      <w:r w:rsidR="00A958C8" w:rsidRPr="004C7410">
        <w:t>Recent</w:t>
      </w:r>
      <w:r w:rsidR="008613ED" w:rsidRPr="004C7410">
        <w:t xml:space="preserve"> wood reintroduction and retention efforts</w:t>
      </w:r>
      <w:r w:rsidR="00A958C8" w:rsidRPr="004C7410">
        <w:t xml:space="preserve"> have shown that</w:t>
      </w:r>
      <w:r w:rsidR="008613ED" w:rsidRPr="004C7410">
        <w:t xml:space="preserve"> </w:t>
      </w:r>
      <w:r w:rsidR="00717949" w:rsidRPr="004C7410">
        <w:t xml:space="preserve">the use of </w:t>
      </w:r>
      <w:r w:rsidR="008613ED" w:rsidRPr="004C7410">
        <w:t xml:space="preserve">more </w:t>
      </w:r>
      <w:r w:rsidR="00A958C8" w:rsidRPr="004C7410">
        <w:t xml:space="preserve">dynamic </w:t>
      </w:r>
      <w:r w:rsidR="008613ED" w:rsidRPr="004C7410">
        <w:t>wood structures</w:t>
      </w:r>
      <w:r w:rsidR="00A958C8" w:rsidRPr="004C7410">
        <w:t xml:space="preserve"> that work with river processes can be effective in stream restoration</w:t>
      </w:r>
      <w:r w:rsidR="008613ED" w:rsidRPr="004C7410">
        <w:t xml:space="preserve"> </w:t>
      </w:r>
      <w:r w:rsidR="007D1690" w:rsidRPr="004C7410">
        <w:fldChar w:fldCharType="begin" w:fldLock="1"/>
      </w:r>
      <w:r w:rsidR="00A14470" w:rsidRPr="004C7410">
        <w:instrText>ADDIN CSL_CITATION {"citationItems":[{"id":"ITEM-1","itemData":{"DOI":"10.1139/cjfas-2014-0344","ISBN":"0706-652X","ISSN":"0706-652X","abstract":"Despite decades of research on wood in rivers, the addition of wood as a river restoration technique remains controversial. We reviewed the literature on natural and placed wood to shed light on areas of continued debate. Research on river ecology demonstrates that large woody debris has always been a natural part of most rivers systems. Although a few studies have reported high structural failure rates (&gt;50%) of placed instream wood structures, most studies have shown relatively low failure rates (&lt;20%) and that placed wood remains stable for several years, though long-term evaluations of placed wood are rare. The vast majority of studies on wood placement have reported improvements in physical habitat (e.g., increased pool frequency, cover, habitat diversity). Studies that have not reported improvements in physical habitat often found that watershed processes (e.g., sediment, hydrology, water quality) had not been addressed. Finally, most evaluations of fish response to wood placement have shown positive responses for salmonids, though few studies have looked at long-term watershed-scale responses or studied a wide range of species.","author":[{"dropping-particle":"","family":"Roni","given":"Philip","non-dropping-particle":"","parse-names":false,"suffix":""},{"dropping-particle":"","family":"Beechie","given":"Tim","non-dropping-particle":"","parse-names":false,"suffix":""},{"dropping-particle":"","family":"Pess","given":"George","non-dropping-particle":"","parse-names":false,"suffix":""},{"dropping-particle":"","family":"Hanson","given":"Karrie","non-dropping-particle":"","parse-names":false,"suffix":""},{"dropping-particle":"","family":"Jonsson","given":"Bror","non-dropping-particle":"","parse-names":false,"suffix":""}],"container-title":"Canadian Journal of Fisheries and Aquatic Sciences","id":"ITEM-1","issue":"3","issued":{"date-parts":[["2015"]]},"page":"466-478","title":"Wood placement in river restoration: fact, fiction, and future direction","type":"article-journal","volume":"72"},"uris":["http://www.mendeley.com/documents/?uuid=662e4e1f-e957-4f66-a6f6-5c8fd2757062"]},{"id":"ITEM-2","itemData":{"DOI":"10.1111/1365-2664.13013","ISBN":"0000000154871","ISSN":"13652664","abstract":"1. Extensive habitat destruction and pollution have caused dramatic declines in aquatic biodiversity at local to global scales. In rivers, the reintroduction of large woody debris is a common method aimed at restoring degraded ecosystem s through ‘rewilding’. However, causal evidence for its effectiveness is lacking due to a dearth of replicated before-after control-impact field experiments.\r\n2. We conducted the first replicated experiment of large woody debris rewilding across multiple rivers and organisational levels, from individual target species populations to entire food webs.  \r\n3. For the first time we demonstrate causal links between habitat restoration, biodiversity restoration and food-web responses. Populations of  invertebrates and an apex predator, brown trout (Salmo trutta ), increased, and food web analysis suggested increased biomass flux from basal resources to invertebrates and subsequently fishes within restored reaches. \r\n4. Synthesis and applications . This study contributes significant new evidence demonstrating that large woody debris rewilding can help to restore human-impacted river ecosystems, primarily through altering the abundance and biomass of consumers and resources in the food web. We also outline a means to gauge the magnitude of ecological responses to restoration, relative to environmental stressors, which could help to prioritise the most effective conservation efforts. ","author":[{"dropping-particle":"","family":"Thompson","given":"Murray S.A.","non-dropping-particle":"","parse-names":false,"suffix":""},{"dropping-particle":"","family":"Brooks","given":"Stephen J.","non-dropping-particle":"","parse-names":false,"suffix":""},{"dropping-particle":"","family":"Sayer","given":"Carl D.","non-dropping-particle":"","parse-names":false,"suffix":""},{"dropping-particle":"","family":"Woodward","given":"Guy","non-dropping-particle":"","parse-names":false,"suffix":""},{"dropping-particle":"","family":"Axmacher","given":"Jan C.","non-dropping-particle":"","parse-names":false,"suffix":""},{"dropping-particle":"","family":"Perkins","given":"Daniel M.","non-dropping-particle":"","parse-names":false,"suffix":""},{"dropping-particle":"","family":"Gray","given":"Clare","non-dropping-particle":"","parse-names":false,"suffix":""}],"container-title":"Journal of Applied Ecology","id":"ITEM-2","issue":"2","issued":{"date-parts":[["2018"]]},"page":"895-904","title":"Large woody debris “rewilding” rapidly restores biodiversity in riverine food webs","type":"article-journal","volume":"55"},"uris":["http://www.mendeley.com/documents/?uuid=9eb3af2f-17a5-4496-8ab3-f41ae9e48da0"]}],"mendeley":{"formattedCitation":"(Roni et al., 2015; Thompson et al., 2018)","plainTextFormattedCitation":"(Roni et al., 2015; Thompson et al., 2018)","previouslyFormattedCitation":"(Roni et al., 2015; Thompson et al., 2018)"},"properties":{"noteIndex":0},"schema":"https://github.com/citation-style-language/schema/raw/master/csl-citation.json"}</w:instrText>
      </w:r>
      <w:r w:rsidR="007D1690" w:rsidRPr="004C7410">
        <w:fldChar w:fldCharType="separate"/>
      </w:r>
      <w:r w:rsidR="00A958C8" w:rsidRPr="004C7410">
        <w:rPr>
          <w:noProof/>
        </w:rPr>
        <w:t>(Roni et al., 2015; Thompson et al., 2018)</w:t>
      </w:r>
      <w:r w:rsidR="007D1690" w:rsidRPr="004C7410">
        <w:fldChar w:fldCharType="end"/>
      </w:r>
      <w:r w:rsidR="00753CA7" w:rsidRPr="004C7410">
        <w:t>.</w:t>
      </w:r>
      <w:r w:rsidR="00851ABB" w:rsidRPr="004C7410">
        <w:t xml:space="preserve"> </w:t>
      </w:r>
      <w:r w:rsidR="001166F7" w:rsidRPr="004C7410">
        <w:t xml:space="preserve">Such </w:t>
      </w:r>
      <w:r w:rsidR="00851ABB" w:rsidRPr="004C7410">
        <w:t xml:space="preserve">structures are </w:t>
      </w:r>
      <w:r w:rsidR="004E33ED" w:rsidRPr="004C7410">
        <w:t xml:space="preserve">typically </w:t>
      </w:r>
      <w:r w:rsidR="00851ABB" w:rsidRPr="004C7410">
        <w:t xml:space="preserve">not </w:t>
      </w:r>
      <w:r w:rsidR="00A958C8" w:rsidRPr="004C7410">
        <w:t xml:space="preserve">securely </w:t>
      </w:r>
      <w:r w:rsidR="00851ABB" w:rsidRPr="004C7410">
        <w:t>anchored in place, can be cheaper than</w:t>
      </w:r>
      <w:r w:rsidR="00A958C8" w:rsidRPr="004C7410">
        <w:t xml:space="preserve"> </w:t>
      </w:r>
      <w:r w:rsidR="00A45C13" w:rsidRPr="004C7410">
        <w:t xml:space="preserve">stabilized </w:t>
      </w:r>
      <w:r w:rsidR="00851ABB" w:rsidRPr="004C7410">
        <w:t xml:space="preserve">structures, and can allow for restoration of process as well as form over long </w:t>
      </w:r>
      <w:r w:rsidR="00045BCB" w:rsidRPr="004C7410">
        <w:t xml:space="preserve">stream </w:t>
      </w:r>
      <w:r w:rsidR="00851ABB" w:rsidRPr="004C7410">
        <w:t>segments.</w:t>
      </w:r>
      <w:r w:rsidR="00753CA7" w:rsidRPr="004C7410">
        <w:t xml:space="preserve"> </w:t>
      </w:r>
      <w:r w:rsidR="0017623C" w:rsidRPr="004C7410">
        <w:t xml:space="preserve">An inability to predict </w:t>
      </w:r>
      <w:r w:rsidR="00B60D1C" w:rsidRPr="004C7410">
        <w:t>wood jam dynamics</w:t>
      </w:r>
      <w:r w:rsidR="0017623C" w:rsidRPr="004C7410">
        <w:t xml:space="preserve"> hampers</w:t>
      </w:r>
      <w:r w:rsidR="00C8208D" w:rsidRPr="004C7410">
        <w:t xml:space="preserve"> our ability to </w:t>
      </w:r>
      <w:r w:rsidR="0017623C" w:rsidRPr="004C7410">
        <w:t>use engineered wood structures or naturally deposited jams cost-effectively and sustainably.</w:t>
      </w:r>
    </w:p>
    <w:p w14:paraId="20745D95" w14:textId="6284283E" w:rsidR="007419BE" w:rsidRPr="004C7410" w:rsidRDefault="007419BE" w:rsidP="007419BE">
      <w:pPr>
        <w:spacing w:line="480" w:lineRule="auto"/>
        <w:ind w:firstLine="720"/>
      </w:pPr>
      <w:r w:rsidRPr="004C7410">
        <w:t xml:space="preserve">Although the National Large Wood Manual suggests a force and moment analysis of large wood structures </w:t>
      </w:r>
      <w:r w:rsidRPr="004C7410">
        <w:fldChar w:fldCharType="begin" w:fldLock="1"/>
      </w:r>
      <w:r w:rsidRPr="004C7410">
        <w:instrText>ADDIN CSL_CITATION {"citationItems":[{"id":"ITEM-1","itemData":{"abstract":"Preface The historical legacies of anthropogenic removal of large wood from rivers, reduction of wood inputs through land use alterations and channel hardening, the loss of large riparian trees that once formed stable snags, and alterations to wood transport and deposition dynamics ranging from levees to dams all have contributed to the degradation of riverine ecosystems and decline of native species. Wood is not just debris that rivers carry to the sea; it also drives channel morphology, fluvial processes, the storage of sediment and organic matter, biochemical processes, and even the evolution of landscapes. The ability of large wood to effectively create dynamic, high integrity aquatic and riparian habitats has led many regulatory agencies and fisheries advocates to recommend large scale reintroduction and reinvigoration of large wood regimes. This manual is intended to help establish more consistent and robust methods to assess, design, and manage wood projects to restore streams and rivers throughout the United States. Various federal and state agencies are increasingly advocating that more wood be used as a “soft”, cost-effective, and ecologically beneficial engineering technique for restoration and mitigation projects to meet environmental mandates and endangered species requirements, while maintaining traditional agency missions. The term soft only implies that wood is a natural part of most streams and, therefore, directly addresses the goal of restoring natural conditions. There should not be anything soft, however, about the analysis and design of wood projects. They should be conducted with the same scientific and engineering rigor as any river project or manipulation. The failure of wood placements in restoration is entirely the fault of the design, not the material. By understanding the geomorphology, hydraulics, and geotechnical aspects of a project and with good engineering, stable wood structures can be designed for various situations and longevities. In many situations it may be desirable to place wood that can move, but designers should understand the function and fate of such placements. In the end, it is stable wood that most directly benefits restoration, and the underlying goal of wood projects should be to restore the function of wood until riparian forests are able to supply the large trees that can sustain those functions. In highly constrained systems where that may not be possible, engineering solutions can still be pursued t…","author":[{"dropping-particle":"","family":"USBR","given":"","non-dropping-particle":"","parse-names":false,"suffix":""},{"dropping-particle":"","family":"ERDC","given":"","non-dropping-particle":"","parse-names":false,"suffix":""}],"id":"ITEM-1","issued":{"date-parts":[["2016"]]},"number-of-pages":"628","title":"National Large Wood Manual: Assessment, Planning, Design, and Maintenance of Large Wood in Fluvial Ecosystems: Restoring Process, Function, and Structure.","type":"report"},"uris":["http://www.mendeley.com/documents/?uuid=9a3c66d2-fc21-4529-a5ac-76031682e9b8"]}],"mendeley":{"formattedCitation":"(USBR &amp; ERDC, 2016)","plainTextFormattedCitation":"(USBR &amp; ERDC, 2016)","previouslyFormattedCitation":"(USBR &amp; ERDC, 2016)"},"properties":{"noteIndex":0},"schema":"https://github.com/citation-style-language/schema/raw/master/csl-citation.json"}</w:instrText>
      </w:r>
      <w:r w:rsidRPr="004C7410">
        <w:fldChar w:fldCharType="separate"/>
      </w:r>
      <w:r w:rsidRPr="004C7410">
        <w:rPr>
          <w:noProof/>
        </w:rPr>
        <w:t>(USBR &amp; ERDC, 2016)</w:t>
      </w:r>
      <w:r w:rsidRPr="004C7410">
        <w:fldChar w:fldCharType="end"/>
      </w:r>
      <w:r w:rsidRPr="004C7410">
        <w:t xml:space="preserve">, this analysis does not account for rearrangement of the jam during </w:t>
      </w:r>
      <w:r w:rsidRPr="004C7410">
        <w:lastRenderedPageBreak/>
        <w:t>high flow</w:t>
      </w:r>
      <w:r w:rsidR="009111CF" w:rsidRPr="004C7410">
        <w:t>,</w:t>
      </w:r>
      <w:r w:rsidRPr="004C7410">
        <w:t xml:space="preserve"> jams that are not secured (i.e., those in which wood pieces can act independently of one another)</w:t>
      </w:r>
      <w:r w:rsidR="009111CF" w:rsidRPr="004C7410">
        <w:t>,</w:t>
      </w:r>
      <w:r w:rsidRPr="004C7410">
        <w:t xml:space="preserve"> complex interactions between jams and relatively immobile objects on the bed and banks</w:t>
      </w:r>
      <w:r w:rsidR="009111CF" w:rsidRPr="004C7410">
        <w:t>,</w:t>
      </w:r>
      <w:r w:rsidRPr="004C7410">
        <w:t xml:space="preserve"> and jams with high porosity. </w:t>
      </w:r>
      <w:r w:rsidR="009111CF" w:rsidRPr="004C7410">
        <w:t>S</w:t>
      </w:r>
      <w:r w:rsidRPr="004C7410">
        <w:t>uch a</w:t>
      </w:r>
      <w:r w:rsidR="009111CF" w:rsidRPr="004C7410">
        <w:t>n analysis</w:t>
      </w:r>
      <w:r w:rsidRPr="004C7410">
        <w:t xml:space="preserve"> is insufficient to predict natural and natural-analog wood jam dynamics.</w:t>
      </w:r>
    </w:p>
    <w:p w14:paraId="7E38260F" w14:textId="756E7260" w:rsidR="00824E13" w:rsidRPr="004C7410" w:rsidRDefault="00EB654A" w:rsidP="00A234EF">
      <w:pPr>
        <w:spacing w:line="480" w:lineRule="auto"/>
        <w:ind w:firstLine="720"/>
      </w:pPr>
      <w:r w:rsidRPr="004C7410">
        <w:t>H</w:t>
      </w:r>
      <w:r w:rsidR="001A3C38" w:rsidRPr="004C7410">
        <w:t xml:space="preserve">ere, we present the Wood Jam Dynamics Database and Assessment Model (WooDDAM), including a field data collection protocol, </w:t>
      </w:r>
      <w:r w:rsidR="00A234EF" w:rsidRPr="004C7410">
        <w:t xml:space="preserve">an evolving </w:t>
      </w:r>
      <w:r w:rsidR="001A3C38" w:rsidRPr="004C7410">
        <w:t xml:space="preserve">wood jam </w:t>
      </w:r>
      <w:r w:rsidR="00A234EF" w:rsidRPr="004C7410">
        <w:t xml:space="preserve">characteristics and </w:t>
      </w:r>
      <w:r w:rsidR="001A3C38" w:rsidRPr="004C7410">
        <w:t xml:space="preserve">dynamics database, </w:t>
      </w:r>
      <w:r w:rsidR="007419BE" w:rsidRPr="004C7410">
        <w:t>supervised machine learning models of wood jam dynamics</w:t>
      </w:r>
      <w:r w:rsidR="001A3C38" w:rsidRPr="004C7410">
        <w:t xml:space="preserve">, and online user interface. </w:t>
      </w:r>
      <w:r w:rsidR="001A2505" w:rsidRPr="004C7410">
        <w:t xml:space="preserve">This tool </w:t>
      </w:r>
      <w:r w:rsidR="009144EB" w:rsidRPr="004C7410">
        <w:t xml:space="preserve">accomplishes </w:t>
      </w:r>
      <w:r w:rsidR="001A2505" w:rsidRPr="004C7410">
        <w:t>three primary objectives</w:t>
      </w:r>
      <w:r w:rsidR="0051425A" w:rsidRPr="004C7410">
        <w:t xml:space="preserve">: </w:t>
      </w:r>
    </w:p>
    <w:p w14:paraId="6227203F" w14:textId="21A6F66F" w:rsidR="00824E13" w:rsidRPr="004C7410" w:rsidRDefault="007459CF" w:rsidP="00F4216D">
      <w:pPr>
        <w:pStyle w:val="ListParagraph"/>
        <w:numPr>
          <w:ilvl w:val="0"/>
          <w:numId w:val="13"/>
        </w:numPr>
        <w:spacing w:line="480" w:lineRule="auto"/>
      </w:pPr>
      <w:r w:rsidRPr="004C7410">
        <w:t xml:space="preserve">Provide a reproducible </w:t>
      </w:r>
      <w:r w:rsidR="006023A3" w:rsidRPr="004C7410">
        <w:rPr>
          <w:b/>
        </w:rPr>
        <w:t xml:space="preserve">survey </w:t>
      </w:r>
      <w:r w:rsidRPr="004C7410">
        <w:rPr>
          <w:b/>
        </w:rPr>
        <w:t>protocol</w:t>
      </w:r>
      <w:r w:rsidRPr="004C7410">
        <w:t xml:space="preserve"> to survey wood jam characteristics and, via repeat surveys, wood jam dynamics in varied environments.</w:t>
      </w:r>
      <w:r w:rsidR="00824E13" w:rsidRPr="004C7410">
        <w:t xml:space="preserve"> </w:t>
      </w:r>
      <w:r w:rsidR="0051425A" w:rsidRPr="004C7410">
        <w:t xml:space="preserve">By ensuring that measurements are reproducible, </w:t>
      </w:r>
      <w:r w:rsidR="00B91CA4" w:rsidRPr="004C7410">
        <w:t>research,</w:t>
      </w:r>
      <w:r w:rsidR="0051425A" w:rsidRPr="004C7410">
        <w:t xml:space="preserve"> management</w:t>
      </w:r>
      <w:r w:rsidR="00B91CA4" w:rsidRPr="004C7410">
        <w:t>, and practitioner</w:t>
      </w:r>
      <w:r w:rsidR="0051425A" w:rsidRPr="004C7410">
        <w:t xml:space="preserve"> teams can </w:t>
      </w:r>
      <w:r w:rsidR="00B91CA4" w:rsidRPr="004C7410">
        <w:t>contribute to the database and help improve the machine learning models without introducing excessive unknown bias.</w:t>
      </w:r>
      <w:r w:rsidR="0051425A" w:rsidRPr="004C7410">
        <w:t xml:space="preserve"> </w:t>
      </w:r>
    </w:p>
    <w:p w14:paraId="00D868A0" w14:textId="7FF9BD92" w:rsidR="00824E13" w:rsidRPr="004C7410" w:rsidRDefault="00B91CA4" w:rsidP="00F4216D">
      <w:pPr>
        <w:pStyle w:val="ListParagraph"/>
        <w:numPr>
          <w:ilvl w:val="0"/>
          <w:numId w:val="13"/>
        </w:numPr>
        <w:spacing w:line="480" w:lineRule="auto"/>
      </w:pPr>
      <w:r w:rsidRPr="004C7410">
        <w:t xml:space="preserve">Create a well-organized </w:t>
      </w:r>
      <w:r w:rsidRPr="004C7410">
        <w:rPr>
          <w:b/>
        </w:rPr>
        <w:t>database</w:t>
      </w:r>
      <w:r w:rsidRPr="004C7410">
        <w:t xml:space="preserve"> that is regularly archived</w:t>
      </w:r>
      <w:r w:rsidR="00CC1F2E" w:rsidRPr="004C7410">
        <w:t>,</w:t>
      </w:r>
      <w:r w:rsidRPr="004C7410">
        <w:t xml:space="preserve"> open to the public</w:t>
      </w:r>
      <w:r w:rsidR="00CC1F2E" w:rsidRPr="004C7410">
        <w:t>,</w:t>
      </w:r>
      <w:r w:rsidR="00DB4B70" w:rsidRPr="004C7410">
        <w:t xml:space="preserve"> and </w:t>
      </w:r>
      <w:r w:rsidRPr="004C7410">
        <w:t>facilitates ancillary research.</w:t>
      </w:r>
    </w:p>
    <w:p w14:paraId="469C8A50" w14:textId="2A1E455F" w:rsidR="006023A3" w:rsidRPr="004C7410" w:rsidRDefault="00B91CA4" w:rsidP="00F4216D">
      <w:pPr>
        <w:pStyle w:val="ListParagraph"/>
        <w:numPr>
          <w:ilvl w:val="0"/>
          <w:numId w:val="13"/>
        </w:numPr>
        <w:spacing w:line="480" w:lineRule="auto"/>
      </w:pPr>
      <w:r w:rsidRPr="004C7410">
        <w:t>Provide contextualizable, interpretable, and accurate predictions of wood jam dynamics</w:t>
      </w:r>
      <w:r w:rsidR="006023A3" w:rsidRPr="004C7410">
        <w:t xml:space="preserve"> via </w:t>
      </w:r>
      <w:r w:rsidR="006023A3" w:rsidRPr="004C7410">
        <w:rPr>
          <w:b/>
        </w:rPr>
        <w:t>supervised machine learning models</w:t>
      </w:r>
      <w:r w:rsidR="006023A3" w:rsidRPr="004C7410">
        <w:t xml:space="preserve">. </w:t>
      </w:r>
      <w:r w:rsidR="009144EB" w:rsidRPr="004C7410">
        <w:t xml:space="preserve">As the database of wood jam dynamics grows, it can provide more training data for </w:t>
      </w:r>
      <w:proofErr w:type="gramStart"/>
      <w:r w:rsidR="009144EB" w:rsidRPr="004C7410">
        <w:t>t</w:t>
      </w:r>
      <w:r w:rsidR="006023A3" w:rsidRPr="004C7410">
        <w:t>hese machine</w:t>
      </w:r>
      <w:proofErr w:type="gramEnd"/>
      <w:r w:rsidR="006023A3" w:rsidRPr="004C7410">
        <w:t xml:space="preserve"> learning models</w:t>
      </w:r>
      <w:r w:rsidR="009144EB" w:rsidRPr="004C7410">
        <w:t xml:space="preserve">, </w:t>
      </w:r>
      <w:r w:rsidR="006023A3" w:rsidRPr="004C7410">
        <w:t>thus improving model predictions and applicability</w:t>
      </w:r>
      <w:r w:rsidR="00C60E9F" w:rsidRPr="004C7410">
        <w:t>.</w:t>
      </w:r>
      <w:r w:rsidR="0017623C" w:rsidRPr="004C7410">
        <w:t xml:space="preserve"> </w:t>
      </w:r>
      <w:r w:rsidR="00AA196E" w:rsidRPr="004C7410">
        <w:t xml:space="preserve">For more informed management, </w:t>
      </w:r>
      <w:r w:rsidR="006023A3" w:rsidRPr="004C7410">
        <w:t xml:space="preserve">the statistical models and associated user-interface allow users to understand how the model developed its prediction (i.e., which wood jam characteristics are most important) and whether the newly predicted data </w:t>
      </w:r>
      <w:r w:rsidR="00A45C13" w:rsidRPr="004C7410">
        <w:t>are</w:t>
      </w:r>
      <w:r w:rsidR="006023A3" w:rsidRPr="004C7410">
        <w:t xml:space="preserve"> </w:t>
      </w:r>
      <w:proofErr w:type="gramStart"/>
      <w:r w:rsidR="006023A3" w:rsidRPr="004C7410">
        <w:t>similar to</w:t>
      </w:r>
      <w:proofErr w:type="gramEnd"/>
      <w:r w:rsidR="006023A3" w:rsidRPr="004C7410">
        <w:t xml:space="preserve"> data used to train the model</w:t>
      </w:r>
      <w:r w:rsidR="005707AA" w:rsidRPr="004C7410">
        <w:t>.</w:t>
      </w:r>
    </w:p>
    <w:p w14:paraId="528D20EE" w14:textId="3CAF6A9C" w:rsidR="00B97A31" w:rsidRPr="004C7410" w:rsidRDefault="00A234EF" w:rsidP="00B97A31">
      <w:pPr>
        <w:spacing w:line="480" w:lineRule="auto"/>
        <w:ind w:firstLine="720"/>
      </w:pPr>
      <w:r w:rsidRPr="004C7410">
        <w:t xml:space="preserve">WooDDAM represents a hypothesis: that a </w:t>
      </w:r>
      <w:r w:rsidR="00B97A31" w:rsidRPr="004C7410">
        <w:t xml:space="preserve">collaborative approach to observing wood jams can generate a database </w:t>
      </w:r>
      <w:proofErr w:type="gramStart"/>
      <w:r w:rsidR="00B97A31" w:rsidRPr="004C7410">
        <w:t>sufficient</w:t>
      </w:r>
      <w:proofErr w:type="gramEnd"/>
      <w:r w:rsidR="00B97A31" w:rsidRPr="004C7410">
        <w:t xml:space="preserve"> to drive working machine learning models of wood jam dynamics. </w:t>
      </w:r>
      <w:r w:rsidR="00847F61" w:rsidRPr="004C7410">
        <w:t>W</w:t>
      </w:r>
      <w:r w:rsidRPr="004C7410">
        <w:t>e describe WooDDAM</w:t>
      </w:r>
      <w:r w:rsidR="00A45C13" w:rsidRPr="004C7410">
        <w:t>’</w:t>
      </w:r>
      <w:r w:rsidRPr="004C7410">
        <w:t xml:space="preserve">s approach </w:t>
      </w:r>
      <w:r w:rsidR="00B97A31" w:rsidRPr="004C7410">
        <w:t xml:space="preserve">to encourage others to consider using it </w:t>
      </w:r>
      <w:r w:rsidRPr="004C7410">
        <w:t>for management and research.</w:t>
      </w:r>
      <w:r w:rsidR="00B97A31" w:rsidRPr="004C7410">
        <w:t xml:space="preserve"> </w:t>
      </w:r>
      <w:r w:rsidR="005A3749" w:rsidRPr="004C7410">
        <w:lastRenderedPageBreak/>
        <w:t xml:space="preserve">Community use of this tool will help test this hypothesis </w:t>
      </w:r>
      <w:r w:rsidR="00847F61" w:rsidRPr="004C7410">
        <w:t xml:space="preserve">and </w:t>
      </w:r>
      <w:r w:rsidR="005A3749" w:rsidRPr="004C7410">
        <w:t xml:space="preserve">benefit users of the tool via access to the public database and, </w:t>
      </w:r>
      <w:r w:rsidR="00847F61" w:rsidRPr="004C7410">
        <w:t>once</w:t>
      </w:r>
      <w:r w:rsidR="005A3749" w:rsidRPr="004C7410">
        <w:t xml:space="preserve"> the models are </w:t>
      </w:r>
      <w:r w:rsidR="00847F61" w:rsidRPr="004C7410">
        <w:t>sufficiently</w:t>
      </w:r>
      <w:r w:rsidR="005A3749" w:rsidRPr="004C7410">
        <w:t xml:space="preserve"> reliable, access to robust predictions of wood jam dynamics.</w:t>
      </w:r>
    </w:p>
    <w:p w14:paraId="051DC6D7" w14:textId="69EBCFB5" w:rsidR="00B768DA" w:rsidRPr="004C7410" w:rsidRDefault="003F4E86" w:rsidP="00F4216D">
      <w:pPr>
        <w:pStyle w:val="Heading1"/>
      </w:pPr>
      <w:r w:rsidRPr="004C7410">
        <w:t xml:space="preserve">2. </w:t>
      </w:r>
      <w:r w:rsidR="00984285" w:rsidRPr="004C7410">
        <w:t>WooDDAM Component Descriptions</w:t>
      </w:r>
    </w:p>
    <w:p w14:paraId="168C476C" w14:textId="294AA4B3" w:rsidR="000000E6" w:rsidRPr="004C7410" w:rsidRDefault="000000E6" w:rsidP="000000E6">
      <w:pPr>
        <w:spacing w:line="480" w:lineRule="auto"/>
      </w:pPr>
      <w:r w:rsidRPr="004C7410">
        <w:tab/>
        <w:t xml:space="preserve">WooDDAM is primarily accessed via a web interface, hosted at </w:t>
      </w:r>
      <w:hyperlink r:id="rId10" w:history="1">
        <w:r w:rsidRPr="004C7410">
          <w:rPr>
            <w:rStyle w:val="Hyperlink"/>
          </w:rPr>
          <w:t>https://sites.warnercnr.colostate.edu/woodjam</w:t>
        </w:r>
      </w:hyperlink>
      <w:r w:rsidR="00E118FC" w:rsidRPr="004C7410">
        <w:t xml:space="preserve"> (permalink also available at: https://www.fs.fed.us/biology/nsaec/products-tools.html#tools-woodjamdynamics).</w:t>
      </w:r>
      <w:r w:rsidRPr="004C7410">
        <w:t xml:space="preserve"> This web interface provides tools to facilitate data collection (the survey protocol), enables viewing and downloading of the database, and facilitates use of the predictive models of wood jam dynamics.</w:t>
      </w:r>
    </w:p>
    <w:p w14:paraId="510C923C" w14:textId="1526D78F" w:rsidR="00984285" w:rsidRPr="004C7410" w:rsidRDefault="00984285" w:rsidP="00984285">
      <w:pPr>
        <w:pStyle w:val="Heading2"/>
      </w:pPr>
      <w:r w:rsidRPr="004C7410">
        <w:t>2.</w:t>
      </w:r>
      <w:r w:rsidR="005A3749" w:rsidRPr="004C7410">
        <w:t>1</w:t>
      </w:r>
      <w:r w:rsidRPr="004C7410">
        <w:t xml:space="preserve"> Reproducible Field Survey Protocol</w:t>
      </w:r>
      <w:r w:rsidR="000000E6" w:rsidRPr="004C7410">
        <w:t xml:space="preserve"> to Measure Wood Jam Characteristics and Dynamics</w:t>
      </w:r>
    </w:p>
    <w:p w14:paraId="0A4D88E1" w14:textId="5BBEA41B" w:rsidR="00984285" w:rsidRPr="004C7410" w:rsidRDefault="00984285" w:rsidP="00984285">
      <w:pPr>
        <w:spacing w:line="480" w:lineRule="auto"/>
      </w:pPr>
      <w:r w:rsidRPr="004C7410">
        <w:tab/>
        <w:t xml:space="preserve">The WooDDAM field survey protocol facilitates the collection of wood jam characteristics </w:t>
      </w:r>
      <w:r w:rsidR="00A45C13" w:rsidRPr="004C7410">
        <w:t>and</w:t>
      </w:r>
      <w:r w:rsidR="00C7339A" w:rsidRPr="004C7410">
        <w:t xml:space="preserve"> </w:t>
      </w:r>
      <w:r w:rsidRPr="004C7410">
        <w:t>associated hydrologic regime and valley bottom characteristics</w:t>
      </w:r>
      <w:r w:rsidR="000000E6" w:rsidRPr="004C7410">
        <w:t xml:space="preserve"> </w:t>
      </w:r>
      <w:r w:rsidR="00D1287E" w:rsidRPr="004C7410">
        <w:t>(</w:t>
      </w:r>
      <w:r w:rsidR="000000E6" w:rsidRPr="004C7410">
        <w:t>Table 1</w:t>
      </w:r>
      <w:r w:rsidRPr="004C7410">
        <w:t xml:space="preserve">), as well as </w:t>
      </w:r>
      <w:r w:rsidR="0097626E" w:rsidRPr="004C7410">
        <w:t>the observation</w:t>
      </w:r>
      <w:r w:rsidRPr="004C7410">
        <w:t xml:space="preserve"> of wood jam dynamics via repeat surveys. </w:t>
      </w:r>
      <w:r w:rsidR="00ED12B6" w:rsidRPr="004C7410">
        <w:t xml:space="preserve">While an initial survey of wood jam characteristics is all that is necessary to </w:t>
      </w:r>
      <w:r w:rsidR="0097626E" w:rsidRPr="004C7410">
        <w:t xml:space="preserve">make predictions of wood jam dynamics </w:t>
      </w:r>
      <w:r w:rsidR="00ED12B6" w:rsidRPr="004C7410">
        <w:t>(e.g., for management purposes), resurveys of wood jam dynamics</w:t>
      </w:r>
      <w:r w:rsidR="000000E6" w:rsidRPr="004C7410">
        <w:t xml:space="preserve"> after high flows</w:t>
      </w:r>
      <w:r w:rsidR="00ED12B6" w:rsidRPr="004C7410">
        <w:t xml:space="preserve"> are necessary to contribute to the database and improve the predictive models.</w:t>
      </w:r>
    </w:p>
    <w:p w14:paraId="6121A623" w14:textId="68D2E469" w:rsidR="00985148" w:rsidRPr="004C7410" w:rsidRDefault="00985148" w:rsidP="00984285">
      <w:pPr>
        <w:spacing w:line="480" w:lineRule="auto"/>
      </w:pPr>
      <w:r w:rsidRPr="004C7410">
        <w:tab/>
      </w:r>
      <w:r w:rsidR="00B427FD" w:rsidRPr="004C7410">
        <w:t>To</w:t>
      </w:r>
      <w:r w:rsidRPr="004C7410">
        <w:t xml:space="preserve"> describ</w:t>
      </w:r>
      <w:r w:rsidR="0097626E" w:rsidRPr="004C7410">
        <w:t>e</w:t>
      </w:r>
      <w:r w:rsidRPr="004C7410">
        <w:t xml:space="preserve"> the survey protocol and variables used to describe wood jams, we define a key piece as any </w:t>
      </w:r>
      <w:r w:rsidR="00224ECF" w:rsidRPr="004C7410">
        <w:t>large wood (</w:t>
      </w:r>
      <w:r w:rsidR="00C7339A" w:rsidRPr="004C7410">
        <w:t xml:space="preserve">approximately </w:t>
      </w:r>
      <w:r w:rsidR="00224ECF" w:rsidRPr="004C7410">
        <w:t xml:space="preserve">greater than 1 m in length and 0.10 m in diameter) </w:t>
      </w:r>
      <w:r w:rsidRPr="004C7410">
        <w:t xml:space="preserve">that retains or </w:t>
      </w:r>
      <w:r w:rsidR="00C7339A" w:rsidRPr="004C7410">
        <w:t>supports</w:t>
      </w:r>
      <w:r w:rsidRPr="004C7410">
        <w:t xml:space="preserve"> other large wood in the jam, </w:t>
      </w:r>
      <w:r w:rsidR="00B5769A" w:rsidRPr="004C7410">
        <w:t xml:space="preserve">rather </w:t>
      </w:r>
      <w:r w:rsidR="00C7339A" w:rsidRPr="004C7410">
        <w:t>than</w:t>
      </w:r>
      <w:r w:rsidRPr="004C7410">
        <w:t xml:space="preserve"> </w:t>
      </w:r>
      <w:r w:rsidR="00C7339A" w:rsidRPr="004C7410">
        <w:t>the</w:t>
      </w:r>
      <w:r w:rsidRPr="004C7410">
        <w:t xml:space="preserve"> most stabilizing or largest pieces. </w:t>
      </w:r>
    </w:p>
    <w:p w14:paraId="14C3E7F8" w14:textId="06D08BB4" w:rsidR="000145AD" w:rsidRPr="004C7410" w:rsidRDefault="005A3749" w:rsidP="00A93C35">
      <w:pPr>
        <w:pStyle w:val="Heading3"/>
        <w:spacing w:line="480" w:lineRule="auto"/>
      </w:pPr>
      <w:r w:rsidRPr="004C7410">
        <w:t>2.1</w:t>
      </w:r>
      <w:r w:rsidR="000145AD" w:rsidRPr="004C7410">
        <w:t>.1 Variables Used to Characterize Wood Jam Characteristics and Dynamics</w:t>
      </w:r>
    </w:p>
    <w:p w14:paraId="4147B87C" w14:textId="00216338" w:rsidR="00717CEE" w:rsidRPr="004C7410" w:rsidRDefault="00717CEE" w:rsidP="00984285">
      <w:pPr>
        <w:spacing w:line="480" w:lineRule="auto"/>
      </w:pPr>
      <w:r w:rsidRPr="004C7410">
        <w:tab/>
      </w:r>
      <w:r w:rsidR="00B427FD" w:rsidRPr="004C7410">
        <w:t>We group t</w:t>
      </w:r>
      <w:r w:rsidRPr="004C7410">
        <w:t xml:space="preserve">he variables used in WooDDAM into those that describe hydrologic regime, channel geometry, reach-scale valley bottom characteristics, relative location and geometry of the wood jam, </w:t>
      </w:r>
      <w:r w:rsidRPr="004C7410">
        <w:lastRenderedPageBreak/>
        <w:t>physical characteristics of the wood jam, and how the wood jam has changed during a high flow</w:t>
      </w:r>
      <w:r w:rsidR="00191792" w:rsidRPr="004C7410">
        <w:t xml:space="preserve">. Table 1 provides descriptions of each variable, as well as justifications relating each variable to wood jam dynamics. </w:t>
      </w:r>
      <w:r w:rsidR="006D0055" w:rsidRPr="004C7410">
        <w:t xml:space="preserve">We describe wood jam characteristics and dynamics using primarily binary or categorical variables, which enhance reproducibility between multiple operators collecting data (see section 3.1). </w:t>
      </w:r>
      <w:r w:rsidR="00191792" w:rsidRPr="004C7410">
        <w:t>Figure 1 provides an example of how we use binary variables to describe wood jam geometry and interactions with valley bottom morphology.</w:t>
      </w:r>
    </w:p>
    <w:p w14:paraId="4A86D7D6" w14:textId="77777777" w:rsidR="000145AD" w:rsidRPr="004C7410" w:rsidRDefault="000145AD" w:rsidP="000145AD">
      <w:pPr>
        <w:spacing w:line="480" w:lineRule="auto"/>
      </w:pPr>
    </w:p>
    <w:p w14:paraId="32131292" w14:textId="77777777" w:rsidR="000145AD" w:rsidRPr="004C7410" w:rsidRDefault="000145AD" w:rsidP="000145AD">
      <w:pPr>
        <w:spacing w:line="480" w:lineRule="auto"/>
      </w:pPr>
      <w:r w:rsidRPr="004C7410">
        <w:rPr>
          <w:noProof/>
        </w:rPr>
        <w:drawing>
          <wp:inline distT="0" distB="0" distL="0" distR="0" wp14:anchorId="2631E4F4" wp14:editId="63293C61">
            <wp:extent cx="5943600" cy="2674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674620"/>
                    </a:xfrm>
                    <a:prstGeom prst="rect">
                      <a:avLst/>
                    </a:prstGeom>
                    <a:noFill/>
                    <a:ln>
                      <a:noFill/>
                    </a:ln>
                  </pic:spPr>
                </pic:pic>
              </a:graphicData>
            </a:graphic>
          </wp:inline>
        </w:drawing>
      </w:r>
    </w:p>
    <w:p w14:paraId="388BA3E0" w14:textId="77777777" w:rsidR="00985148" w:rsidRPr="004C7410" w:rsidRDefault="00985148" w:rsidP="00985148">
      <w:pPr>
        <w:spacing w:line="480" w:lineRule="auto"/>
      </w:pPr>
    </w:p>
    <w:p w14:paraId="21101F74" w14:textId="5C52E094" w:rsidR="00A93C35" w:rsidRPr="004C7410" w:rsidRDefault="00985148" w:rsidP="00A93C35">
      <w:pPr>
        <w:spacing w:line="480" w:lineRule="auto"/>
      </w:pPr>
      <w:r w:rsidRPr="004C7410">
        <w:t xml:space="preserve">Figure 1: Illustration depicting wood jam geometry and location measurements, and how they each determine either where a wood jam is located within a channel cross-section or the relative dimensions of the jam. Blue depicts explicit location metrics. Green depicts channel boundary location metrics. Brown depicts wood jam geometry and orientation metrics. See </w:t>
      </w:r>
      <w:r w:rsidR="00DD5742" w:rsidRPr="004C7410">
        <w:t>T</w:t>
      </w:r>
      <w:r w:rsidRPr="004C7410">
        <w:t>able 1 for descriptions of each measurement. These measurements, when taken together, provide a comprehensive description of the location, size, and orientation of a wood jam relative to the geometry of the channel.</w:t>
      </w:r>
    </w:p>
    <w:p w14:paraId="727E7D8E" w14:textId="77777777" w:rsidR="002E56CD" w:rsidRPr="004C7410" w:rsidRDefault="002E56CD" w:rsidP="00A93C35">
      <w:pPr>
        <w:spacing w:line="480" w:lineRule="auto"/>
      </w:pPr>
    </w:p>
    <w:p w14:paraId="22741719" w14:textId="47F4DC6D" w:rsidR="00A93C35" w:rsidRPr="004C7410" w:rsidRDefault="005A3749" w:rsidP="00A93C35">
      <w:pPr>
        <w:pStyle w:val="Heading3"/>
        <w:spacing w:line="480" w:lineRule="auto"/>
      </w:pPr>
      <w:r w:rsidRPr="004C7410">
        <w:lastRenderedPageBreak/>
        <w:t>2.1</w:t>
      </w:r>
      <w:r w:rsidR="00A93C35" w:rsidRPr="004C7410">
        <w:t>.2 Field Survey Protocol</w:t>
      </w:r>
    </w:p>
    <w:p w14:paraId="5CFB70BB" w14:textId="54542D5B" w:rsidR="00A60697" w:rsidRPr="004C7410" w:rsidRDefault="00A93C35" w:rsidP="00B427FD">
      <w:pPr>
        <w:spacing w:line="480" w:lineRule="auto"/>
        <w:ind w:firstLine="720"/>
      </w:pPr>
      <w:r w:rsidRPr="004C7410">
        <w:t>The field survey protocol consists of initial surveys to describe wood jam characteristics, followed by optional repeat surveys of jam dynamics</w:t>
      </w:r>
      <w:r w:rsidR="006040C7" w:rsidRPr="004C7410">
        <w:t xml:space="preserve"> after high flows</w:t>
      </w:r>
      <w:r w:rsidRPr="004C7410">
        <w:t xml:space="preserve">. </w:t>
      </w:r>
      <w:r w:rsidR="000000E6" w:rsidRPr="004C7410">
        <w:t xml:space="preserve">The prescribed measurements </w:t>
      </w:r>
      <w:r w:rsidR="00B427FD" w:rsidRPr="004C7410">
        <w:t xml:space="preserve">can </w:t>
      </w:r>
      <w:r w:rsidR="000000E6" w:rsidRPr="004C7410">
        <w:t xml:space="preserve">be rapidly, reproducibly, and cheaply collected by a team of two in all fluvial conditions using </w:t>
      </w:r>
      <w:r w:rsidR="00B427FD" w:rsidRPr="004C7410">
        <w:t xml:space="preserve">only basic survey equipment </w:t>
      </w:r>
      <w:r w:rsidR="00B427FD" w:rsidRPr="004C7410">
        <w:fldChar w:fldCharType="begin" w:fldLock="1"/>
      </w:r>
      <w:r w:rsidR="00B427FD" w:rsidRPr="004C7410">
        <w:instrText>ADDIN CSL_CITATION {"citationItems":[{"id":"ITEM-1","itemData":{"DOI":"10.1016/j.geomorph.2016.08.020","ISSN":"0169555X","author":[{"dropping-particle":"","family":"Scott","given":"Daniel N.","non-dropping-particle":"","parse-names":false,"suffix":""},{"dropping-particle":"","family":"Brogan","given":"Daniel J.","non-dropping-particle":"","parse-names":false,"suffix":""},{"dropping-particle":"","family":"Lininger","given":"Katherine B.","non-dropping-particle":"","parse-names":false,"suffix":""},{"dropping-particle":"","family":"Schook","given":"Derek M.","non-dropping-particle":"","parse-names":false,"suffix":""},{"dropping-particle":"","family":"Daugherty","given":"Ellen E.","non-dropping-particle":"","parse-names":false,"suffix":""},{"dropping-particle":"","family":"Sparacino","given":"Matthew S.","non-dropping-particle":"","parse-names":false,"suffix":""},{"dropping-particle":"","family":"Patton","given":"Annette I.","non-dropping-particle":"","parse-names":false,"suffix":""}],"container-title":"Geomorphology","id":"ITEM-1","issued":{"date-parts":[["2016"]]},"page":"236-243","publisher":"Elsevier B.V.","title":"Evaluating survey instruments and methods in a steep channel","type":"article-journal","volume":"273"},"uris":["http://www.mendeley.com/documents/?uuid=c00879e1-c144-47f8-9a49-563aa941b491"]}],"mendeley":{"formattedCitation":"(Scott et al., 2016)","manualFormatting":"(e.g., laser rangefinders; Scott et al., 2016)","plainTextFormattedCitation":"(Scott et al., 2016)","previouslyFormattedCitation":"(Scott et al., 2016)"},"properties":{"noteIndex":0},"schema":"https://github.com/citation-style-language/schema/raw/master/csl-citation.json"}</w:instrText>
      </w:r>
      <w:r w:rsidR="00B427FD" w:rsidRPr="004C7410">
        <w:fldChar w:fldCharType="separate"/>
      </w:r>
      <w:r w:rsidR="00B427FD" w:rsidRPr="004C7410">
        <w:rPr>
          <w:noProof/>
        </w:rPr>
        <w:t>(e.g., laser rangefinders; Scott et al., 2016)</w:t>
      </w:r>
      <w:r w:rsidR="00B427FD" w:rsidRPr="004C7410">
        <w:fldChar w:fldCharType="end"/>
      </w:r>
      <w:r w:rsidR="00B427FD" w:rsidRPr="004C7410">
        <w:t>, a field notebook or mobile device, a GPS enabled device, and a camera</w:t>
      </w:r>
      <w:r w:rsidR="000000E6" w:rsidRPr="004C7410">
        <w:t xml:space="preserve">. </w:t>
      </w:r>
      <w:r w:rsidR="00B427FD" w:rsidRPr="004C7410">
        <w:t>The survey</w:t>
      </w:r>
      <w:r w:rsidR="00984285" w:rsidRPr="004C7410">
        <w:t xml:space="preserve"> procedure gen</w:t>
      </w:r>
      <w:r w:rsidRPr="004C7410">
        <w:t xml:space="preserve">erally takes between </w:t>
      </w:r>
      <w:r w:rsidR="00B427FD" w:rsidRPr="004C7410">
        <w:t>5</w:t>
      </w:r>
      <w:r w:rsidRPr="004C7410">
        <w:t xml:space="preserve"> and 15</w:t>
      </w:r>
      <w:r w:rsidR="00984285" w:rsidRPr="004C7410">
        <w:t xml:space="preserve"> minutes per wood jam for a </w:t>
      </w:r>
      <w:proofErr w:type="gramStart"/>
      <w:r w:rsidR="00984285" w:rsidRPr="004C7410">
        <w:t>1-2 person</w:t>
      </w:r>
      <w:proofErr w:type="gramEnd"/>
      <w:r w:rsidR="00984285" w:rsidRPr="004C7410">
        <w:t xml:space="preserve"> team.</w:t>
      </w:r>
      <w:r w:rsidR="00B427FD" w:rsidRPr="004C7410">
        <w:t xml:space="preserve"> </w:t>
      </w:r>
      <w:r w:rsidR="0097626E" w:rsidRPr="004C7410">
        <w:t>After field data collection, w</w:t>
      </w:r>
      <w:r w:rsidR="00A60697" w:rsidRPr="004C7410">
        <w:t xml:space="preserve">ood jam observations </w:t>
      </w:r>
      <w:r w:rsidR="0097626E" w:rsidRPr="004C7410">
        <w:t xml:space="preserve">are </w:t>
      </w:r>
      <w:r w:rsidR="00A60697" w:rsidRPr="004C7410">
        <w:t>submitted to the database</w:t>
      </w:r>
      <w:r w:rsidR="00B427FD" w:rsidRPr="004C7410">
        <w:t xml:space="preserve"> via the WooDDAM website</w:t>
      </w:r>
      <w:r w:rsidR="00A60697" w:rsidRPr="004C7410">
        <w:t xml:space="preserve"> </w:t>
      </w:r>
      <w:r w:rsidR="0097626E" w:rsidRPr="004C7410">
        <w:t xml:space="preserve">and </w:t>
      </w:r>
      <w:r w:rsidR="00A60697" w:rsidRPr="004C7410">
        <w:t xml:space="preserve">are manually reviewed </w:t>
      </w:r>
      <w:r w:rsidR="0097626E" w:rsidRPr="004C7410">
        <w:t>for</w:t>
      </w:r>
      <w:r w:rsidR="00A60697" w:rsidRPr="004C7410">
        <w:t xml:space="preserve"> compatibility</w:t>
      </w:r>
      <w:r w:rsidR="00241C1B" w:rsidRPr="004C7410">
        <w:t xml:space="preserve"> and completeness</w:t>
      </w:r>
      <w:r w:rsidR="00A60697" w:rsidRPr="004C7410">
        <w:t xml:space="preserve">. </w:t>
      </w:r>
    </w:p>
    <w:p w14:paraId="2C3E0998" w14:textId="6FDC0843" w:rsidR="00984285" w:rsidRPr="004C7410" w:rsidRDefault="00984285" w:rsidP="00241C1B">
      <w:pPr>
        <w:spacing w:line="480" w:lineRule="auto"/>
        <w:ind w:firstLine="720"/>
      </w:pPr>
      <w:r w:rsidRPr="004C7410">
        <w:t xml:space="preserve">Resurveys consist of determining what change the wood jam experienced after a high flow (i.e., whether the jam mobilized, accumulated wood, lost wood, contracted, and/or expanded). </w:t>
      </w:r>
      <w:r w:rsidR="0008578E" w:rsidRPr="004C7410">
        <w:t>To facilitate continued monitoring of jam dynamics,</w:t>
      </w:r>
      <w:r w:rsidRPr="004C7410">
        <w:t xml:space="preserve"> it is necessary to determine whether any of the initially measured characteristics changed following the initial survey</w:t>
      </w:r>
      <w:r w:rsidR="00A60697" w:rsidRPr="004C7410">
        <w:t xml:space="preserve"> and</w:t>
      </w:r>
      <w:r w:rsidR="009C39B2" w:rsidRPr="004C7410">
        <w:t>, if needed,</w:t>
      </w:r>
      <w:r w:rsidR="00A60697" w:rsidRPr="004C7410">
        <w:t xml:space="preserve"> to resurvey those characteristics</w:t>
      </w:r>
      <w:r w:rsidRPr="004C7410">
        <w:t xml:space="preserve">. </w:t>
      </w:r>
      <w:r w:rsidR="0097626E" w:rsidRPr="004C7410">
        <w:t>Repeat photography is necessary to document jam change through time:</w:t>
      </w:r>
      <w:r w:rsidR="009C39B2" w:rsidRPr="004C7410">
        <w:t xml:space="preserve"> </w:t>
      </w:r>
      <w:r w:rsidRPr="004C7410">
        <w:t>we strongly recommend taking photographs of the jam</w:t>
      </w:r>
      <w:r w:rsidR="00A60697" w:rsidRPr="004C7410">
        <w:t xml:space="preserve"> from the left, right, upstream, and downstream sides of the jam</w:t>
      </w:r>
      <w:r w:rsidRPr="004C7410">
        <w:t xml:space="preserve"> during each survey for comparison. We also recommend noting a descriptive location for each jam </w:t>
      </w:r>
      <w:r w:rsidR="0097626E" w:rsidRPr="004C7410">
        <w:t xml:space="preserve">relative to local landmarks </w:t>
      </w:r>
      <w:r w:rsidRPr="004C7410">
        <w:t>to</w:t>
      </w:r>
      <w:r w:rsidR="00A60697" w:rsidRPr="004C7410">
        <w:t xml:space="preserve"> assist with relocating the jam.</w:t>
      </w:r>
    </w:p>
    <w:p w14:paraId="65406144" w14:textId="2678964B" w:rsidR="006F079F" w:rsidRPr="004C7410" w:rsidRDefault="00645FD4" w:rsidP="00F4216D">
      <w:pPr>
        <w:pStyle w:val="Heading2"/>
      </w:pPr>
      <w:r w:rsidRPr="004C7410">
        <w:t>2.</w:t>
      </w:r>
      <w:r w:rsidR="005A3749" w:rsidRPr="004C7410">
        <w:t>2</w:t>
      </w:r>
      <w:r w:rsidRPr="004C7410">
        <w:t xml:space="preserve"> </w:t>
      </w:r>
      <w:r w:rsidR="00984285" w:rsidRPr="004C7410">
        <w:t>Wood Jam Characteristics and Dynamics Database</w:t>
      </w:r>
    </w:p>
    <w:p w14:paraId="72A6272A" w14:textId="5E0662C0" w:rsidR="006D0055" w:rsidRPr="004C7410" w:rsidRDefault="001E1541" w:rsidP="00B427FD">
      <w:pPr>
        <w:spacing w:line="480" w:lineRule="auto"/>
      </w:pPr>
      <w:r w:rsidRPr="004C7410">
        <w:tab/>
        <w:t>The wood jam monitoring database is designed to serve two purposes</w:t>
      </w:r>
      <w:r w:rsidR="00A72877" w:rsidRPr="004C7410">
        <w:t xml:space="preserve">: </w:t>
      </w:r>
      <w:r w:rsidR="003F4E86" w:rsidRPr="004C7410">
        <w:t>1)</w:t>
      </w:r>
      <w:r w:rsidRPr="004C7410">
        <w:t xml:space="preserve"> compile data to train the </w:t>
      </w:r>
      <w:r w:rsidR="0004635C" w:rsidRPr="004C7410">
        <w:t>supervised machine learning models</w:t>
      </w:r>
      <w:r w:rsidRPr="004C7410">
        <w:t xml:space="preserve"> of jam </w:t>
      </w:r>
      <w:r w:rsidR="003E79A9" w:rsidRPr="004C7410">
        <w:t>dynamics</w:t>
      </w:r>
      <w:r w:rsidR="00A72877" w:rsidRPr="004C7410">
        <w:t xml:space="preserve">; and </w:t>
      </w:r>
      <w:r w:rsidR="003F4E86" w:rsidRPr="004C7410">
        <w:t>2)</w:t>
      </w:r>
      <w:r w:rsidR="00B427FD" w:rsidRPr="004C7410">
        <w:t xml:space="preserve"> </w:t>
      </w:r>
      <w:r w:rsidRPr="004C7410">
        <w:t xml:space="preserve">store </w:t>
      </w:r>
      <w:r w:rsidR="00A60697" w:rsidRPr="004C7410">
        <w:t xml:space="preserve">repeat </w:t>
      </w:r>
      <w:r w:rsidRPr="004C7410">
        <w:t xml:space="preserve">monitoring data of jam characteristics and the channel and watershed context in which they </w:t>
      </w:r>
      <w:r w:rsidR="006D0055" w:rsidRPr="004C7410">
        <w:t xml:space="preserve">reside, serving as a resource for </w:t>
      </w:r>
      <w:r w:rsidRPr="004C7410">
        <w:t xml:space="preserve">further research into relationships between jam dynamics, geomorphic change, human activities, and other environmental variables. </w:t>
      </w:r>
      <w:r w:rsidR="00B427FD" w:rsidRPr="004C7410">
        <w:t xml:space="preserve">The database </w:t>
      </w:r>
      <w:proofErr w:type="gramStart"/>
      <w:r w:rsidR="00B427FD" w:rsidRPr="004C7410">
        <w:t>is manually monitored</w:t>
      </w:r>
      <w:proofErr w:type="gramEnd"/>
      <w:r w:rsidR="00B427FD" w:rsidRPr="004C7410">
        <w:t xml:space="preserve"> for completeness</w:t>
      </w:r>
      <w:r w:rsidR="000B4D97" w:rsidRPr="004C7410">
        <w:t>.</w:t>
      </w:r>
    </w:p>
    <w:p w14:paraId="70DF3F73" w14:textId="2216449B" w:rsidR="00CE2384" w:rsidRPr="004C7410" w:rsidRDefault="00645FD4" w:rsidP="00F4216D">
      <w:pPr>
        <w:pStyle w:val="Heading2"/>
      </w:pPr>
      <w:r w:rsidRPr="004C7410">
        <w:lastRenderedPageBreak/>
        <w:t xml:space="preserve">2.3 </w:t>
      </w:r>
      <w:r w:rsidR="00984285" w:rsidRPr="004C7410">
        <w:t xml:space="preserve">Supervised Machine Learning </w:t>
      </w:r>
      <w:r w:rsidR="0004635C" w:rsidRPr="004C7410">
        <w:t>Models to Predict Wood Jam Dynamics</w:t>
      </w:r>
    </w:p>
    <w:p w14:paraId="7C889ABC" w14:textId="6C255DB1" w:rsidR="006D0055" w:rsidRPr="004C7410" w:rsidRDefault="00CE2384" w:rsidP="00F4216D">
      <w:pPr>
        <w:spacing w:line="480" w:lineRule="auto"/>
      </w:pPr>
      <w:r w:rsidRPr="004C7410">
        <w:tab/>
      </w:r>
      <w:r w:rsidR="006D0055" w:rsidRPr="004C7410">
        <w:t xml:space="preserve">Flow magnitude </w:t>
      </w:r>
      <w:r w:rsidR="0097626E" w:rsidRPr="004C7410">
        <w:t>alone poorly predicts</w:t>
      </w:r>
      <w:r w:rsidR="006D0055" w:rsidRPr="004C7410">
        <w:t xml:space="preserve"> wood transport rates </w:t>
      </w:r>
      <w:r w:rsidR="006D0055" w:rsidRPr="004C7410">
        <w:fldChar w:fldCharType="begin" w:fldLock="1"/>
      </w:r>
      <w:r w:rsidR="006D0055" w:rsidRPr="004C7410">
        <w:instrText>ADDIN CSL_CITATION {"citationItems":[{"id":"ITEM-1","itemData":{"DOI":"10.1002/esp.3240","ISBN":"1096-9837","ISSN":"01979337","abstract":"The transport of wood in rivers during floods is an important process that underlies differences in habitat and morphology between water courses and regions. Quantitative data are needed to properly address management objectives and balance wood budgets. In this study we use a streamside video camera to detect wood passage and measure quasi-instantaneous rates of wood transport in the Ain River, France. The objectives are to verify the procedure, describe the relation between wood transport and discharge, and construct and validate a wood budget for the reach upstream of the camera. Verification of the procedure includes tests of detection frequency, wood velocity, and piece size. A log base two transformation is proposed to classify wood by piece length. It was found that a wood transport threshold occurs at approximately two thirds of the bankfull discharge. Wood transport follows a positive linear relation with discharge up to the bankfull discharge but is both more variable and less sensitive to discharge when the floodplain is inundated. Transport rates are approximately four times higher on the rising limb of the hydrograph than on the falling limb. Wood transport estimates from a three-stage rating curve are two to 10 times higher than those from a wood budget using local and aerial surveys of upstream dynamics. Future work should address uncertainties related to wood diameter measurements, sampling length and frequency, and antecedent floods. © 2012 John Wiley &amp; Sons, Ltd.","author":[{"dropping-particle":"","family":"Macvicar","given":"Bruce","non-dropping-particle":"","parse-names":false,"suffix":""},{"dropping-particle":"","family":"Piégay","given":"Hervé","non-dropping-particle":"","parse-names":false,"suffix":""}],"container-title":"Earth Surface Processes and Landforms","id":"ITEM-1","issue":"12","issued":{"date-parts":[["2012"]]},"page":"1272-1289","title":"Implementation and validation of video monitoring for wood budgeting in a wandering piedmont river, the Ain River (France)","type":"article-journal","volume":"37"},"uris":["http://www.mendeley.com/documents/?uuid=e337319e-0d2e-49c5-be59-e63720af4ccd"]},{"id":"ITEM-2","itemData":{"DOI":"10.1002/esp.3540","ISBN":"1096-9837","ISSN":"01979337","abstract":"Monitoring large wood (LW: width &gt; 10 cm, length &gt; 1 m) in transport within rivers is a necessary next step in the development and refinement of wood budgets and is essential to a better understanding of basin-wide controls and patterns of LW flux and loads. Monitoring LW transport with coarse interval (≥ 1 min) time-lapse photography enables the deployment of monitoring cameras at large spatial and long temporal scales. Although less precise than continuous sampling with video, it allows investigators to answer broad questions about basin connectivity, compare drainages and years,and identify transport relationships and thresholds. This paper describes methods to: (i) construct fluvial wood flux curves; (ii) analyze the effects of sample interval lengths on transport estimates; and (iii) estimate total wood loads within a specified time period using coarse-interval time-lapse photography. Applying these methods to the Slave River, a large-volume (103 m3 s-1), low-gradient (10− 2 m km− 1) river in the subarctic (60</w:instrText>
      </w:r>
      <w:r w:rsidR="006D0055" w:rsidRPr="004C7410">
        <w:rPr>
          <w:rFonts w:ascii="Cambria Math" w:hAnsi="Cambria Math" w:cs="Cambria Math"/>
        </w:rPr>
        <w:instrText>∘</w:instrText>
      </w:r>
      <w:r w:rsidR="006D0055" w:rsidRPr="004C7410">
        <w:instrText xml:space="preserve"> N), yielded the following results. A threshold relationship for wood mobility was located around 4500 m3 s-1. More wood is transported on the rising limb of the hydrograph because wood flux declines rapidly on the falling limb. Five- and ten-minute sampling intervals provided unbiased equal variance estimates of 1 min sampling, whereas 15 min intervals were biased towards underestimation by 5–6%, possibly due to periodicity in wood flux. Total LW loads estimated from the 1 min dataset and adjusted for a 15% misdetection rate from 13 July to 13 August are: 1600 ± 200 # pieces, 600 ± 200 m3 and of the order of 1.3 × 105 kg carbon. The total wood load for the entire summer season is probably at least double this estimate because only the second half of the summer was monitored and a large early summer peak freshet was missed. Copyright © 2014 John Wiley &amp; Sons, Ltd.","author":[{"dropping-particle":"","family":"Kramer","given":"Natalie","non-dropping-particle":"","parse-names":false,"suffix":""},{"dropping-particle":"","family":"Wohl","given":"Ellen","non-dropping-particle":"","parse-names":false,"suffix":""}],"container-title":"Earth Surface Processes and Landforms","id":"ITEM-2","issue":"March","issued":{"date-parts":[["2014"]]},"page":"844-852","title":"Estimating fluvial wood discharge using time-lapse photography with varying sampling intervals","type":"article-journal","volume":"852"},"uris":["http://www.mendeley.com/documents/?uuid=c2874fef-991b-46be-8c51-00a909c18b9a"]},{"id":"ITEM-3","itemData":{"DOI":"10.1016/j.geomorph.2014.10.025","ISBN":"0169-555X","ISSN":"0169555X","abstract":"Large wood (LW) mobility was studied over several time periods in channel segments of four low-order mountain streams, southern Chile. All wood pieces found within the bankfull channels and on the streambanks extending into the channel with dimensions more than 10cm in diameter and 1m in length were measured and their position was referenced. Thirty six percent of measured wood pieces were tagged to investigate log mobility. All segments were first surveyed in summer and then after consecutive rainy winter periods. Annual LW mobility ranged between 0 and 28%. Eighty-four percent of the moved LW had diameters ≤40cm and 92% had lengths ≤7m. Large wood mobility was higher in periods when maximum water level (Hmax) exceeded channel bankfull depth (HBk) than in periods with flows less than HBk, but the difference was not statistically significant. Dimensions of moved LW showed no significant differences between periods with flows exceeding and with flows less than bankfull stage. Statistically significant relationships were found between annual LW mobility (%) and unit stream power (for Hmax) and Hmax/HBk. The mean diameter of transported wood pieces per period was significantly correlated with unit stream power for H15% and H50% (the level above which the flow remains for 15 and 50% of the time, respectively). These results contribute to an understanding of the complexity of LW mobilization processes in mountain streams and can be used to assess and prevent potential damage caused by LW mobilization during floods.","author":[{"dropping-particle":"","family":"Iroumé","given":"Andrés","non-dropping-particle":"","parse-names":false,"suffix":""},{"dropping-particle":"","family":"Mao","given":"Luca","non-dropping-particle":"","parse-names":false,"suffix":""},{"dropping-particle":"","family":"Andreoli","given":"Andrea","non-dropping-particle":"","parse-names":false,"suffix":""},{"dropping-particle":"","family":"Ulloa","given":"Héctor","non-dropping-particle":"","parse-names":false,"suffix":""},{"dropping-particle":"","family":"Ardiles","given":"María Paz","non-dropping-particle":"","parse-names":false,"suffix":""}],"container-title":"Geomorphology","id":"ITEM-3","issued":{"date-parts":[["2015"]]},"page":"681-693","publisher":"Elsevier B.V.","title":"Large wood mobility processes in low-order Chilean river channels","type":"article-journal","volume":"228"},"uris":["http://www.mendeley.com/documents/?uuid=b5a1a1c3-59c9-4461-b629-768be4fb8c87"]}],"mendeley":{"formattedCitation":"(Iroumé et al., 2015; Kramer &amp; Wohl, 2014; Macvicar &amp; Piégay, 2012)","plainTextFormattedCitation":"(Iroumé et al., 2015; Kramer &amp; Wohl, 2014; Macvicar &amp; Piégay, 2012)","previouslyFormattedCitation":"(Iroumé et al., 2015; Kramer &amp; Wohl, 2014; Macvicar &amp; Piégay, 2012)"},"properties":{"noteIndex":0},"schema":"https://github.com/citation-style-language/schema/raw/master/csl-citation.json"}</w:instrText>
      </w:r>
      <w:r w:rsidR="006D0055" w:rsidRPr="004C7410">
        <w:fldChar w:fldCharType="separate"/>
      </w:r>
      <w:r w:rsidR="006D0055" w:rsidRPr="004C7410">
        <w:rPr>
          <w:noProof/>
        </w:rPr>
        <w:t>(Iroumé et al., 2015; Kramer &amp; Wohl, 2014; Macvicar &amp; Piégay, 2012)</w:t>
      </w:r>
      <w:r w:rsidR="006D0055" w:rsidRPr="004C7410">
        <w:fldChar w:fldCharType="end"/>
      </w:r>
      <w:r w:rsidR="006D0055" w:rsidRPr="004C7410">
        <w:t>. Instead, channel conditions surrounding wood jams are likely better predictor</w:t>
      </w:r>
      <w:r w:rsidR="0097626E" w:rsidRPr="004C7410">
        <w:t>s</w:t>
      </w:r>
      <w:r w:rsidR="006D0055" w:rsidRPr="004C7410">
        <w:t xml:space="preserve"> of </w:t>
      </w:r>
      <w:r w:rsidR="0097626E" w:rsidRPr="004C7410">
        <w:t>wood jam</w:t>
      </w:r>
      <w:r w:rsidR="006D0055" w:rsidRPr="004C7410">
        <w:t xml:space="preserve"> longevity and </w:t>
      </w:r>
      <w:r w:rsidR="0097626E" w:rsidRPr="004C7410">
        <w:t>dynamics</w:t>
      </w:r>
      <w:r w:rsidR="006D0055" w:rsidRPr="004C7410">
        <w:t xml:space="preserve"> </w:t>
      </w:r>
      <w:r w:rsidR="006D0055" w:rsidRPr="004C7410">
        <w:fldChar w:fldCharType="begin" w:fldLock="1"/>
      </w:r>
      <w:r w:rsidR="006D0055" w:rsidRPr="004C7410">
        <w:instrText>ADDIN CSL_CITATION {"citationItems":[{"id":"ITEM-1","itemData":{"DOI":"10.1139/cjfas-2014-0344","ISBN":"0706-652X","ISSN":"0706-652X","abstract":"Despite decades of research on wood in rivers, the addition of wood as a river restoration technique remains controversial. We reviewed the literature on natural and placed wood to shed light on areas of continued debate. Research on river ecology demonstrates that large woody debris has always been a natural part of most rivers systems. Although a few studies have reported high structural failure rates (&gt;50%) of placed instream wood structures, most studies have shown relatively low failure rates (&lt;20%) and that placed wood remains stable for several years, though long-term evaluations of placed wood are rare. The vast majority of studies on wood placement have reported improvements in physical habitat (e.g., increased pool frequency, cover, habitat diversity). Studies that have not reported improvements in physical habitat often found that watershed processes (e.g., sediment, hydrology, water quality) had not been addressed. Finally, most evaluations of fish response to wood placement have shown positive responses for salmonids, though few studies have looked at long-term watershed-scale responses or studied a wide range of species.","author":[{"dropping-particle":"","family":"Roni","given":"Philip","non-dropping-particle":"","parse-names":false,"suffix":""},{"dropping-particle":"","family":"Beechie","given":"Tim","non-dropping-particle":"","parse-names":false,"suffix":""},{"dropping-particle":"","family":"Pess","given":"George","non-dropping-particle":"","parse-names":false,"suffix":""},{"dropping-particle":"","family":"Hanson","given":"Karrie","non-dropping-particle":"","parse-names":false,"suffix":""},{"dropping-particle":"","family":"Jonsson","given":"Bror","non-dropping-particle":"","parse-names":false,"suffix":""}],"container-title":"Canadian Journal of Fisheries and Aquatic Sciences","id":"ITEM-1","issue":"3","issued":{"date-parts":[["2015"]]},"page":"466-478","title":"Wood placement in river restoration: fact, fiction, and future direction","type":"article-journal","volume":"72"},"uris":["http://www.mendeley.com/documents/?uuid=662e4e1f-e957-4f66-a6f6-5c8fd2757062"]}],"mendeley":{"formattedCitation":"(Roni et al., 2015)","plainTextFormattedCitation":"(Roni et al., 2015)","previouslyFormattedCitation":"(Roni et al., 2015)"},"properties":{"noteIndex":0},"schema":"https://github.com/citation-style-language/schema/raw/master/csl-citation.json"}</w:instrText>
      </w:r>
      <w:r w:rsidR="006D0055" w:rsidRPr="004C7410">
        <w:fldChar w:fldCharType="separate"/>
      </w:r>
      <w:r w:rsidR="006D0055" w:rsidRPr="004C7410">
        <w:rPr>
          <w:noProof/>
        </w:rPr>
        <w:t>(Roni et al., 2015)</w:t>
      </w:r>
      <w:r w:rsidR="006D0055" w:rsidRPr="004C7410">
        <w:fldChar w:fldCharType="end"/>
      </w:r>
      <w:r w:rsidR="006D0055" w:rsidRPr="004C7410">
        <w:t>. As such, the predictive models of jam dynamics are based on the hypothesis that the variables described above</w:t>
      </w:r>
      <w:r w:rsidR="00CC1F2E" w:rsidRPr="004C7410">
        <w:t xml:space="preserve"> </w:t>
      </w:r>
      <w:r w:rsidR="006D0055" w:rsidRPr="004C7410">
        <w:t xml:space="preserve">will be </w:t>
      </w:r>
      <w:proofErr w:type="gramStart"/>
      <w:r w:rsidR="006D0055" w:rsidRPr="004C7410">
        <w:t>sufficient</w:t>
      </w:r>
      <w:proofErr w:type="gramEnd"/>
      <w:r w:rsidR="006D0055" w:rsidRPr="004C7410">
        <w:t xml:space="preserve"> to predict jam dynamics</w:t>
      </w:r>
      <w:r w:rsidR="00E118FC" w:rsidRPr="004C7410">
        <w:t xml:space="preserve"> for flow conditions below, near, or above bankfull stage.</w:t>
      </w:r>
    </w:p>
    <w:p w14:paraId="636518CF" w14:textId="02029652" w:rsidR="00CE2384" w:rsidRPr="004C7410" w:rsidRDefault="0004635C" w:rsidP="00570F60">
      <w:pPr>
        <w:spacing w:line="480" w:lineRule="auto"/>
        <w:ind w:firstLine="720"/>
      </w:pPr>
      <w:r w:rsidRPr="004C7410">
        <w:t>These models utilize</w:t>
      </w:r>
      <w:r w:rsidR="006F713A" w:rsidRPr="004C7410">
        <w:t xml:space="preserve"> </w:t>
      </w:r>
      <w:r w:rsidR="00E52559" w:rsidRPr="004C7410">
        <w:t xml:space="preserve">multiple </w:t>
      </w:r>
      <w:r w:rsidR="006F713A" w:rsidRPr="004C7410">
        <w:t xml:space="preserve">logistic regression to predict </w:t>
      </w:r>
      <w:r w:rsidR="002E56CD" w:rsidRPr="004C7410">
        <w:t xml:space="preserve">the </w:t>
      </w:r>
      <w:r w:rsidR="00AC72FB" w:rsidRPr="004C7410">
        <w:t xml:space="preserve">occurrence </w:t>
      </w:r>
      <w:r w:rsidR="002E56CD" w:rsidRPr="004C7410">
        <w:t xml:space="preserve">probability </w:t>
      </w:r>
      <w:r w:rsidR="006F713A" w:rsidRPr="004C7410">
        <w:t xml:space="preserve">of binary </w:t>
      </w:r>
      <w:r w:rsidR="00CC1F2E" w:rsidRPr="004C7410">
        <w:t>jam</w:t>
      </w:r>
      <w:r w:rsidR="00AC72FB" w:rsidRPr="004C7410">
        <w:t xml:space="preserve"> change </w:t>
      </w:r>
      <w:r w:rsidR="006F713A" w:rsidRPr="004C7410">
        <w:t>variables</w:t>
      </w:r>
      <w:r w:rsidR="00CC1F2E" w:rsidRPr="004C7410">
        <w:t xml:space="preserve"> (mobilization, accumulation, losing wood, contraction, and expansion</w:t>
      </w:r>
      <w:r w:rsidR="0097626E" w:rsidRPr="004C7410">
        <w:t>; Table 1</w:t>
      </w:r>
      <w:r w:rsidR="00CC1F2E" w:rsidRPr="004C7410">
        <w:t>).</w:t>
      </w:r>
      <w:r w:rsidR="00E52559" w:rsidRPr="004C7410">
        <w:t xml:space="preserve"> </w:t>
      </w:r>
      <w:r w:rsidR="0097626E" w:rsidRPr="004C7410">
        <w:t xml:space="preserve">Statistical </w:t>
      </w:r>
      <w:r w:rsidR="00FF509C" w:rsidRPr="004C7410">
        <w:t xml:space="preserve">analyses </w:t>
      </w:r>
      <w:r w:rsidRPr="004C7410">
        <w:t>are</w:t>
      </w:r>
      <w:r w:rsidR="00FF509C" w:rsidRPr="004C7410">
        <w:t xml:space="preserve"> performed using the R statistical package </w:t>
      </w:r>
      <w:r w:rsidR="00FF509C" w:rsidRPr="004C7410">
        <w:fldChar w:fldCharType="begin" w:fldLock="1"/>
      </w:r>
      <w:r w:rsidR="008247BC" w:rsidRPr="004C7410">
        <w:instrText>ADDIN CSL_CITATION {"citationItems":[{"id":"ITEM-1","itemData":{"author":[{"dropping-particle":"","family":"R Core Team","given":"","non-dropping-particle":"","parse-names":false,"suffix":""}],"id":"ITEM-1","issued":{"date-parts":[["2017"]]},"publisher":"R Foundation for Statistical Computing","publisher-place":"Vienna, Austria","title":"R: A Language and Environment for Statistical Computing","type":"article"},"uris":["http://www.mendeley.com/documents/?uuid=ed69f1c3-e74f-4114-9794-ac94b7d71b02"]}],"mendeley":{"formattedCitation":"(R Core Team, 2017)","plainTextFormattedCitation":"(R Core Team, 2017)","previouslyFormattedCitation":"(R Core Team, 2017)"},"properties":{"noteIndex":0},"schema":"https://github.com/citation-style-language/schema/raw/master/csl-citation.json"}</w:instrText>
      </w:r>
      <w:r w:rsidR="00FF509C" w:rsidRPr="004C7410">
        <w:fldChar w:fldCharType="separate"/>
      </w:r>
      <w:r w:rsidR="000E319C" w:rsidRPr="004C7410">
        <w:rPr>
          <w:noProof/>
        </w:rPr>
        <w:t>(R Core Team, 2017)</w:t>
      </w:r>
      <w:r w:rsidR="00FF509C" w:rsidRPr="004C7410">
        <w:fldChar w:fldCharType="end"/>
      </w:r>
      <w:r w:rsidR="00FF509C" w:rsidRPr="004C7410">
        <w:t>.</w:t>
      </w:r>
      <w:r w:rsidR="00570F60" w:rsidRPr="004C7410">
        <w:t xml:space="preserve"> </w:t>
      </w:r>
      <w:r w:rsidRPr="004C7410">
        <w:t xml:space="preserve">Logistic regression </w:t>
      </w:r>
      <w:r w:rsidR="0097626E" w:rsidRPr="004C7410">
        <w:t>enables</w:t>
      </w:r>
      <w:r w:rsidR="00C57587" w:rsidRPr="004C7410">
        <w:t xml:space="preserve"> </w:t>
      </w:r>
      <w:r w:rsidR="00EB7A96" w:rsidRPr="004C7410">
        <w:t>model interpretation</w:t>
      </w:r>
      <w:r w:rsidR="00CC1F2E" w:rsidRPr="004C7410">
        <w:t>: summary</w:t>
      </w:r>
      <w:r w:rsidR="00C57587" w:rsidRPr="004C7410">
        <w:t xml:space="preserve"> statistics describe the change in </w:t>
      </w:r>
      <w:r w:rsidR="0097626E" w:rsidRPr="004C7410">
        <w:t xml:space="preserve">the odds of a given jam </w:t>
      </w:r>
      <w:r w:rsidR="004C798E" w:rsidRPr="004C7410">
        <w:t>change</w:t>
      </w:r>
      <w:r w:rsidR="00C57587" w:rsidRPr="004C7410">
        <w:t xml:space="preserve"> for a unit </w:t>
      </w:r>
      <w:r w:rsidR="004C798E" w:rsidRPr="004C7410">
        <w:t>increase</w:t>
      </w:r>
      <w:r w:rsidR="00C57587" w:rsidRPr="004C7410">
        <w:t xml:space="preserve"> in each predictor</w:t>
      </w:r>
      <w:r w:rsidR="004C798E" w:rsidRPr="004C7410">
        <w:t>,</w:t>
      </w:r>
      <w:r w:rsidR="00570F60" w:rsidRPr="004C7410">
        <w:t xml:space="preserve"> </w:t>
      </w:r>
      <w:r w:rsidR="00C57587" w:rsidRPr="004C7410">
        <w:t>holding other predictors constant</w:t>
      </w:r>
      <w:r w:rsidR="0097626E" w:rsidRPr="004C7410">
        <w:t xml:space="preserve"> (see section 3.2 below for examples)</w:t>
      </w:r>
      <w:r w:rsidR="00A14470" w:rsidRPr="004C7410">
        <w:t xml:space="preserve">. </w:t>
      </w:r>
      <w:r w:rsidR="00DB4B70" w:rsidRPr="004C7410">
        <w:t>Supplemental Text 1</w:t>
      </w:r>
      <w:r w:rsidR="00B1330C" w:rsidRPr="004C7410">
        <w:t xml:space="preserve"> describes model fitting procedures.</w:t>
      </w:r>
    </w:p>
    <w:p w14:paraId="7269A9BF" w14:textId="4AC0725D" w:rsidR="00411BDE" w:rsidRPr="004C7410" w:rsidRDefault="008B636F" w:rsidP="00F4216D">
      <w:pPr>
        <w:spacing w:line="480" w:lineRule="auto"/>
        <w:ind w:firstLine="720"/>
      </w:pPr>
      <w:r w:rsidRPr="004C7410">
        <w:t>Importantly, m</w:t>
      </w:r>
      <w:r w:rsidR="00411BDE" w:rsidRPr="004C7410">
        <w:t xml:space="preserve">odel predictions are not intended to be the only line of evidence for </w:t>
      </w:r>
      <w:r w:rsidR="00CC1F2E" w:rsidRPr="004C7410">
        <w:t xml:space="preserve">evaluating </w:t>
      </w:r>
      <w:r w:rsidR="00AC72FB" w:rsidRPr="004C7410">
        <w:t xml:space="preserve">a specific </w:t>
      </w:r>
      <w:r w:rsidR="00411BDE" w:rsidRPr="004C7410">
        <w:t xml:space="preserve">jam. Because the model is interpretable, users can </w:t>
      </w:r>
      <w:r w:rsidR="0097626E" w:rsidRPr="004C7410">
        <w:t>augment</w:t>
      </w:r>
      <w:r w:rsidR="00411BDE" w:rsidRPr="004C7410">
        <w:t xml:space="preserve"> </w:t>
      </w:r>
      <w:r w:rsidRPr="004C7410">
        <w:t>predictions</w:t>
      </w:r>
      <w:r w:rsidR="00411BDE" w:rsidRPr="004C7410">
        <w:t xml:space="preserve"> by understanding why the model may have made </w:t>
      </w:r>
      <w:r w:rsidR="003A4E64" w:rsidRPr="004C7410">
        <w:t>a</w:t>
      </w:r>
      <w:r w:rsidR="00411BDE" w:rsidRPr="004C7410">
        <w:t xml:space="preserve"> prediction</w:t>
      </w:r>
      <w:r w:rsidR="0097626E" w:rsidRPr="004C7410">
        <w:t xml:space="preserve"> and evaluating whether that prediction is valid given site-specific conditions (e.g., although a jam may be likely to accumulate wood, it cannot do so if there is no wood supply from upstream)</w:t>
      </w:r>
      <w:r w:rsidR="00411BDE" w:rsidRPr="004C7410">
        <w:t xml:space="preserve">. </w:t>
      </w:r>
      <w:r w:rsidR="0007095D" w:rsidRPr="004C7410">
        <w:t xml:space="preserve">In addition, comparing predicted data against the data from the WooDDAM database (summarized on the website), can give </w:t>
      </w:r>
      <w:r w:rsidR="00411BDE" w:rsidRPr="004C7410">
        <w:t xml:space="preserve">users some idea of the confidence </w:t>
      </w:r>
      <w:r w:rsidRPr="004C7410">
        <w:t xml:space="preserve">expected </w:t>
      </w:r>
      <w:r w:rsidR="00411BDE" w:rsidRPr="004C7410">
        <w:t>from the model prediction</w:t>
      </w:r>
      <w:r w:rsidR="0007095D" w:rsidRPr="004C7410">
        <w:t>: if</w:t>
      </w:r>
      <w:r w:rsidR="00411BDE" w:rsidRPr="004C7410">
        <w:t xml:space="preserve"> newly submitted data </w:t>
      </w:r>
      <w:r w:rsidR="00A25EBC" w:rsidRPr="004C7410">
        <w:t xml:space="preserve">are </w:t>
      </w:r>
      <w:r w:rsidR="00411BDE" w:rsidRPr="004C7410">
        <w:t>far out of the range of data used to train the model, users should be careful in applying the model prediction.</w:t>
      </w:r>
    </w:p>
    <w:p w14:paraId="12A2BD1C" w14:textId="7070FB2F" w:rsidR="00071B31" w:rsidRPr="004C7410" w:rsidRDefault="00411BDE" w:rsidP="005A3749">
      <w:pPr>
        <w:spacing w:line="480" w:lineRule="auto"/>
        <w:ind w:firstLine="720"/>
      </w:pPr>
      <w:r w:rsidRPr="004C7410">
        <w:t>The online</w:t>
      </w:r>
      <w:r w:rsidR="00C454FA" w:rsidRPr="004C7410">
        <w:t xml:space="preserve"> user interface and model interaction is implemented using</w:t>
      </w:r>
      <w:r w:rsidR="009B10FB" w:rsidRPr="004C7410">
        <w:t xml:space="preserve"> the R package</w:t>
      </w:r>
      <w:r w:rsidR="00C454FA" w:rsidRPr="004C7410">
        <w:t xml:space="preserve"> shiny </w:t>
      </w:r>
      <w:r w:rsidR="007D1690" w:rsidRPr="004C7410">
        <w:fldChar w:fldCharType="begin" w:fldLock="1"/>
      </w:r>
      <w:r w:rsidR="008247BC" w:rsidRPr="004C7410">
        <w:instrText>ADDIN CSL_CITATION {"citationItems":[{"id":"ITEM-1","itemData":{"author":[{"dropping-particle":"","family":"Chang","given":"Winston","non-dropping-particle":"","parse-names":false,"suffix":""},{"dropping-particle":"","family":"Cheng","given":"Joe","non-dropping-particle":"","parse-names":false,"suffix":""},{"dropping-particle":"","family":"Allaire","given":"JJ","non-dropping-particle":"","parse-names":false,"suffix":""},{"dropping-particle":"","family":"Xie","given":"Yihui","non-dropping-particle":"","parse-names":false,"suffix":""},{"dropping-particle":"","family":"McPherson","given":"Jonathan","non-dropping-particle":"","parse-names":false,"suffix":""}],"id":"ITEM-1","issued":{"date-parts":[["2017"]]},"title":"shiny: Web Application Framework for R","type":"article"},"uris":["http://www.mendeley.com/documents/?uuid=20d1fa3c-a7c5-4267-bfc2-7dd5e37f965a"]}],"mendeley":{"formattedCitation":"(Chang et al., 2017)","plainTextFormattedCitation":"(Chang et al., 2017)","previouslyFormattedCitation":"(Chang et al., 2017)"},"properties":{"noteIndex":0},"schema":"https://github.com/citation-style-language/schema/raw/master/csl-citation.json"}</w:instrText>
      </w:r>
      <w:r w:rsidR="007D1690" w:rsidRPr="004C7410">
        <w:fldChar w:fldCharType="separate"/>
      </w:r>
      <w:r w:rsidR="000E319C" w:rsidRPr="004C7410">
        <w:rPr>
          <w:noProof/>
        </w:rPr>
        <w:t>(Chang et al., 2017)</w:t>
      </w:r>
      <w:r w:rsidR="007D1690" w:rsidRPr="004C7410">
        <w:fldChar w:fldCharType="end"/>
      </w:r>
      <w:r w:rsidR="00C454FA" w:rsidRPr="004C7410">
        <w:t>.</w:t>
      </w:r>
      <w:r w:rsidR="00071B31" w:rsidRPr="004C7410">
        <w:t xml:space="preserve"> This </w:t>
      </w:r>
      <w:r w:rsidR="008B636F" w:rsidRPr="004C7410">
        <w:t xml:space="preserve">package </w:t>
      </w:r>
      <w:r w:rsidR="00071B31" w:rsidRPr="004C7410">
        <w:t xml:space="preserve">allows users with little to no experience in statistical modeling or coding </w:t>
      </w:r>
      <w:r w:rsidR="00A25EBC" w:rsidRPr="004C7410">
        <w:t xml:space="preserve">to </w:t>
      </w:r>
      <w:r w:rsidR="00071B31" w:rsidRPr="004C7410">
        <w:t>utilize the predictive model and database in an online user interface</w:t>
      </w:r>
      <w:r w:rsidR="006B052A" w:rsidRPr="004C7410">
        <w:t>.</w:t>
      </w:r>
    </w:p>
    <w:p w14:paraId="083D8955" w14:textId="37E12F09" w:rsidR="00411BDE" w:rsidRPr="004C7410" w:rsidRDefault="00645FD4" w:rsidP="00F4216D">
      <w:pPr>
        <w:pStyle w:val="Heading2"/>
      </w:pPr>
      <w:r w:rsidRPr="004C7410">
        <w:lastRenderedPageBreak/>
        <w:t xml:space="preserve">2.4 </w:t>
      </w:r>
      <w:r w:rsidR="00984285" w:rsidRPr="004C7410">
        <w:t>Measuring Reproducibility of Field Measurements</w:t>
      </w:r>
    </w:p>
    <w:p w14:paraId="149BE9FA" w14:textId="4CE62CDE" w:rsidR="00B768DA" w:rsidRPr="004C7410" w:rsidRDefault="00411BDE" w:rsidP="00A14470">
      <w:pPr>
        <w:spacing w:line="480" w:lineRule="auto"/>
      </w:pPr>
      <w:r w:rsidRPr="004C7410">
        <w:tab/>
      </w:r>
      <w:r w:rsidR="00547CEA" w:rsidRPr="004C7410">
        <w:t>W</w:t>
      </w:r>
      <w:r w:rsidRPr="004C7410">
        <w:t xml:space="preserve">e performed two field tests to </w:t>
      </w:r>
      <w:r w:rsidR="0007095D" w:rsidRPr="004C7410">
        <w:t xml:space="preserve">evaluate the best types of variables to include in WooDDAM to maximize </w:t>
      </w:r>
      <w:proofErr w:type="spellStart"/>
      <w:r w:rsidR="0007095D" w:rsidRPr="004C7410">
        <w:t>interoperator</w:t>
      </w:r>
      <w:proofErr w:type="spellEnd"/>
      <w:r w:rsidR="0007095D" w:rsidRPr="004C7410">
        <w:t xml:space="preserve"> reproducibility (necessary to create a reliable database). </w:t>
      </w:r>
      <w:r w:rsidR="00424AEA" w:rsidRPr="004C7410">
        <w:t xml:space="preserve">We hypothesized that: 1) </w:t>
      </w:r>
      <w:r w:rsidRPr="004C7410">
        <w:t xml:space="preserve">measurements that required precise identification of </w:t>
      </w:r>
      <w:r w:rsidR="00081AF7" w:rsidRPr="004C7410">
        <w:t>wood jam boundaries (i.e., length, width, height) would be more difficult to reproduce between operators</w:t>
      </w:r>
      <w:r w:rsidR="00424AEA" w:rsidRPr="004C7410">
        <w:t>, 2)</w:t>
      </w:r>
      <w:r w:rsidR="00081AF7" w:rsidRPr="004C7410">
        <w:t xml:space="preserve"> in describing porosity, an obstruction index would be more reproducible</w:t>
      </w:r>
      <w:r w:rsidR="007B3FA7" w:rsidRPr="004C7410">
        <w:t xml:space="preserve"> than a visual estimate of porosity as a percentage</w:t>
      </w:r>
      <w:r w:rsidR="00424AEA" w:rsidRPr="004C7410">
        <w:t>, and 3)</w:t>
      </w:r>
      <w:r w:rsidR="007B3FA7" w:rsidRPr="004C7410">
        <w:t xml:space="preserve"> simpler binary variables (i.e., </w:t>
      </w:r>
      <w:r w:rsidR="00A25EBC" w:rsidRPr="004C7410">
        <w:t xml:space="preserve">variables </w:t>
      </w:r>
      <w:r w:rsidR="007B3FA7" w:rsidRPr="004C7410">
        <w:t xml:space="preserve">that delineated whether key pieces touched certain </w:t>
      </w:r>
      <w:r w:rsidR="007A7AE7" w:rsidRPr="004C7410">
        <w:t>parts of the channel</w:t>
      </w:r>
      <w:r w:rsidR="007B3FA7" w:rsidRPr="004C7410">
        <w:t xml:space="preserve">) would be more reproducible than descriptive binary variables (i.e., </w:t>
      </w:r>
      <w:r w:rsidR="00A25EBC" w:rsidRPr="004C7410">
        <w:t xml:space="preserve">variables </w:t>
      </w:r>
      <w:r w:rsidR="007B3FA7" w:rsidRPr="004C7410">
        <w:t xml:space="preserve">that </w:t>
      </w:r>
      <w:r w:rsidR="009B10FB" w:rsidRPr="004C7410">
        <w:t>ask</w:t>
      </w:r>
      <w:r w:rsidR="007B3FA7" w:rsidRPr="004C7410">
        <w:t xml:space="preserve"> </w:t>
      </w:r>
      <w:r w:rsidR="00A25EBC" w:rsidRPr="004C7410">
        <w:t xml:space="preserve">whether </w:t>
      </w:r>
      <w:r w:rsidR="007B3FA7" w:rsidRPr="004C7410">
        <w:t>the jam met a certain description, such as being ramped on a ban</w:t>
      </w:r>
      <w:r w:rsidR="00747EAE" w:rsidRPr="004C7410">
        <w:t>k</w:t>
      </w:r>
      <w:r w:rsidR="007B3FA7" w:rsidRPr="004C7410">
        <w:t xml:space="preserve"> or bridging the channel).</w:t>
      </w:r>
      <w:r w:rsidR="00A14470" w:rsidRPr="004C7410">
        <w:t xml:space="preserve"> </w:t>
      </w:r>
      <w:r w:rsidR="008B3894" w:rsidRPr="004C7410">
        <w:t>S</w:t>
      </w:r>
      <w:r w:rsidR="00A14470" w:rsidRPr="004C7410">
        <w:t>ee Supplemental Text 2 for methodological details.</w:t>
      </w:r>
    </w:p>
    <w:p w14:paraId="7806D087" w14:textId="77813AC2" w:rsidR="00E17107" w:rsidRPr="004C7410" w:rsidRDefault="00E17107" w:rsidP="00F4216D">
      <w:pPr>
        <w:pStyle w:val="Heading1"/>
      </w:pPr>
      <w:r w:rsidRPr="004C7410">
        <w:t>3. Results and Discussion</w:t>
      </w:r>
    </w:p>
    <w:p w14:paraId="6AE42F85" w14:textId="19AA8C8F" w:rsidR="00B040C6" w:rsidRPr="004C7410" w:rsidRDefault="00B040C6" w:rsidP="00241C1B">
      <w:pPr>
        <w:spacing w:line="480" w:lineRule="auto"/>
        <w:ind w:firstLine="720"/>
      </w:pPr>
      <w:r w:rsidRPr="004C7410">
        <w:t xml:space="preserve">As of </w:t>
      </w:r>
      <w:r w:rsidR="002B51AE" w:rsidRPr="004C7410">
        <w:t>February 2019</w:t>
      </w:r>
      <w:r w:rsidRPr="004C7410">
        <w:t>, the woo</w:t>
      </w:r>
      <w:r w:rsidR="0095505D" w:rsidRPr="004C7410">
        <w:t>d jam dynamics database consisted</w:t>
      </w:r>
      <w:r w:rsidRPr="004C7410">
        <w:t xml:space="preserve"> of 39</w:t>
      </w:r>
      <w:r w:rsidR="005479B9" w:rsidRPr="004C7410">
        <w:t>9</w:t>
      </w:r>
      <w:r w:rsidRPr="004C7410">
        <w:t xml:space="preserve"> unique jams, including 3</w:t>
      </w:r>
      <w:r w:rsidR="005479B9" w:rsidRPr="004C7410">
        <w:t>51</w:t>
      </w:r>
      <w:r w:rsidRPr="004C7410">
        <w:t xml:space="preserve"> repeat surveys of jam dynamics, from 1</w:t>
      </w:r>
      <w:r w:rsidR="005479B9" w:rsidRPr="004C7410">
        <w:t>6</w:t>
      </w:r>
      <w:r w:rsidRPr="004C7410">
        <w:t xml:space="preserve"> rivers ranging in bankfull width from 4 to 228 m and slope from 0.01 to 27.7%. Of the 3</w:t>
      </w:r>
      <w:r w:rsidR="00D806BA" w:rsidRPr="004C7410">
        <w:t>51</w:t>
      </w:r>
      <w:r w:rsidRPr="004C7410">
        <w:t xml:space="preserve"> jam dynamics observations, 3</w:t>
      </w:r>
      <w:r w:rsidR="005479B9" w:rsidRPr="004C7410">
        <w:t>5</w:t>
      </w:r>
      <w:r w:rsidRPr="004C7410">
        <w:t xml:space="preserve"> jams (</w:t>
      </w:r>
      <w:r w:rsidR="005479B9" w:rsidRPr="004C7410">
        <w:t>10</w:t>
      </w:r>
      <w:r w:rsidRPr="004C7410">
        <w:t>%) mobilized, 98 (28%) accumulated wood, 55 (16%) lost wood, 8 (2%) contracted, none expanded, and 183 (5</w:t>
      </w:r>
      <w:r w:rsidR="005479B9" w:rsidRPr="004C7410">
        <w:t>2</w:t>
      </w:r>
      <w:r w:rsidRPr="004C7410">
        <w:t xml:space="preserve">%) did not change. </w:t>
      </w:r>
      <w:r w:rsidR="00B1330C" w:rsidRPr="004C7410">
        <w:t xml:space="preserve">We resurveyed </w:t>
      </w:r>
      <w:r w:rsidR="002B51AE" w:rsidRPr="004C7410">
        <w:t>2</w:t>
      </w:r>
      <w:r w:rsidR="00D806BA" w:rsidRPr="004C7410">
        <w:t>02</w:t>
      </w:r>
      <w:r w:rsidRPr="004C7410">
        <w:t xml:space="preserve"> jams after a flow of bankfull stage or greater, of which 3</w:t>
      </w:r>
      <w:r w:rsidR="002B51AE" w:rsidRPr="004C7410">
        <w:t>5</w:t>
      </w:r>
      <w:r w:rsidRPr="004C7410">
        <w:t xml:space="preserve"> (1</w:t>
      </w:r>
      <w:r w:rsidR="00D806BA" w:rsidRPr="004C7410">
        <w:t>7</w:t>
      </w:r>
      <w:r w:rsidRPr="004C7410">
        <w:t xml:space="preserve">%) mobilized and </w:t>
      </w:r>
      <w:r w:rsidR="00D806BA" w:rsidRPr="004C7410">
        <w:t>76</w:t>
      </w:r>
      <w:r w:rsidRPr="004C7410">
        <w:t xml:space="preserve"> (</w:t>
      </w:r>
      <w:r w:rsidR="00D806BA" w:rsidRPr="004C7410">
        <w:t>38</w:t>
      </w:r>
      <w:r w:rsidRPr="004C7410">
        <w:t>%) did not change. Although the database does not include</w:t>
      </w:r>
      <w:r w:rsidR="002B51AE" w:rsidRPr="004C7410">
        <w:t xml:space="preserve"> many</w:t>
      </w:r>
      <w:r w:rsidRPr="004C7410">
        <w:t xml:space="preserve"> repeat surveys after exceptionally high flows, the current data suggest that natural wood jams generally exhibit low rates of mobility, even under bankfull or greater flows. Bankfull stage appears to act as a mobility threshold</w:t>
      </w:r>
      <w:r w:rsidR="00CC1F2E" w:rsidRPr="004C7410">
        <w:t>:</w:t>
      </w:r>
      <w:r w:rsidRPr="004C7410">
        <w:t xml:space="preserve"> flows below ban</w:t>
      </w:r>
      <w:r w:rsidR="0095505D" w:rsidRPr="004C7410">
        <w:t>kfull tend not to mobilize jams</w:t>
      </w:r>
      <w:r w:rsidR="00CC1F2E" w:rsidRPr="004C7410">
        <w:t>,</w:t>
      </w:r>
      <w:r w:rsidRPr="004C7410">
        <w:t xml:space="preserve"> </w:t>
      </w:r>
      <w:r w:rsidR="0095505D" w:rsidRPr="004C7410">
        <w:t xml:space="preserve">while mobilization is more likely but </w:t>
      </w:r>
      <w:r w:rsidRPr="004C7410">
        <w:t>not guaranteed above bankfull flows</w:t>
      </w:r>
      <w:r w:rsidR="0095505D" w:rsidRPr="004C7410">
        <w:t>; this is</w:t>
      </w:r>
      <w:r w:rsidRPr="004C7410">
        <w:t xml:space="preserve"> in agreement with the synthesis of Kramer and Wohl </w:t>
      </w:r>
      <w:r w:rsidRPr="004C7410">
        <w:fldChar w:fldCharType="begin" w:fldLock="1"/>
      </w:r>
      <w:r w:rsidRPr="004C7410">
        <w:instrText>ADDIN CSL_CITATION {"citationItems":[{"id":"ITEM-1","itemData":{"DOI":"10.1016/j.geomorph.2016.08.026","ISSN":"0169555X","abstract":"To effectively manage wood in rivers, we need a better understanding of wood mobility within river networks. Here, we review primarily field-based (and some numerical) studies of wood transport. We distinguish small, medium, large, and great rivers based on wood piece dimensions relative to channel and flow dimensions and dominant controls on wood transport. We suggest further identification and designation of wood transport regimes as a useful way to characterize spatial-temporal network heterogeneity and to conceptualize the primary controls on wood mobility in diverse river segments. We draw analogies between wood and bedload transport, including distinguishing Eulerian and Lagrangian approaches, exploring transport capacity, and quantifying thresholds of wood mobility. We identify mobility envelopes for remobilization of wood with relation to increasing peak discharges, stream size, and dimensionless log lengths. Wood transport in natural channels exhibits high spatial and temporal variability, with discontinuities along the channel network at bankfull flow and when log lengths equal channel widths. Although median mobilization rates increase with increasing channel size, maximum mobilization rates are greatest in medium-sized channels. Most wood is transported during relatively infrequent high flows, but flows under bankfull can transport up to 30% of stored wood. We use conceptual models of dynamic equilibrium of wood in storage and of spiralling wood transport paths through drainage networks, as well as a metaphor of traffic on a road, to explore discontinuous wood movement through a river network. The primary limitations to describing wood transport are inappropriate time scales of observation and lack of sufficient data on mobility from diverse rivers. Improving models of wood flux requires better characterization of average step lengths within the lifetime travel path of a piece of wood. We suggest that future studies focus on: (i) continuous or high-frequency monitoring of wood mobility; (ii) monitoring changes in wood storage; (iii) using wood characteristics to fingerprint wood sources; (iv) quantifying volumes of wood buried within river corridors; (v) obtaining existing or new data from unconventional sources, such as citizen science initiatives, and (vi) creating online interactive data platforms to facilitate data synthesis.","author":[{"dropping-particle":"","family":"Kramer","given":"Natalie","non-dropping-particle":"","parse-names":false,"suffix":""},{"dropping-particle":"","family":"Wohl","given":"Ellen","non-dropping-particle":"","parse-names":false,"suffix":""}],"container-title":"Geomorphology","id":"ITEM-1","issued":{"date-parts":[["2016"]]},"page":"74-97","publisher":"Elsevier B.V.","title":"Rules of the road: A qualitative and quantitative synthesis of large wood transport through drainage networks","type":"article-journal","volume":"279"},"suppress-author":1,"uris":["http://www.mendeley.com/documents/?uuid=d19b7bc6-345c-4b56-a714-32e99311c66f"]}],"mendeley":{"formattedCitation":"(2016)","plainTextFormattedCitation":"(2016)","previouslyFormattedCitation":"(2016)"},"properties":{"noteIndex":0},"schema":"https://github.com/citation-style-language/schema/raw/master/csl-citation.json"}</w:instrText>
      </w:r>
      <w:r w:rsidRPr="004C7410">
        <w:fldChar w:fldCharType="separate"/>
      </w:r>
      <w:r w:rsidRPr="004C7410">
        <w:rPr>
          <w:noProof/>
        </w:rPr>
        <w:t>(2016)</w:t>
      </w:r>
      <w:r w:rsidRPr="004C7410">
        <w:fldChar w:fldCharType="end"/>
      </w:r>
      <w:r w:rsidRPr="004C7410">
        <w:t xml:space="preserve">. </w:t>
      </w:r>
    </w:p>
    <w:p w14:paraId="1DA933DF" w14:textId="4EACE1C7" w:rsidR="00C032A3" w:rsidRPr="004C7410" w:rsidRDefault="00645FD4" w:rsidP="00F4216D">
      <w:pPr>
        <w:pStyle w:val="Heading2"/>
      </w:pPr>
      <w:r w:rsidRPr="004C7410">
        <w:lastRenderedPageBreak/>
        <w:t>3.</w:t>
      </w:r>
      <w:r w:rsidR="00E17107" w:rsidRPr="004C7410">
        <w:t>1</w:t>
      </w:r>
      <w:r w:rsidRPr="004C7410">
        <w:t xml:space="preserve"> </w:t>
      </w:r>
      <w:proofErr w:type="spellStart"/>
      <w:r w:rsidR="00071B31" w:rsidRPr="004C7410">
        <w:t>Interoperator</w:t>
      </w:r>
      <w:proofErr w:type="spellEnd"/>
      <w:r w:rsidR="00071B31" w:rsidRPr="004C7410">
        <w:t xml:space="preserve"> Variability Testing </w:t>
      </w:r>
    </w:p>
    <w:p w14:paraId="3049F879" w14:textId="5EBD1D76" w:rsidR="00330DEA" w:rsidRPr="004C7410" w:rsidRDefault="00DB4B70" w:rsidP="00DB4B70">
      <w:pPr>
        <w:spacing w:line="480" w:lineRule="auto"/>
      </w:pPr>
      <w:r w:rsidRPr="004C7410">
        <w:tab/>
        <w:t xml:space="preserve">Field tests indicated that measurements of wood jam width, length, and height were significantly more variable between operators than binary observations of relative jam geometry. Similarly, we found that binary descriptions of jam interactions with the valley bottom were more reproducible than categorical descriptions, and a categorical obstruction index was more reproducible than a visual estimate of porosity. </w:t>
      </w:r>
      <w:r w:rsidR="008B3894" w:rsidRPr="004C7410">
        <w:t>S</w:t>
      </w:r>
      <w:r w:rsidRPr="004C7410">
        <w:t xml:space="preserve">ee Supplemental Text </w:t>
      </w:r>
      <w:r w:rsidR="00A14470" w:rsidRPr="004C7410">
        <w:t>3</w:t>
      </w:r>
      <w:r w:rsidRPr="004C7410">
        <w:t xml:space="preserve"> for details. </w:t>
      </w:r>
      <w:r w:rsidR="00612D91" w:rsidRPr="004C7410">
        <w:t xml:space="preserve"> </w:t>
      </w:r>
    </w:p>
    <w:p w14:paraId="2DDF2E9A" w14:textId="50153889" w:rsidR="00E17107" w:rsidRPr="004C7410" w:rsidRDefault="00FC33B9" w:rsidP="00B05F68">
      <w:pPr>
        <w:pStyle w:val="Heading2"/>
      </w:pPr>
      <w:r w:rsidRPr="004C7410">
        <w:t>3.</w:t>
      </w:r>
      <w:r w:rsidR="00B040C6" w:rsidRPr="004C7410">
        <w:t>2</w:t>
      </w:r>
      <w:r w:rsidR="00FD3036" w:rsidRPr="004C7410">
        <w:t xml:space="preserve"> </w:t>
      </w:r>
      <w:r w:rsidR="00E17107" w:rsidRPr="004C7410">
        <w:t xml:space="preserve">Example Model: Predicting Wood Jam </w:t>
      </w:r>
      <w:r w:rsidR="00D71C5D" w:rsidRPr="004C7410">
        <w:t>Mobilization</w:t>
      </w:r>
    </w:p>
    <w:p w14:paraId="34C973C7" w14:textId="1DC9613D" w:rsidR="00D806BA" w:rsidRPr="004C7410" w:rsidRDefault="00330DEA" w:rsidP="00F4216D">
      <w:pPr>
        <w:spacing w:line="480" w:lineRule="auto"/>
      </w:pPr>
      <w:r w:rsidRPr="004C7410">
        <w:tab/>
      </w:r>
      <w:r w:rsidR="00C50EA2" w:rsidRPr="004C7410">
        <w:t>From the data currently available, we built a preliminary multiple logistic regression model to predict jam mobilization given channel conditions, jam characteristics, and flow magnitude.</w:t>
      </w:r>
      <w:r w:rsidR="00D806BA" w:rsidRPr="004C7410">
        <w:t xml:space="preserve"> We present this model with uncertainty shown by 95% confidence intervals to demonstrate the potential for WooDDAM predictive models if more data </w:t>
      </w:r>
      <w:proofErr w:type="gramStart"/>
      <w:r w:rsidR="00D806BA" w:rsidRPr="004C7410">
        <w:t>are submitted</w:t>
      </w:r>
      <w:proofErr w:type="gramEnd"/>
      <w:r w:rsidR="00D806BA" w:rsidRPr="004C7410">
        <w:t xml:space="preserve"> to the database, and with the disclaimer that this information should not be used for decision-making.</w:t>
      </w:r>
      <w:r w:rsidR="00C50EA2" w:rsidRPr="004C7410">
        <w:t xml:space="preserve"> </w:t>
      </w:r>
      <w:r w:rsidR="00D806BA" w:rsidRPr="004C7410">
        <w:t>This model</w:t>
      </w:r>
      <w:r w:rsidR="004627F9" w:rsidRPr="004C7410">
        <w:t xml:space="preserve"> indicates</w:t>
      </w:r>
      <w:r w:rsidR="00C50EA2" w:rsidRPr="004C7410">
        <w:t xml:space="preserve"> that</w:t>
      </w:r>
      <w:r w:rsidR="00D806BA" w:rsidRPr="004C7410">
        <w:t xml:space="preserve"> jams are </w:t>
      </w:r>
      <m:oMath>
        <m:sSubSup>
          <m:sSubSupPr>
            <m:ctrlPr>
              <w:rPr>
                <w:rFonts w:ascii="Cambria Math" w:hAnsi="Cambria Math"/>
              </w:rPr>
            </m:ctrlPr>
          </m:sSubSupPr>
          <m:e>
            <m:r>
              <w:rPr>
                <w:rFonts w:ascii="Cambria Math" w:hAnsi="Cambria Math"/>
              </w:rPr>
              <m:t>5.3</m:t>
            </m:r>
          </m:e>
          <m:sub>
            <m:r>
              <w:rPr>
                <w:rFonts w:ascii="Cambria Math" w:hAnsi="Cambria Math"/>
              </w:rPr>
              <m:t>-4.1</m:t>
            </m:r>
          </m:sub>
          <m:sup>
            <m:r>
              <w:rPr>
                <w:rFonts w:ascii="Cambria Math" w:hAnsi="Cambria Math"/>
              </w:rPr>
              <m:t>+44.7</m:t>
            </m:r>
          </m:sup>
        </m:sSubSup>
      </m:oMath>
      <w:r w:rsidR="00D806BA" w:rsidRPr="004C7410">
        <w:rPr>
          <w:rFonts w:eastAsiaTheme="minorEastAsia"/>
        </w:rPr>
        <w:t xml:space="preserve"> </w:t>
      </w:r>
      <w:r w:rsidR="00D806BA" w:rsidRPr="004C7410">
        <w:t xml:space="preserve">times </w:t>
      </w:r>
      <w:r w:rsidR="00D806BA" w:rsidRPr="004C7410">
        <w:rPr>
          <w:i/>
        </w:rPr>
        <w:t>less</w:t>
      </w:r>
      <w:r w:rsidR="00D806BA" w:rsidRPr="004C7410">
        <w:t xml:space="preserve"> likely to mobilize with </w:t>
      </w:r>
      <w:r w:rsidR="00D806BA" w:rsidRPr="004C7410">
        <w:rPr>
          <w:i/>
        </w:rPr>
        <w:t xml:space="preserve">in situ </w:t>
      </w:r>
      <w:r w:rsidR="00D806BA" w:rsidRPr="004C7410">
        <w:t xml:space="preserve">key pieces,  </w:t>
      </w:r>
      <m:oMath>
        <m:sSubSup>
          <m:sSubSupPr>
            <m:ctrlPr>
              <w:rPr>
                <w:rFonts w:ascii="Cambria Math" w:hAnsi="Cambria Math"/>
              </w:rPr>
            </m:ctrlPr>
          </m:sSubSupPr>
          <m:e>
            <m:r>
              <w:rPr>
                <w:rFonts w:ascii="Cambria Math" w:hAnsi="Cambria Math"/>
              </w:rPr>
              <m:t>4.03</m:t>
            </m:r>
          </m:e>
          <m:sub>
            <m:r>
              <w:rPr>
                <w:rFonts w:ascii="Cambria Math" w:hAnsi="Cambria Math"/>
              </w:rPr>
              <m:t>-2.9</m:t>
            </m:r>
          </m:sub>
          <m:sup>
            <m:r>
              <w:rPr>
                <w:rFonts w:ascii="Cambria Math" w:hAnsi="Cambria Math"/>
              </w:rPr>
              <m:t>+11.28</m:t>
            </m:r>
          </m:sup>
        </m:sSubSup>
      </m:oMath>
      <w:r w:rsidR="00D806BA" w:rsidRPr="004C7410">
        <w:rPr>
          <w:rFonts w:eastAsiaTheme="minorEastAsia"/>
        </w:rPr>
        <w:t xml:space="preserve"> times </w:t>
      </w:r>
      <w:r w:rsidR="00D806BA" w:rsidRPr="004C7410">
        <w:rPr>
          <w:rFonts w:eastAsiaTheme="minorEastAsia"/>
          <w:i/>
        </w:rPr>
        <w:t xml:space="preserve">more </w:t>
      </w:r>
      <w:r w:rsidR="00D806BA" w:rsidRPr="004C7410">
        <w:rPr>
          <w:rFonts w:eastAsiaTheme="minorEastAsia"/>
        </w:rPr>
        <w:t>likely to mobilize</w:t>
      </w:r>
      <w:r w:rsidR="00D806BA" w:rsidRPr="004C7410">
        <w:t xml:space="preserve"> when in a straight planform (compared to anastomosing), </w:t>
      </w:r>
      <w:r w:rsidR="00D806BA" w:rsidRPr="004C7410">
        <w:rPr>
          <w:rFonts w:eastAsiaTheme="minorEastAsia"/>
        </w:rPr>
        <w:t xml:space="preserve">and </w:t>
      </w:r>
      <m:oMath>
        <m:sSubSup>
          <m:sSubSupPr>
            <m:ctrlPr>
              <w:rPr>
                <w:rFonts w:ascii="Cambria Math" w:hAnsi="Cambria Math"/>
              </w:rPr>
            </m:ctrlPr>
          </m:sSubSupPr>
          <m:e>
            <m:r>
              <w:rPr>
                <w:rFonts w:ascii="Cambria Math" w:hAnsi="Cambria Math"/>
              </w:rPr>
              <m:t>3.63</m:t>
            </m:r>
          </m:e>
          <m:sub>
            <m:r>
              <w:rPr>
                <w:rFonts w:ascii="Cambria Math" w:hAnsi="Cambria Math"/>
              </w:rPr>
              <m:t>-2.6</m:t>
            </m:r>
          </m:sub>
          <m:sup>
            <m:r>
              <w:rPr>
                <w:rFonts w:ascii="Cambria Math" w:hAnsi="Cambria Math"/>
              </w:rPr>
              <m:t>+9.5</m:t>
            </m:r>
          </m:sup>
        </m:sSubSup>
      </m:oMath>
      <w:r w:rsidR="00D806BA" w:rsidRPr="004C7410">
        <w:rPr>
          <w:rFonts w:eastAsiaTheme="minorEastAsia"/>
        </w:rPr>
        <w:t xml:space="preserve"> times </w:t>
      </w:r>
      <w:r w:rsidR="00D806BA" w:rsidRPr="004C7410">
        <w:rPr>
          <w:rFonts w:eastAsiaTheme="minorEastAsia"/>
          <w:i/>
        </w:rPr>
        <w:t xml:space="preserve">more </w:t>
      </w:r>
      <w:r w:rsidR="00D806BA" w:rsidRPr="004C7410">
        <w:rPr>
          <w:rFonts w:eastAsiaTheme="minorEastAsia"/>
        </w:rPr>
        <w:t>likely to mobilize when in a meandering planform</w:t>
      </w:r>
      <w:r w:rsidR="00D806BA" w:rsidRPr="004C7410">
        <w:t xml:space="preserve"> (compared to anastomosing). Jams are also </w:t>
      </w:r>
      <m:oMath>
        <m:sSubSup>
          <m:sSubSupPr>
            <m:ctrlPr>
              <w:rPr>
                <w:rFonts w:ascii="Cambria Math" w:hAnsi="Cambria Math"/>
              </w:rPr>
            </m:ctrlPr>
          </m:sSubSupPr>
          <m:e>
            <m:r>
              <w:rPr>
                <w:rFonts w:ascii="Cambria Math" w:hAnsi="Cambria Math"/>
              </w:rPr>
              <m:t>22.6</m:t>
            </m:r>
          </m:e>
          <m:sub>
            <m:r>
              <w:rPr>
                <w:rFonts w:ascii="Cambria Math" w:hAnsi="Cambria Math"/>
              </w:rPr>
              <m:t>-15.4</m:t>
            </m:r>
          </m:sub>
          <m:sup>
            <m:r>
              <w:rPr>
                <w:rFonts w:ascii="Cambria Math" w:hAnsi="Cambria Math"/>
              </w:rPr>
              <m:t>+70.3</m:t>
            </m:r>
          </m:sup>
        </m:sSubSup>
      </m:oMath>
      <w:r w:rsidR="00C50EA2" w:rsidRPr="004C7410">
        <w:t xml:space="preserve"> </w:t>
      </w:r>
      <w:r w:rsidR="00C50EA2" w:rsidRPr="004C7410">
        <w:rPr>
          <w:i/>
        </w:rPr>
        <w:t>more</w:t>
      </w:r>
      <w:r w:rsidR="00C50EA2" w:rsidRPr="004C7410">
        <w:t xml:space="preserve"> likely to mobilize during flow</w:t>
      </w:r>
      <w:r w:rsidR="0006328F" w:rsidRPr="004C7410">
        <w:t>s</w:t>
      </w:r>
      <w:r w:rsidR="00C50EA2" w:rsidRPr="004C7410">
        <w:t xml:space="preserve"> that are </w:t>
      </w:r>
      <w:r w:rsidR="0006328F" w:rsidRPr="004C7410">
        <w:t xml:space="preserve">greater than </w:t>
      </w:r>
      <w:r w:rsidR="00C50EA2" w:rsidRPr="004C7410">
        <w:t>bankfull, compared to those that are near bankfull.</w:t>
      </w:r>
      <w:r w:rsidR="00D806BA" w:rsidRPr="004C7410">
        <w:t xml:space="preserve"> It is important to note that in the current database, no jams that resided in side channels or that experienced a flow less than bankfull stage mobilized. As such, this model currently predicts mobility likelihood for jams not in side channels and under flows greater than or equal to bankfull stage. </w:t>
      </w:r>
    </w:p>
    <w:p w14:paraId="168321F3" w14:textId="24DEEDA2" w:rsidR="00C50EA2" w:rsidRPr="004C7410" w:rsidRDefault="004C798E" w:rsidP="004C798E">
      <w:pPr>
        <w:spacing w:line="480" w:lineRule="auto"/>
        <w:ind w:firstLine="720"/>
      </w:pPr>
      <w:r w:rsidRPr="004C7410">
        <w:t>From 100 repeats of 10-fold cross validation</w:t>
      </w:r>
      <w:r w:rsidR="00A902D1" w:rsidRPr="004C7410">
        <w:t xml:space="preserve">, this model </w:t>
      </w:r>
      <w:r w:rsidR="0023193D" w:rsidRPr="004C7410">
        <w:t>has a mean kappa statistic (a measure ranging from -1 to 1, with more positive values indicating better performance relative to random chance) of 0.</w:t>
      </w:r>
      <w:r w:rsidR="00D806BA" w:rsidRPr="004C7410">
        <w:t>25</w:t>
      </w:r>
      <w:r w:rsidR="0023193D" w:rsidRPr="004C7410">
        <w:t xml:space="preserve"> </w:t>
      </w:r>
      <w:r w:rsidR="0023193D" w:rsidRPr="004C7410">
        <w:rPr>
          <w:rFonts w:cstheme="minorHAnsi"/>
        </w:rPr>
        <w:t>±</w:t>
      </w:r>
      <w:r w:rsidR="0023193D" w:rsidRPr="004C7410">
        <w:t xml:space="preserve"> 0.</w:t>
      </w:r>
      <w:r w:rsidR="00D806BA" w:rsidRPr="004C7410">
        <w:t>02</w:t>
      </w:r>
      <w:r w:rsidR="0023193D" w:rsidRPr="004C7410">
        <w:t xml:space="preserve">, a mean true positive rate </w:t>
      </w:r>
      <w:r w:rsidR="0094761A" w:rsidRPr="004C7410">
        <w:t xml:space="preserve">(rate at which true mobilizations are predicted correctly) </w:t>
      </w:r>
      <w:r w:rsidR="0023193D" w:rsidRPr="004C7410">
        <w:t>of 0.</w:t>
      </w:r>
      <w:r w:rsidR="00D806BA" w:rsidRPr="004C7410">
        <w:t xml:space="preserve">25 </w:t>
      </w:r>
      <w:r w:rsidR="0023193D" w:rsidRPr="004C7410">
        <w:rPr>
          <w:rFonts w:cstheme="minorHAnsi"/>
        </w:rPr>
        <w:t>±</w:t>
      </w:r>
      <w:r w:rsidR="0023193D" w:rsidRPr="004C7410">
        <w:t xml:space="preserve"> 0.0</w:t>
      </w:r>
      <w:r w:rsidR="00D806BA" w:rsidRPr="004C7410">
        <w:t>1</w:t>
      </w:r>
      <w:r w:rsidR="0023193D" w:rsidRPr="004C7410">
        <w:t xml:space="preserve">, and a mean true negative rate </w:t>
      </w:r>
      <w:r w:rsidR="0094761A" w:rsidRPr="004C7410">
        <w:t xml:space="preserve">(rate at which true non-mobilizations are predicted correctly) </w:t>
      </w:r>
      <w:r w:rsidR="0023193D" w:rsidRPr="004C7410">
        <w:t xml:space="preserve">of 0.96 </w:t>
      </w:r>
      <w:r w:rsidR="0023193D" w:rsidRPr="004C7410">
        <w:rPr>
          <w:rFonts w:cstheme="minorHAnsi"/>
        </w:rPr>
        <w:t>±</w:t>
      </w:r>
      <w:r w:rsidR="0023193D" w:rsidRPr="004C7410">
        <w:t xml:space="preserve"> 0.00</w:t>
      </w:r>
      <w:r w:rsidR="00D806BA" w:rsidRPr="004C7410">
        <w:t>2</w:t>
      </w:r>
      <w:r w:rsidR="0023193D" w:rsidRPr="004C7410">
        <w:t xml:space="preserve">. </w:t>
      </w:r>
      <w:r w:rsidR="0094761A" w:rsidRPr="004C7410">
        <w:t>While this model performs</w:t>
      </w:r>
      <w:r w:rsidR="00D806BA" w:rsidRPr="004C7410">
        <w:t xml:space="preserve"> significantly</w:t>
      </w:r>
      <w:r w:rsidR="0094761A" w:rsidRPr="004C7410">
        <w:t xml:space="preserve"> better than random chance, </w:t>
      </w:r>
      <w:r w:rsidR="0094761A" w:rsidRPr="004C7410">
        <w:lastRenderedPageBreak/>
        <w:t xml:space="preserve">its low rate of true positives indicate that it would </w:t>
      </w:r>
      <w:r w:rsidR="002E56CD" w:rsidRPr="004C7410">
        <w:t>currently</w:t>
      </w:r>
      <w:r w:rsidR="0094761A" w:rsidRPr="004C7410">
        <w:t xml:space="preserve"> be unwise to</w:t>
      </w:r>
      <w:r w:rsidR="002E56CD" w:rsidRPr="004C7410">
        <w:t xml:space="preserve"> use this model for decision-making</w:t>
      </w:r>
      <w:r w:rsidR="0094761A" w:rsidRPr="004C7410">
        <w:t xml:space="preserve">. However, </w:t>
      </w:r>
      <w:r w:rsidR="00571881" w:rsidRPr="004C7410">
        <w:t>the moderate success of this model even with the imbalanced and sparse data currently available indicates the</w:t>
      </w:r>
      <w:r w:rsidR="00C14EA8" w:rsidRPr="004C7410">
        <w:t xml:space="preserve"> potential of the WooDDAM machine learning framework to eventually be able to provide useful predictions of jam dynamics</w:t>
      </w:r>
      <w:r w:rsidR="002939F4" w:rsidRPr="004C7410">
        <w:t xml:space="preserve"> with the addition of more data</w:t>
      </w:r>
      <w:r w:rsidR="00C14EA8" w:rsidRPr="004C7410">
        <w:t>.</w:t>
      </w:r>
    </w:p>
    <w:p w14:paraId="5A4CCE58" w14:textId="34C2F702" w:rsidR="00E17107" w:rsidRPr="004C7410" w:rsidRDefault="00B05F68" w:rsidP="00F4216D">
      <w:pPr>
        <w:pStyle w:val="Heading1"/>
      </w:pPr>
      <w:r w:rsidRPr="004C7410">
        <w:t>4</w:t>
      </w:r>
      <w:r w:rsidR="0047337C" w:rsidRPr="004C7410">
        <w:t xml:space="preserve">. </w:t>
      </w:r>
      <w:r w:rsidR="00E17107" w:rsidRPr="004C7410">
        <w:t>Conclusions</w:t>
      </w:r>
    </w:p>
    <w:p w14:paraId="59AB568A" w14:textId="353B79D0" w:rsidR="00611658" w:rsidRPr="004C7410" w:rsidRDefault="00611658" w:rsidP="00F4216D">
      <w:pPr>
        <w:spacing w:line="480" w:lineRule="auto"/>
      </w:pPr>
      <w:r w:rsidRPr="004C7410">
        <w:tab/>
        <w:t xml:space="preserve">We present a field data collection protocol, database, statistical model, and online user interface </w:t>
      </w:r>
      <w:r w:rsidR="00BD3002" w:rsidRPr="004C7410">
        <w:t>that</w:t>
      </w:r>
      <w:r w:rsidRPr="004C7410">
        <w:t xml:space="preserve"> facilitate</w:t>
      </w:r>
      <w:r w:rsidR="00BD3002" w:rsidRPr="004C7410">
        <w:t>s</w:t>
      </w:r>
      <w:r w:rsidRPr="004C7410">
        <w:t xml:space="preserve"> collaborative </w:t>
      </w:r>
      <w:r w:rsidR="00BD3002" w:rsidRPr="004C7410">
        <w:t xml:space="preserve">data </w:t>
      </w:r>
      <w:r w:rsidRPr="004C7410">
        <w:t xml:space="preserve">collection to describe wood jam dynamics in a variety of stream environments. </w:t>
      </w:r>
      <w:r w:rsidR="00CC1F2E" w:rsidRPr="004C7410">
        <w:t>We</w:t>
      </w:r>
      <w:r w:rsidRPr="004C7410">
        <w:t xml:space="preserve"> have provided justification for our choice of variables, tests of reproducibility, </w:t>
      </w:r>
      <w:r w:rsidR="001C05C2" w:rsidRPr="004C7410">
        <w:t>and</w:t>
      </w:r>
      <w:r w:rsidRPr="004C7410">
        <w:t xml:space="preserve"> our observations of jam dynamics</w:t>
      </w:r>
      <w:r w:rsidR="00F61A57" w:rsidRPr="004C7410">
        <w:t>. T</w:t>
      </w:r>
      <w:r w:rsidRPr="004C7410">
        <w:t>his paper essentially poses</w:t>
      </w:r>
      <w:r w:rsidR="00CC1F2E" w:rsidRPr="004C7410">
        <w:t xml:space="preserve"> a hypothesis:</w:t>
      </w:r>
      <w:r w:rsidRPr="004C7410">
        <w:t xml:space="preserve"> that an adaptive, evolving database and model paired with a reproducible data collection protocol will prove to be an effective tool for furthering </w:t>
      </w:r>
      <w:r w:rsidR="00B769D5" w:rsidRPr="004C7410">
        <w:t xml:space="preserve">understanding and prediction </w:t>
      </w:r>
      <w:r w:rsidRPr="004C7410">
        <w:t xml:space="preserve">of jam dynamics. </w:t>
      </w:r>
      <w:r w:rsidR="00B769D5" w:rsidRPr="004C7410">
        <w:t>E</w:t>
      </w:r>
      <w:r w:rsidRPr="004C7410">
        <w:t xml:space="preserve">ven while its predictions </w:t>
      </w:r>
      <w:r w:rsidR="0047337C" w:rsidRPr="004C7410">
        <w:t>will</w:t>
      </w:r>
      <w:r w:rsidRPr="004C7410">
        <w:t xml:space="preserve"> not always be accurate, its interpretability will facilitate the integration of model predictions with </w:t>
      </w:r>
      <w:r w:rsidR="007B146C" w:rsidRPr="004C7410">
        <w:t>other lines of evidence</w:t>
      </w:r>
      <w:r w:rsidRPr="004C7410">
        <w:t>, leading to more effective management and understanding of wood jams in rivers.</w:t>
      </w:r>
      <w:r w:rsidR="00C82124" w:rsidRPr="004C7410">
        <w:t xml:space="preserve"> </w:t>
      </w:r>
    </w:p>
    <w:p w14:paraId="7FC51AC1" w14:textId="25F716AF" w:rsidR="00611658" w:rsidRPr="004C7410" w:rsidRDefault="00611658" w:rsidP="00F4216D">
      <w:pPr>
        <w:spacing w:line="480" w:lineRule="auto"/>
      </w:pPr>
      <w:r w:rsidRPr="004C7410">
        <w:tab/>
        <w:t>Moving forward, we encourage investigators and practitioners to utilize this proposed data collection framework and submit easy</w:t>
      </w:r>
      <w:r w:rsidR="00F32592" w:rsidRPr="004C7410">
        <w:t>-</w:t>
      </w:r>
      <w:r w:rsidRPr="004C7410">
        <w:t>to</w:t>
      </w:r>
      <w:r w:rsidR="00F32592" w:rsidRPr="004C7410">
        <w:t>-</w:t>
      </w:r>
      <w:r w:rsidRPr="004C7410">
        <w:t xml:space="preserve">collect monitoring data to the database. In doing so, the database will continue to grow and support an increasingly more effective predictive model. At the same time, this database will likely prove a useful resource in quantifying </w:t>
      </w:r>
      <w:r w:rsidR="00C82124" w:rsidRPr="004C7410">
        <w:t>factors such as wood jam longevity and expected natural characteristics of jams. We hope this will aid both</w:t>
      </w:r>
      <w:r w:rsidRPr="004C7410">
        <w:t xml:space="preserve"> investigators and policy-makers </w:t>
      </w:r>
      <w:r w:rsidR="00C82124" w:rsidRPr="004C7410">
        <w:t>by both informing future research into the interactions between wood and fluvial geomorphology and policy that seeks to sust</w:t>
      </w:r>
      <w:r w:rsidR="0047337C" w:rsidRPr="004C7410">
        <w:t>ainably manage wood in rivers.</w:t>
      </w:r>
    </w:p>
    <w:p w14:paraId="3A707E38" w14:textId="77777777" w:rsidR="00D54465" w:rsidRPr="004C7410" w:rsidRDefault="00D54465" w:rsidP="00F4216D">
      <w:pPr>
        <w:pStyle w:val="Heading1"/>
        <w:sectPr w:rsidR="00D54465" w:rsidRPr="004C7410" w:rsidSect="00F4216D">
          <w:headerReference w:type="default" r:id="rId12"/>
          <w:pgSz w:w="12240" w:h="15840"/>
          <w:pgMar w:top="1440" w:right="1440" w:bottom="1440" w:left="1440" w:header="720" w:footer="720" w:gutter="0"/>
          <w:lnNumType w:countBy="1" w:restart="continuous"/>
          <w:cols w:space="720"/>
          <w:docGrid w:linePitch="360"/>
        </w:sectPr>
      </w:pPr>
    </w:p>
    <w:p w14:paraId="69A2B659" w14:textId="77777777" w:rsidR="00C01CB4" w:rsidRPr="004C7410" w:rsidRDefault="00C01CB4" w:rsidP="00C01CB4">
      <w:pPr>
        <w:pStyle w:val="Heading1"/>
      </w:pPr>
      <w:r w:rsidRPr="004C7410">
        <w:lastRenderedPageBreak/>
        <w:t>References</w:t>
      </w:r>
    </w:p>
    <w:p w14:paraId="6ADBC34A" w14:textId="3533E1B3" w:rsidR="000B4D97" w:rsidRPr="004C7410" w:rsidRDefault="00C01CB4" w:rsidP="000B4D97">
      <w:pPr>
        <w:widowControl w:val="0"/>
        <w:autoSpaceDE w:val="0"/>
        <w:autoSpaceDN w:val="0"/>
        <w:adjustRightInd w:val="0"/>
        <w:spacing w:line="480" w:lineRule="auto"/>
        <w:ind w:left="480" w:hanging="480"/>
        <w:rPr>
          <w:rFonts w:ascii="Calibri" w:hAnsi="Calibri" w:cs="Calibri"/>
          <w:noProof/>
          <w:szCs w:val="24"/>
        </w:rPr>
      </w:pPr>
      <w:r w:rsidRPr="004C7410">
        <w:fldChar w:fldCharType="begin" w:fldLock="1"/>
      </w:r>
      <w:r w:rsidRPr="004C7410">
        <w:instrText xml:space="preserve">ADDIN Mendeley Bibliography CSL_BIBLIOGRAPHY </w:instrText>
      </w:r>
      <w:r w:rsidRPr="004C7410">
        <w:fldChar w:fldCharType="separate"/>
      </w:r>
      <w:r w:rsidR="000B4D97" w:rsidRPr="004C7410">
        <w:rPr>
          <w:rFonts w:ascii="Calibri" w:hAnsi="Calibri" w:cs="Calibri"/>
          <w:noProof/>
          <w:szCs w:val="24"/>
        </w:rPr>
        <w:t xml:space="preserve">Abbe, T., &amp; Montgomery, D. (2003). Patterns and processes of wood debris accumulation in the Queets river basin, Washington. </w:t>
      </w:r>
      <w:r w:rsidR="000B4D97" w:rsidRPr="004C7410">
        <w:rPr>
          <w:rFonts w:ascii="Calibri" w:hAnsi="Calibri" w:cs="Calibri"/>
          <w:i/>
          <w:iCs/>
          <w:noProof/>
          <w:szCs w:val="24"/>
        </w:rPr>
        <w:t>Geomorphology</w:t>
      </w:r>
      <w:r w:rsidR="000B4D97" w:rsidRPr="004C7410">
        <w:rPr>
          <w:rFonts w:ascii="Calibri" w:hAnsi="Calibri" w:cs="Calibri"/>
          <w:noProof/>
          <w:szCs w:val="24"/>
        </w:rPr>
        <w:t xml:space="preserve">, </w:t>
      </w:r>
      <w:r w:rsidR="000B4D97" w:rsidRPr="004C7410">
        <w:rPr>
          <w:rFonts w:ascii="Calibri" w:hAnsi="Calibri" w:cs="Calibri"/>
          <w:i/>
          <w:iCs/>
          <w:noProof/>
          <w:szCs w:val="24"/>
        </w:rPr>
        <w:t>51</w:t>
      </w:r>
      <w:r w:rsidR="000B4D97" w:rsidRPr="004C7410">
        <w:rPr>
          <w:rFonts w:ascii="Calibri" w:hAnsi="Calibri" w:cs="Calibri"/>
          <w:noProof/>
          <w:szCs w:val="24"/>
        </w:rPr>
        <w:t>(1–3), 81–107. https://doi.org/10.1016/S0169-555X(02)00326-4</w:t>
      </w:r>
    </w:p>
    <w:p w14:paraId="0BDFE014"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Bertoldi, W., Gurnell, A., Surian, N., Tockner, K., Zanoni, L., Ziliani, L., &amp; Zolezzi, G. (2009). Understanding reference processes: Linkages between river flows, sediment dynamics and vegetated landforms along the Tagliamento River, Italy. </w:t>
      </w:r>
      <w:r w:rsidRPr="004C7410">
        <w:rPr>
          <w:rFonts w:ascii="Calibri" w:hAnsi="Calibri" w:cs="Calibri"/>
          <w:i/>
          <w:iCs/>
          <w:noProof/>
          <w:szCs w:val="24"/>
        </w:rPr>
        <w:t>River Research and Applications</w:t>
      </w:r>
      <w:r w:rsidRPr="004C7410">
        <w:rPr>
          <w:rFonts w:ascii="Calibri" w:hAnsi="Calibri" w:cs="Calibri"/>
          <w:noProof/>
          <w:szCs w:val="24"/>
        </w:rPr>
        <w:t xml:space="preserve">, </w:t>
      </w:r>
      <w:r w:rsidRPr="004C7410">
        <w:rPr>
          <w:rFonts w:ascii="Calibri" w:hAnsi="Calibri" w:cs="Calibri"/>
          <w:i/>
          <w:iCs/>
          <w:noProof/>
          <w:szCs w:val="24"/>
        </w:rPr>
        <w:t>25</w:t>
      </w:r>
      <w:r w:rsidRPr="004C7410">
        <w:rPr>
          <w:rFonts w:ascii="Calibri" w:hAnsi="Calibri" w:cs="Calibri"/>
          <w:noProof/>
          <w:szCs w:val="24"/>
        </w:rPr>
        <w:t>(5), 501–516. https://doi.org/10.1002/rra.1233</w:t>
      </w:r>
    </w:p>
    <w:p w14:paraId="26A40BDA"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Bilby, R. E. (1984). Removal of Woody Debris May Affect Stream Channel Stability. </w:t>
      </w:r>
      <w:r w:rsidRPr="004C7410">
        <w:rPr>
          <w:rFonts w:ascii="Calibri" w:hAnsi="Calibri" w:cs="Calibri"/>
          <w:i/>
          <w:iCs/>
          <w:noProof/>
          <w:szCs w:val="24"/>
        </w:rPr>
        <w:t>Journal of Forestry</w:t>
      </w:r>
      <w:r w:rsidRPr="004C7410">
        <w:rPr>
          <w:rFonts w:ascii="Calibri" w:hAnsi="Calibri" w:cs="Calibri"/>
          <w:noProof/>
          <w:szCs w:val="24"/>
        </w:rPr>
        <w:t>, (October), 609–613.</w:t>
      </w:r>
    </w:p>
    <w:p w14:paraId="7E676097"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Boivin, M., Buffin-Bélanger, T., &amp; Piégay, H. (2017). Interannual kinetics (2010–2013) of large wood in a river corridor exposed to a 50-year flood event and fluvial ice dynamics.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279</w:t>
      </w:r>
      <w:r w:rsidRPr="004C7410">
        <w:rPr>
          <w:rFonts w:ascii="Calibri" w:hAnsi="Calibri" w:cs="Calibri"/>
          <w:noProof/>
          <w:szCs w:val="24"/>
        </w:rPr>
        <w:t>, 59–73. https://doi.org/10.1016/j.geomorph.2016.07.010</w:t>
      </w:r>
    </w:p>
    <w:p w14:paraId="5EF17C1C"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Braudrick, C. A., Grant, G. E., Ishikawa, Y., &amp; Ikeda, H. (1997). Dynamics of Wood Transport in Streams: A Flume Experiment. </w:t>
      </w:r>
      <w:r w:rsidRPr="004C7410">
        <w:rPr>
          <w:rFonts w:ascii="Calibri" w:hAnsi="Calibri" w:cs="Calibri"/>
          <w:i/>
          <w:iCs/>
          <w:noProof/>
          <w:szCs w:val="24"/>
        </w:rPr>
        <w:t>Earth Surface Processes and Landforms</w:t>
      </w:r>
      <w:r w:rsidRPr="004C7410">
        <w:rPr>
          <w:rFonts w:ascii="Calibri" w:hAnsi="Calibri" w:cs="Calibri"/>
          <w:noProof/>
          <w:szCs w:val="24"/>
        </w:rPr>
        <w:t xml:space="preserve">, </w:t>
      </w:r>
      <w:r w:rsidRPr="004C7410">
        <w:rPr>
          <w:rFonts w:ascii="Calibri" w:hAnsi="Calibri" w:cs="Calibri"/>
          <w:i/>
          <w:iCs/>
          <w:noProof/>
          <w:szCs w:val="24"/>
        </w:rPr>
        <w:t>22</w:t>
      </w:r>
      <w:r w:rsidRPr="004C7410">
        <w:rPr>
          <w:rFonts w:ascii="Calibri" w:hAnsi="Calibri" w:cs="Calibri"/>
          <w:noProof/>
          <w:szCs w:val="24"/>
        </w:rPr>
        <w:t>, 669–683.</w:t>
      </w:r>
    </w:p>
    <w:p w14:paraId="713336BB"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Brooks, A. P., Brierley, G. J., &amp; Millar, R. G. (2003). The long-term control of vegetation and woody debris on channel and flood-plain evolution: Insights from a paired catchment study in southeastern Australia.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51</w:t>
      </w:r>
      <w:r w:rsidRPr="004C7410">
        <w:rPr>
          <w:rFonts w:ascii="Calibri" w:hAnsi="Calibri" w:cs="Calibri"/>
          <w:noProof/>
          <w:szCs w:val="24"/>
        </w:rPr>
        <w:t>(1–3), 7–29. https://doi.org/10.1016/S0169-555X(02)00323-9</w:t>
      </w:r>
    </w:p>
    <w:p w14:paraId="54C787BD"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Chang, W., Cheng, J., Allaire, J., Xie, Y., &amp; McPherson, J. (2017). shiny: Web Application Framework for R.</w:t>
      </w:r>
    </w:p>
    <w:p w14:paraId="05AF3568"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De Cicco, P. N., Paris, E., Ruiz-Villanueva, V., Solari, L., &amp; Stoffel, M. (2018). In-channel wood-related hazards at bridges: A review. </w:t>
      </w:r>
      <w:r w:rsidRPr="004C7410">
        <w:rPr>
          <w:rFonts w:ascii="Calibri" w:hAnsi="Calibri" w:cs="Calibri"/>
          <w:i/>
          <w:iCs/>
          <w:noProof/>
          <w:szCs w:val="24"/>
        </w:rPr>
        <w:t>River Research and Applications</w:t>
      </w:r>
      <w:r w:rsidRPr="004C7410">
        <w:rPr>
          <w:rFonts w:ascii="Calibri" w:hAnsi="Calibri" w:cs="Calibri"/>
          <w:noProof/>
          <w:szCs w:val="24"/>
        </w:rPr>
        <w:t xml:space="preserve">, </w:t>
      </w:r>
      <w:r w:rsidRPr="004C7410">
        <w:rPr>
          <w:rFonts w:ascii="Calibri" w:hAnsi="Calibri" w:cs="Calibri"/>
          <w:i/>
          <w:iCs/>
          <w:noProof/>
          <w:szCs w:val="24"/>
        </w:rPr>
        <w:t>34</w:t>
      </w:r>
      <w:r w:rsidRPr="004C7410">
        <w:rPr>
          <w:rFonts w:ascii="Calibri" w:hAnsi="Calibri" w:cs="Calibri"/>
          <w:noProof/>
          <w:szCs w:val="24"/>
        </w:rPr>
        <w:t>(7), 617–628. https://doi.org/10.1002/rra.3300</w:t>
      </w:r>
    </w:p>
    <w:p w14:paraId="2DA07ECB"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Coe, H. J., Kiffney, P. M., Pess, G. R., Kloehn, K. K., &amp; McHenry, M. L. (2009). Periphyton and Invertebrate Response to Wood Placement in Large Pacific Coastal Rivers. </w:t>
      </w:r>
      <w:r w:rsidRPr="004C7410">
        <w:rPr>
          <w:rFonts w:ascii="Calibri" w:hAnsi="Calibri" w:cs="Calibri"/>
          <w:i/>
          <w:iCs/>
          <w:noProof/>
          <w:szCs w:val="24"/>
        </w:rPr>
        <w:t>River Research and Applications</w:t>
      </w:r>
      <w:r w:rsidRPr="004C7410">
        <w:rPr>
          <w:rFonts w:ascii="Calibri" w:hAnsi="Calibri" w:cs="Calibri"/>
          <w:noProof/>
          <w:szCs w:val="24"/>
        </w:rPr>
        <w:t xml:space="preserve">, </w:t>
      </w:r>
      <w:r w:rsidRPr="004C7410">
        <w:rPr>
          <w:rFonts w:ascii="Calibri" w:hAnsi="Calibri" w:cs="Calibri"/>
          <w:i/>
          <w:iCs/>
          <w:noProof/>
          <w:szCs w:val="24"/>
        </w:rPr>
        <w:t>25</w:t>
      </w:r>
      <w:r w:rsidRPr="004C7410">
        <w:rPr>
          <w:rFonts w:ascii="Calibri" w:hAnsi="Calibri" w:cs="Calibri"/>
          <w:noProof/>
          <w:szCs w:val="24"/>
        </w:rPr>
        <w:t xml:space="preserve">, </w:t>
      </w:r>
      <w:r w:rsidRPr="004C7410">
        <w:rPr>
          <w:rFonts w:ascii="Calibri" w:hAnsi="Calibri" w:cs="Calibri"/>
          <w:noProof/>
          <w:szCs w:val="24"/>
        </w:rPr>
        <w:lastRenderedPageBreak/>
        <w:t>1025–1035.</w:t>
      </w:r>
    </w:p>
    <w:p w14:paraId="012D0B70"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Collins, B. D., Montgomery, D. R., Fetherston, K. L., &amp; Abbe, T. B. (2012). The floodplain large-wood cycle hypothesis: A mechanism for the physical and biotic structuring of temperate forested alluvial valleys in the North Pacific coastal ecoregion.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139</w:t>
      </w:r>
      <w:r w:rsidRPr="004C7410">
        <w:rPr>
          <w:rFonts w:ascii="Calibri" w:hAnsi="Calibri" w:cs="Calibri"/>
          <w:noProof/>
          <w:szCs w:val="24"/>
        </w:rPr>
        <w:t>–</w:t>
      </w:r>
      <w:r w:rsidRPr="004C7410">
        <w:rPr>
          <w:rFonts w:ascii="Calibri" w:hAnsi="Calibri" w:cs="Calibri"/>
          <w:i/>
          <w:iCs/>
          <w:noProof/>
          <w:szCs w:val="24"/>
        </w:rPr>
        <w:t>140</w:t>
      </w:r>
      <w:r w:rsidRPr="004C7410">
        <w:rPr>
          <w:rFonts w:ascii="Calibri" w:hAnsi="Calibri" w:cs="Calibri"/>
          <w:noProof/>
          <w:szCs w:val="24"/>
        </w:rPr>
        <w:t>, 460–470. https://doi.org/10.1016/j.geomorph.2011.11.011</w:t>
      </w:r>
    </w:p>
    <w:p w14:paraId="381C8B6C"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Comiti, F. (2012). How natural are Alpine mountain rivers? Evidence from the Italian Alps. </w:t>
      </w:r>
      <w:r w:rsidRPr="004C7410">
        <w:rPr>
          <w:rFonts w:ascii="Calibri" w:hAnsi="Calibri" w:cs="Calibri"/>
          <w:i/>
          <w:iCs/>
          <w:noProof/>
          <w:szCs w:val="24"/>
        </w:rPr>
        <w:t>Earth Surface Processes and Landforms</w:t>
      </w:r>
      <w:r w:rsidRPr="004C7410">
        <w:rPr>
          <w:rFonts w:ascii="Calibri" w:hAnsi="Calibri" w:cs="Calibri"/>
          <w:noProof/>
          <w:szCs w:val="24"/>
        </w:rPr>
        <w:t xml:space="preserve">, </w:t>
      </w:r>
      <w:r w:rsidRPr="004C7410">
        <w:rPr>
          <w:rFonts w:ascii="Calibri" w:hAnsi="Calibri" w:cs="Calibri"/>
          <w:i/>
          <w:iCs/>
          <w:noProof/>
          <w:szCs w:val="24"/>
        </w:rPr>
        <w:t>37</w:t>
      </w:r>
      <w:r w:rsidRPr="004C7410">
        <w:rPr>
          <w:rFonts w:ascii="Calibri" w:hAnsi="Calibri" w:cs="Calibri"/>
          <w:noProof/>
          <w:szCs w:val="24"/>
        </w:rPr>
        <w:t>(7), 693–707. https://doi.org/10.1002/esp.2267</w:t>
      </w:r>
    </w:p>
    <w:p w14:paraId="3A1D8FDE"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Daniels, M. D. (2006). Distribution and dynamics of large woody debris and organic matter in a low-energy meandering stream.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77</w:t>
      </w:r>
      <w:r w:rsidRPr="004C7410">
        <w:rPr>
          <w:rFonts w:ascii="Calibri" w:hAnsi="Calibri" w:cs="Calibri"/>
          <w:noProof/>
          <w:szCs w:val="24"/>
        </w:rPr>
        <w:t>(3–4), 286–298. https://doi.org/10.1016/j.geomorph.2006.01.011</w:t>
      </w:r>
    </w:p>
    <w:p w14:paraId="1B251097"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Davidson, S. L., MacKenzie, L. G., &amp; Eaton, B. C. (2015). Large wood transport and jam formation in a series of flume experiments. </w:t>
      </w:r>
      <w:r w:rsidRPr="004C7410">
        <w:rPr>
          <w:rFonts w:ascii="Calibri" w:hAnsi="Calibri" w:cs="Calibri"/>
          <w:i/>
          <w:iCs/>
          <w:noProof/>
          <w:szCs w:val="24"/>
        </w:rPr>
        <w:t>Water Resources Research</w:t>
      </w:r>
      <w:r w:rsidRPr="004C7410">
        <w:rPr>
          <w:rFonts w:ascii="Calibri" w:hAnsi="Calibri" w:cs="Calibri"/>
          <w:noProof/>
          <w:szCs w:val="24"/>
        </w:rPr>
        <w:t xml:space="preserve">, </w:t>
      </w:r>
      <w:r w:rsidRPr="004C7410">
        <w:rPr>
          <w:rFonts w:ascii="Calibri" w:hAnsi="Calibri" w:cs="Calibri"/>
          <w:i/>
          <w:iCs/>
          <w:noProof/>
          <w:szCs w:val="24"/>
        </w:rPr>
        <w:t>51</w:t>
      </w:r>
      <w:r w:rsidRPr="004C7410">
        <w:rPr>
          <w:rFonts w:ascii="Calibri" w:hAnsi="Calibri" w:cs="Calibri"/>
          <w:noProof/>
          <w:szCs w:val="24"/>
        </w:rPr>
        <w:t>, 10065–10077. https://doi.org/10.1002/ 2015WR017446</w:t>
      </w:r>
    </w:p>
    <w:p w14:paraId="77FA3BA1"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Dunkerley, D. (2014). Nature and hydro-geomorphic roles of trees and woody debris in a dryland ephemeral stream: Fowlers Creek, arid western New South Wales, Australia. </w:t>
      </w:r>
      <w:r w:rsidRPr="004C7410">
        <w:rPr>
          <w:rFonts w:ascii="Calibri" w:hAnsi="Calibri" w:cs="Calibri"/>
          <w:i/>
          <w:iCs/>
          <w:noProof/>
          <w:szCs w:val="24"/>
        </w:rPr>
        <w:t>Journal of Arid Environments</w:t>
      </w:r>
      <w:r w:rsidRPr="004C7410">
        <w:rPr>
          <w:rFonts w:ascii="Calibri" w:hAnsi="Calibri" w:cs="Calibri"/>
          <w:noProof/>
          <w:szCs w:val="24"/>
        </w:rPr>
        <w:t xml:space="preserve">, </w:t>
      </w:r>
      <w:r w:rsidRPr="004C7410">
        <w:rPr>
          <w:rFonts w:ascii="Calibri" w:hAnsi="Calibri" w:cs="Calibri"/>
          <w:i/>
          <w:iCs/>
          <w:noProof/>
          <w:szCs w:val="24"/>
        </w:rPr>
        <w:t>102</w:t>
      </w:r>
      <w:r w:rsidRPr="004C7410">
        <w:rPr>
          <w:rFonts w:ascii="Calibri" w:hAnsi="Calibri" w:cs="Calibri"/>
          <w:noProof/>
          <w:szCs w:val="24"/>
        </w:rPr>
        <w:t>, 40–49. https://doi.org/10.1016/j.jaridenv.2013.10.017</w:t>
      </w:r>
    </w:p>
    <w:p w14:paraId="55CE9A54"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Francis, R. A., Tibaldeschi, P., &amp; McDougall, L. (2008). Fluvially-deposited large wood and riparian plant diversity. </w:t>
      </w:r>
      <w:r w:rsidRPr="004C7410">
        <w:rPr>
          <w:rFonts w:ascii="Calibri" w:hAnsi="Calibri" w:cs="Calibri"/>
          <w:i/>
          <w:iCs/>
          <w:noProof/>
          <w:szCs w:val="24"/>
        </w:rPr>
        <w:t>Wetlands Ecology and Management</w:t>
      </w:r>
      <w:r w:rsidRPr="004C7410">
        <w:rPr>
          <w:rFonts w:ascii="Calibri" w:hAnsi="Calibri" w:cs="Calibri"/>
          <w:noProof/>
          <w:szCs w:val="24"/>
        </w:rPr>
        <w:t xml:space="preserve">, </w:t>
      </w:r>
      <w:r w:rsidRPr="004C7410">
        <w:rPr>
          <w:rFonts w:ascii="Calibri" w:hAnsi="Calibri" w:cs="Calibri"/>
          <w:i/>
          <w:iCs/>
          <w:noProof/>
          <w:szCs w:val="24"/>
        </w:rPr>
        <w:t>16</w:t>
      </w:r>
      <w:r w:rsidRPr="004C7410">
        <w:rPr>
          <w:rFonts w:ascii="Calibri" w:hAnsi="Calibri" w:cs="Calibri"/>
          <w:noProof/>
          <w:szCs w:val="24"/>
        </w:rPr>
        <w:t>(5), 371–382. https://doi.org/10.1007/s11273-007-9074-2</w:t>
      </w:r>
    </w:p>
    <w:p w14:paraId="720378AE"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Gurnell, A. M., Tockner, K., Edwards, P., &amp; Petts, G. (2005). Effects of deposited wood on biocomplexity of river corridors. </w:t>
      </w:r>
      <w:r w:rsidRPr="004C7410">
        <w:rPr>
          <w:rFonts w:ascii="Calibri" w:hAnsi="Calibri" w:cs="Calibri"/>
          <w:i/>
          <w:iCs/>
          <w:noProof/>
          <w:szCs w:val="24"/>
        </w:rPr>
        <w:t>Frontiers in Ecology and the Environment</w:t>
      </w:r>
      <w:r w:rsidRPr="004C7410">
        <w:rPr>
          <w:rFonts w:ascii="Calibri" w:hAnsi="Calibri" w:cs="Calibri"/>
          <w:noProof/>
          <w:szCs w:val="24"/>
        </w:rPr>
        <w:t xml:space="preserve">, </w:t>
      </w:r>
      <w:r w:rsidRPr="004C7410">
        <w:rPr>
          <w:rFonts w:ascii="Calibri" w:hAnsi="Calibri" w:cs="Calibri"/>
          <w:i/>
          <w:iCs/>
          <w:noProof/>
          <w:szCs w:val="24"/>
        </w:rPr>
        <w:t>3</w:t>
      </w:r>
      <w:r w:rsidRPr="004C7410">
        <w:rPr>
          <w:rFonts w:ascii="Calibri" w:hAnsi="Calibri" w:cs="Calibri"/>
          <w:noProof/>
          <w:szCs w:val="24"/>
        </w:rPr>
        <w:t>(7), 377–382.</w:t>
      </w:r>
    </w:p>
    <w:p w14:paraId="0A39A832"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Harmon, M. E., Woodall, C. W., &amp; Sexton, J. (2011). </w:t>
      </w:r>
      <w:r w:rsidRPr="004C7410">
        <w:rPr>
          <w:rFonts w:ascii="Calibri" w:hAnsi="Calibri" w:cs="Calibri"/>
          <w:i/>
          <w:iCs/>
          <w:noProof/>
          <w:szCs w:val="24"/>
        </w:rPr>
        <w:t>Standing and Downed Dead Tree Wood Density Reduction Factors : A Comparison Across Decay Classes and Tree Species</w:t>
      </w:r>
      <w:r w:rsidRPr="004C7410">
        <w:rPr>
          <w:rFonts w:ascii="Calibri" w:hAnsi="Calibri" w:cs="Calibri"/>
          <w:noProof/>
          <w:szCs w:val="24"/>
        </w:rPr>
        <w:t xml:space="preserve">. </w:t>
      </w:r>
      <w:r w:rsidRPr="004C7410">
        <w:rPr>
          <w:rFonts w:ascii="Calibri" w:hAnsi="Calibri" w:cs="Calibri"/>
          <w:i/>
          <w:iCs/>
          <w:noProof/>
          <w:szCs w:val="24"/>
        </w:rPr>
        <w:t>Research Paper NRS-15</w:t>
      </w:r>
      <w:r w:rsidRPr="004C7410">
        <w:rPr>
          <w:rFonts w:ascii="Calibri" w:hAnsi="Calibri" w:cs="Calibri"/>
          <w:noProof/>
          <w:szCs w:val="24"/>
        </w:rPr>
        <w:t>.</w:t>
      </w:r>
    </w:p>
    <w:p w14:paraId="60F638BD"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Iroumé, A., Mao, L., Andreoli, A., Ulloa, H., &amp; Ardiles, M. P. (2015). Large wood mobility processes in low-</w:t>
      </w:r>
      <w:r w:rsidRPr="004C7410">
        <w:rPr>
          <w:rFonts w:ascii="Calibri" w:hAnsi="Calibri" w:cs="Calibri"/>
          <w:noProof/>
          <w:szCs w:val="24"/>
        </w:rPr>
        <w:lastRenderedPageBreak/>
        <w:t xml:space="preserve">order Chilean river channels.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228</w:t>
      </w:r>
      <w:r w:rsidRPr="004C7410">
        <w:rPr>
          <w:rFonts w:ascii="Calibri" w:hAnsi="Calibri" w:cs="Calibri"/>
          <w:noProof/>
          <w:szCs w:val="24"/>
        </w:rPr>
        <w:t>, 681–693. https://doi.org/10.1016/j.geomorph.2014.10.025</w:t>
      </w:r>
    </w:p>
    <w:p w14:paraId="60EB9BCD"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Jeffries, R., Darby, S. E., &amp; Sear, D. A. (2003). The influence of vegetation and organic debris on flood-plain sediment dynamics: Case study of a low-order stream in the New Forest, England.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51</w:t>
      </w:r>
      <w:r w:rsidRPr="004C7410">
        <w:rPr>
          <w:rFonts w:ascii="Calibri" w:hAnsi="Calibri" w:cs="Calibri"/>
          <w:noProof/>
          <w:szCs w:val="24"/>
        </w:rPr>
        <w:t>(1–3), 61–80. https://doi.org/10.1016/S0169-555X(02)00325-2</w:t>
      </w:r>
    </w:p>
    <w:p w14:paraId="49C4EBF4"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Klaar, M. J., Hill, D. F., Maddock, I., &amp; Milner, A. M. (2011). Interactions between instream wood and hydrogeomorphic development within recently deglaciated streams in Glacier Bay National Park, Alaska.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130</w:t>
      </w:r>
      <w:r w:rsidRPr="004C7410">
        <w:rPr>
          <w:rFonts w:ascii="Calibri" w:hAnsi="Calibri" w:cs="Calibri"/>
          <w:noProof/>
          <w:szCs w:val="24"/>
        </w:rPr>
        <w:t>(3–4), 208–220. https://doi.org/10.1016/j.geomorph.2011.03.017</w:t>
      </w:r>
    </w:p>
    <w:p w14:paraId="229CB95F"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Kramer, N., &amp; Wohl, E. (2014). Estimating fluvial wood discharge using time-lapse photography with varying sampling intervals. </w:t>
      </w:r>
      <w:r w:rsidRPr="004C7410">
        <w:rPr>
          <w:rFonts w:ascii="Calibri" w:hAnsi="Calibri" w:cs="Calibri"/>
          <w:i/>
          <w:iCs/>
          <w:noProof/>
          <w:szCs w:val="24"/>
        </w:rPr>
        <w:t>Earth Surface Processes and Landforms</w:t>
      </w:r>
      <w:r w:rsidRPr="004C7410">
        <w:rPr>
          <w:rFonts w:ascii="Calibri" w:hAnsi="Calibri" w:cs="Calibri"/>
          <w:noProof/>
          <w:szCs w:val="24"/>
        </w:rPr>
        <w:t xml:space="preserve">, </w:t>
      </w:r>
      <w:r w:rsidRPr="004C7410">
        <w:rPr>
          <w:rFonts w:ascii="Calibri" w:hAnsi="Calibri" w:cs="Calibri"/>
          <w:i/>
          <w:iCs/>
          <w:noProof/>
          <w:szCs w:val="24"/>
        </w:rPr>
        <w:t>852</w:t>
      </w:r>
      <w:r w:rsidRPr="004C7410">
        <w:rPr>
          <w:rFonts w:ascii="Calibri" w:hAnsi="Calibri" w:cs="Calibri"/>
          <w:noProof/>
          <w:szCs w:val="24"/>
        </w:rPr>
        <w:t>(March), 844–852. https://doi.org/10.1002/esp.3540</w:t>
      </w:r>
    </w:p>
    <w:p w14:paraId="71804128"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Kramer, N., &amp; Wohl, E. (2016). Rules of the road: A qualitative and quantitative synthesis of large wood transport through drainage networks.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279</w:t>
      </w:r>
      <w:r w:rsidRPr="004C7410">
        <w:rPr>
          <w:rFonts w:ascii="Calibri" w:hAnsi="Calibri" w:cs="Calibri"/>
          <w:noProof/>
          <w:szCs w:val="24"/>
        </w:rPr>
        <w:t>, 74–97. https://doi.org/10.1016/j.geomorph.2016.08.026</w:t>
      </w:r>
    </w:p>
    <w:p w14:paraId="60509EF4"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Macvicar, B., &amp; Piégay, H. (2012). Implementation and validation of video monitoring for wood budgeting in a wandering piedmont river, the Ain River (France). </w:t>
      </w:r>
      <w:r w:rsidRPr="004C7410">
        <w:rPr>
          <w:rFonts w:ascii="Calibri" w:hAnsi="Calibri" w:cs="Calibri"/>
          <w:i/>
          <w:iCs/>
          <w:noProof/>
          <w:szCs w:val="24"/>
        </w:rPr>
        <w:t>Earth Surface Processes and Landforms</w:t>
      </w:r>
      <w:r w:rsidRPr="004C7410">
        <w:rPr>
          <w:rFonts w:ascii="Calibri" w:hAnsi="Calibri" w:cs="Calibri"/>
          <w:noProof/>
          <w:szCs w:val="24"/>
        </w:rPr>
        <w:t xml:space="preserve">, </w:t>
      </w:r>
      <w:r w:rsidRPr="004C7410">
        <w:rPr>
          <w:rFonts w:ascii="Calibri" w:hAnsi="Calibri" w:cs="Calibri"/>
          <w:i/>
          <w:iCs/>
          <w:noProof/>
          <w:szCs w:val="24"/>
        </w:rPr>
        <w:t>37</w:t>
      </w:r>
      <w:r w:rsidRPr="004C7410">
        <w:rPr>
          <w:rFonts w:ascii="Calibri" w:hAnsi="Calibri" w:cs="Calibri"/>
          <w:noProof/>
          <w:szCs w:val="24"/>
        </w:rPr>
        <w:t>(12), 1272–1289. https://doi.org/10.1002/esp.3240</w:t>
      </w:r>
    </w:p>
    <w:p w14:paraId="0FEEE790"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Mazzorana, B., Zischg, A., Largiader, A., &amp; Hübl, J. (2009). Hazard index maps for woody material recruitment and transport in alpine catchments. </w:t>
      </w:r>
      <w:r w:rsidRPr="004C7410">
        <w:rPr>
          <w:rFonts w:ascii="Calibri" w:hAnsi="Calibri" w:cs="Calibri"/>
          <w:i/>
          <w:iCs/>
          <w:noProof/>
          <w:szCs w:val="24"/>
        </w:rPr>
        <w:t>Natural Hazards and Earth System Science</w:t>
      </w:r>
      <w:r w:rsidRPr="004C7410">
        <w:rPr>
          <w:rFonts w:ascii="Calibri" w:hAnsi="Calibri" w:cs="Calibri"/>
          <w:noProof/>
          <w:szCs w:val="24"/>
        </w:rPr>
        <w:t xml:space="preserve">, </w:t>
      </w:r>
      <w:r w:rsidRPr="004C7410">
        <w:rPr>
          <w:rFonts w:ascii="Calibri" w:hAnsi="Calibri" w:cs="Calibri"/>
          <w:i/>
          <w:iCs/>
          <w:noProof/>
          <w:szCs w:val="24"/>
        </w:rPr>
        <w:t>9</w:t>
      </w:r>
      <w:r w:rsidRPr="004C7410">
        <w:rPr>
          <w:rFonts w:ascii="Calibri" w:hAnsi="Calibri" w:cs="Calibri"/>
          <w:noProof/>
          <w:szCs w:val="24"/>
        </w:rPr>
        <w:t>, 197–209. https://doi.org/10.5194/nhess-9-197-2009</w:t>
      </w:r>
    </w:p>
    <w:p w14:paraId="5B362886"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Merten, E., Finlay, J., Johnson, L., Newman, R., Stefan, H., &amp; Vondracek, B. (2010). Factors influencing wood mobilization in streams. </w:t>
      </w:r>
      <w:r w:rsidRPr="004C7410">
        <w:rPr>
          <w:rFonts w:ascii="Calibri" w:hAnsi="Calibri" w:cs="Calibri"/>
          <w:i/>
          <w:iCs/>
          <w:noProof/>
          <w:szCs w:val="24"/>
        </w:rPr>
        <w:t>Water Resources Research</w:t>
      </w:r>
      <w:r w:rsidRPr="004C7410">
        <w:rPr>
          <w:rFonts w:ascii="Calibri" w:hAnsi="Calibri" w:cs="Calibri"/>
          <w:noProof/>
          <w:szCs w:val="24"/>
        </w:rPr>
        <w:t xml:space="preserve">, </w:t>
      </w:r>
      <w:r w:rsidRPr="004C7410">
        <w:rPr>
          <w:rFonts w:ascii="Calibri" w:hAnsi="Calibri" w:cs="Calibri"/>
          <w:i/>
          <w:iCs/>
          <w:noProof/>
          <w:szCs w:val="24"/>
        </w:rPr>
        <w:t>46</w:t>
      </w:r>
      <w:r w:rsidRPr="004C7410">
        <w:rPr>
          <w:rFonts w:ascii="Calibri" w:hAnsi="Calibri" w:cs="Calibri"/>
          <w:noProof/>
          <w:szCs w:val="24"/>
        </w:rPr>
        <w:t>, 1–13. https://doi.org/10.1029/2009WR008772</w:t>
      </w:r>
    </w:p>
    <w:p w14:paraId="47BD72C6"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Merten, E. C., Vaz, P. G., Decker-Fritz, J. A., Finlay, J. C., &amp; Stefan, H. G. (2013). Relative importance of </w:t>
      </w:r>
      <w:r w:rsidRPr="004C7410">
        <w:rPr>
          <w:rFonts w:ascii="Calibri" w:hAnsi="Calibri" w:cs="Calibri"/>
          <w:noProof/>
          <w:szCs w:val="24"/>
        </w:rPr>
        <w:lastRenderedPageBreak/>
        <w:t xml:space="preserve">breakage and decay as processes depleting large wood from streams.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190</w:t>
      </w:r>
      <w:r w:rsidRPr="004C7410">
        <w:rPr>
          <w:rFonts w:ascii="Calibri" w:hAnsi="Calibri" w:cs="Calibri"/>
          <w:noProof/>
          <w:szCs w:val="24"/>
        </w:rPr>
        <w:t>, 40–47. https://doi.org/10.1016/j.geomorph.2013.02.006</w:t>
      </w:r>
    </w:p>
    <w:p w14:paraId="49E8E474"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Montgomery, D. R., &amp; Buffington, J. M. (1997). Channel-reach morphology in mountain drainage basins. </w:t>
      </w:r>
      <w:r w:rsidRPr="004C7410">
        <w:rPr>
          <w:rFonts w:ascii="Calibri" w:hAnsi="Calibri" w:cs="Calibri"/>
          <w:i/>
          <w:iCs/>
          <w:noProof/>
          <w:szCs w:val="24"/>
        </w:rPr>
        <w:t>Bulletin of the Geological Society of America</w:t>
      </w:r>
      <w:r w:rsidRPr="004C7410">
        <w:rPr>
          <w:rFonts w:ascii="Calibri" w:hAnsi="Calibri" w:cs="Calibri"/>
          <w:noProof/>
          <w:szCs w:val="24"/>
        </w:rPr>
        <w:t xml:space="preserve">, </w:t>
      </w:r>
      <w:r w:rsidRPr="004C7410">
        <w:rPr>
          <w:rFonts w:ascii="Calibri" w:hAnsi="Calibri" w:cs="Calibri"/>
          <w:i/>
          <w:iCs/>
          <w:noProof/>
          <w:szCs w:val="24"/>
        </w:rPr>
        <w:t>109</w:t>
      </w:r>
      <w:r w:rsidRPr="004C7410">
        <w:rPr>
          <w:rFonts w:ascii="Calibri" w:hAnsi="Calibri" w:cs="Calibri"/>
          <w:noProof/>
          <w:szCs w:val="24"/>
        </w:rPr>
        <w:t>(5), 596–611.</w:t>
      </w:r>
    </w:p>
    <w:p w14:paraId="06911DC5"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Nakamura, F., &amp; Swanson, F. J. (1993). Effects of Coarse Woody Debris on Morphology and Sediment Storage of a Mountain Stream System in Western Oregon. </w:t>
      </w:r>
      <w:r w:rsidRPr="004C7410">
        <w:rPr>
          <w:rFonts w:ascii="Calibri" w:hAnsi="Calibri" w:cs="Calibri"/>
          <w:i/>
          <w:iCs/>
          <w:noProof/>
          <w:szCs w:val="24"/>
        </w:rPr>
        <w:t>Earth Surface Processes and Landforms</w:t>
      </w:r>
      <w:r w:rsidRPr="004C7410">
        <w:rPr>
          <w:rFonts w:ascii="Calibri" w:hAnsi="Calibri" w:cs="Calibri"/>
          <w:noProof/>
          <w:szCs w:val="24"/>
        </w:rPr>
        <w:t xml:space="preserve">, </w:t>
      </w:r>
      <w:r w:rsidRPr="004C7410">
        <w:rPr>
          <w:rFonts w:ascii="Calibri" w:hAnsi="Calibri" w:cs="Calibri"/>
          <w:i/>
          <w:iCs/>
          <w:noProof/>
          <w:szCs w:val="24"/>
        </w:rPr>
        <w:t>18</w:t>
      </w:r>
      <w:r w:rsidRPr="004C7410">
        <w:rPr>
          <w:rFonts w:ascii="Calibri" w:hAnsi="Calibri" w:cs="Calibri"/>
          <w:noProof/>
          <w:szCs w:val="24"/>
        </w:rPr>
        <w:t>, 43–61.</w:t>
      </w:r>
    </w:p>
    <w:p w14:paraId="082FCA10"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Opperman, J. J., &amp; Merenlender, A. M. (2007). Living trees provide stable large wood in streams. </w:t>
      </w:r>
      <w:r w:rsidRPr="004C7410">
        <w:rPr>
          <w:rFonts w:ascii="Calibri" w:hAnsi="Calibri" w:cs="Calibri"/>
          <w:i/>
          <w:iCs/>
          <w:noProof/>
          <w:szCs w:val="24"/>
        </w:rPr>
        <w:t>Earth Surface Processes and Landforms</w:t>
      </w:r>
      <w:r w:rsidRPr="004C7410">
        <w:rPr>
          <w:rFonts w:ascii="Calibri" w:hAnsi="Calibri" w:cs="Calibri"/>
          <w:noProof/>
          <w:szCs w:val="24"/>
        </w:rPr>
        <w:t xml:space="preserve">, </w:t>
      </w:r>
      <w:r w:rsidRPr="004C7410">
        <w:rPr>
          <w:rFonts w:ascii="Calibri" w:hAnsi="Calibri" w:cs="Calibri"/>
          <w:i/>
          <w:iCs/>
          <w:noProof/>
          <w:szCs w:val="24"/>
        </w:rPr>
        <w:t>32</w:t>
      </w:r>
      <w:r w:rsidRPr="004C7410">
        <w:rPr>
          <w:rFonts w:ascii="Calibri" w:hAnsi="Calibri" w:cs="Calibri"/>
          <w:noProof/>
          <w:szCs w:val="24"/>
        </w:rPr>
        <w:t>, 1229–1238. https://doi.org/10.1002/esp</w:t>
      </w:r>
    </w:p>
    <w:p w14:paraId="2C6783D5"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Opperman, J. J., Meleason, M., Francis, R. a., &amp; Davies-Colley, R. (2008). “Livewood”: Geomorphic and Ecological Functions of Living Trees in River Channels. </w:t>
      </w:r>
      <w:r w:rsidRPr="004C7410">
        <w:rPr>
          <w:rFonts w:ascii="Calibri" w:hAnsi="Calibri" w:cs="Calibri"/>
          <w:i/>
          <w:iCs/>
          <w:noProof/>
          <w:szCs w:val="24"/>
        </w:rPr>
        <w:t>BioScience</w:t>
      </w:r>
      <w:r w:rsidRPr="004C7410">
        <w:rPr>
          <w:rFonts w:ascii="Calibri" w:hAnsi="Calibri" w:cs="Calibri"/>
          <w:noProof/>
          <w:szCs w:val="24"/>
        </w:rPr>
        <w:t xml:space="preserve">, </w:t>
      </w:r>
      <w:r w:rsidRPr="004C7410">
        <w:rPr>
          <w:rFonts w:ascii="Calibri" w:hAnsi="Calibri" w:cs="Calibri"/>
          <w:i/>
          <w:iCs/>
          <w:noProof/>
          <w:szCs w:val="24"/>
        </w:rPr>
        <w:t>58</w:t>
      </w:r>
      <w:r w:rsidRPr="004C7410">
        <w:rPr>
          <w:rFonts w:ascii="Calibri" w:hAnsi="Calibri" w:cs="Calibri"/>
          <w:noProof/>
          <w:szCs w:val="24"/>
        </w:rPr>
        <w:t>(11), 1069. https://doi.org/10.1641/B581110</w:t>
      </w:r>
    </w:p>
    <w:p w14:paraId="1A3948D0"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Prowse, T., &amp; Culp, J. (2003). Ice breakup: a neglected factor in river ecology. </w:t>
      </w:r>
      <w:r w:rsidRPr="004C7410">
        <w:rPr>
          <w:rFonts w:ascii="Calibri" w:hAnsi="Calibri" w:cs="Calibri"/>
          <w:i/>
          <w:iCs/>
          <w:noProof/>
          <w:szCs w:val="24"/>
        </w:rPr>
        <w:t>Canadian Journal of Civil Engineering</w:t>
      </w:r>
      <w:r w:rsidRPr="004C7410">
        <w:rPr>
          <w:rFonts w:ascii="Calibri" w:hAnsi="Calibri" w:cs="Calibri"/>
          <w:noProof/>
          <w:szCs w:val="24"/>
        </w:rPr>
        <w:t xml:space="preserve">, </w:t>
      </w:r>
      <w:r w:rsidRPr="004C7410">
        <w:rPr>
          <w:rFonts w:ascii="Calibri" w:hAnsi="Calibri" w:cs="Calibri"/>
          <w:i/>
          <w:iCs/>
          <w:noProof/>
          <w:szCs w:val="24"/>
        </w:rPr>
        <w:t>30</w:t>
      </w:r>
      <w:r w:rsidRPr="004C7410">
        <w:rPr>
          <w:rFonts w:ascii="Calibri" w:hAnsi="Calibri" w:cs="Calibri"/>
          <w:noProof/>
          <w:szCs w:val="24"/>
        </w:rPr>
        <w:t>, 128–144. https://doi.org/10.1080/09540250600667892</w:t>
      </w:r>
    </w:p>
    <w:p w14:paraId="22AB2383"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R Core Team. (2017). R: A Language and Environment for Statistical Computing. Vienna, Austria: R Foundation for Statistical Computing.</w:t>
      </w:r>
    </w:p>
    <w:p w14:paraId="1A7E2B2A"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Roni, P., Beechie, T., Pess, G., Hanson, K., &amp; Jonsson, B. (2015). Wood placement in river restoration: fact, fiction, and future direction. </w:t>
      </w:r>
      <w:r w:rsidRPr="004C7410">
        <w:rPr>
          <w:rFonts w:ascii="Calibri" w:hAnsi="Calibri" w:cs="Calibri"/>
          <w:i/>
          <w:iCs/>
          <w:noProof/>
          <w:szCs w:val="24"/>
        </w:rPr>
        <w:t>Canadian Journal of Fisheries and Aquatic Sciences</w:t>
      </w:r>
      <w:r w:rsidRPr="004C7410">
        <w:rPr>
          <w:rFonts w:ascii="Calibri" w:hAnsi="Calibri" w:cs="Calibri"/>
          <w:noProof/>
          <w:szCs w:val="24"/>
        </w:rPr>
        <w:t xml:space="preserve">, </w:t>
      </w:r>
      <w:r w:rsidRPr="004C7410">
        <w:rPr>
          <w:rFonts w:ascii="Calibri" w:hAnsi="Calibri" w:cs="Calibri"/>
          <w:i/>
          <w:iCs/>
          <w:noProof/>
          <w:szCs w:val="24"/>
        </w:rPr>
        <w:t>72</w:t>
      </w:r>
      <w:r w:rsidRPr="004C7410">
        <w:rPr>
          <w:rFonts w:ascii="Calibri" w:hAnsi="Calibri" w:cs="Calibri"/>
          <w:noProof/>
          <w:szCs w:val="24"/>
        </w:rPr>
        <w:t>(3), 466–478. https://doi.org/10.1139/cjfas-2014-0344</w:t>
      </w:r>
    </w:p>
    <w:p w14:paraId="754AA42D"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Rood, S. B., Goater, L. A., Mahoney, J. M., Pearce, C. M., &amp; Smith, D. G. (2007). Floods, fire, and ice: disturbance ecology of riparian cottonwoods. </w:t>
      </w:r>
      <w:r w:rsidRPr="004C7410">
        <w:rPr>
          <w:rFonts w:ascii="Calibri" w:hAnsi="Calibri" w:cs="Calibri"/>
          <w:i/>
          <w:iCs/>
          <w:noProof/>
          <w:szCs w:val="24"/>
        </w:rPr>
        <w:t>Canadian Journal of Botany</w:t>
      </w:r>
      <w:r w:rsidRPr="004C7410">
        <w:rPr>
          <w:rFonts w:ascii="Calibri" w:hAnsi="Calibri" w:cs="Calibri"/>
          <w:noProof/>
          <w:szCs w:val="24"/>
        </w:rPr>
        <w:t xml:space="preserve">, </w:t>
      </w:r>
      <w:r w:rsidRPr="004C7410">
        <w:rPr>
          <w:rFonts w:ascii="Calibri" w:hAnsi="Calibri" w:cs="Calibri"/>
          <w:i/>
          <w:iCs/>
          <w:noProof/>
          <w:szCs w:val="24"/>
        </w:rPr>
        <w:t>85</w:t>
      </w:r>
      <w:r w:rsidRPr="004C7410">
        <w:rPr>
          <w:rFonts w:ascii="Calibri" w:hAnsi="Calibri" w:cs="Calibri"/>
          <w:noProof/>
          <w:szCs w:val="24"/>
        </w:rPr>
        <w:t>(11), 1019–1032. https://doi.org/10.1139/B07-073</w:t>
      </w:r>
    </w:p>
    <w:p w14:paraId="4B893BD9"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Scott, D. N., Montgomery, D. R., &amp; Wohl, E. (2014). Log step and clast interactions in mountain streams in the central Cascade Range of Washington State, USA.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216</w:t>
      </w:r>
      <w:r w:rsidRPr="004C7410">
        <w:rPr>
          <w:rFonts w:ascii="Calibri" w:hAnsi="Calibri" w:cs="Calibri"/>
          <w:noProof/>
          <w:szCs w:val="24"/>
        </w:rPr>
        <w:t xml:space="preserve">, 180–186. </w:t>
      </w:r>
      <w:r w:rsidRPr="004C7410">
        <w:rPr>
          <w:rFonts w:ascii="Calibri" w:hAnsi="Calibri" w:cs="Calibri"/>
          <w:noProof/>
          <w:szCs w:val="24"/>
        </w:rPr>
        <w:lastRenderedPageBreak/>
        <w:t>https://doi.org/10.1016/j.geomorph.2014.04.004</w:t>
      </w:r>
    </w:p>
    <w:p w14:paraId="6AC9C414"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Scott, D. N., Brogan, D. J., Lininger, K. B., Schook, D. M., Daugherty, E. E., Sparacino, M. S., &amp; Patton, A. I. (2016). Evaluating survey instruments and methods in a steep channel.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273</w:t>
      </w:r>
      <w:r w:rsidRPr="004C7410">
        <w:rPr>
          <w:rFonts w:ascii="Calibri" w:hAnsi="Calibri" w:cs="Calibri"/>
          <w:noProof/>
          <w:szCs w:val="24"/>
        </w:rPr>
        <w:t>, 236–243. https://doi.org/10.1016/j.geomorph.2016.08.020</w:t>
      </w:r>
    </w:p>
    <w:p w14:paraId="597421B5"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Sear, D. A., Millington, C. E., Kitts, D. R., &amp; Jeffries, R. (2010). Logjam controls on channel:floodplain interactions in wooded catchments and their role in the formation of multi-channel patterns. </w:t>
      </w:r>
      <w:r w:rsidRPr="004C7410">
        <w:rPr>
          <w:rFonts w:ascii="Calibri" w:hAnsi="Calibri" w:cs="Calibri"/>
          <w:i/>
          <w:iCs/>
          <w:noProof/>
          <w:szCs w:val="24"/>
        </w:rPr>
        <w:t>Geomorphology</w:t>
      </w:r>
      <w:r w:rsidRPr="004C7410">
        <w:rPr>
          <w:rFonts w:ascii="Calibri" w:hAnsi="Calibri" w:cs="Calibri"/>
          <w:noProof/>
          <w:szCs w:val="24"/>
        </w:rPr>
        <w:t xml:space="preserve">, </w:t>
      </w:r>
      <w:r w:rsidRPr="004C7410">
        <w:rPr>
          <w:rFonts w:ascii="Calibri" w:hAnsi="Calibri" w:cs="Calibri"/>
          <w:i/>
          <w:iCs/>
          <w:noProof/>
          <w:szCs w:val="24"/>
        </w:rPr>
        <w:t>116</w:t>
      </w:r>
      <w:r w:rsidRPr="004C7410">
        <w:rPr>
          <w:rFonts w:ascii="Calibri" w:hAnsi="Calibri" w:cs="Calibri"/>
          <w:noProof/>
          <w:szCs w:val="24"/>
        </w:rPr>
        <w:t>(3–4), 305–319. https://doi.org/10.1016/j.geomorph.2009.11.022</w:t>
      </w:r>
    </w:p>
    <w:p w14:paraId="573E1311"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Sedell, J. R., &amp; Froggatt, J. L. (1984). Importance of streamside forests to large rivers: the isolation of the Willamette River, Oregon, U.S.A., from its floodplain by snagging and streamside forest removal. </w:t>
      </w:r>
      <w:r w:rsidRPr="004C7410">
        <w:rPr>
          <w:rFonts w:ascii="Calibri" w:hAnsi="Calibri" w:cs="Calibri"/>
          <w:i/>
          <w:iCs/>
          <w:noProof/>
          <w:szCs w:val="24"/>
        </w:rPr>
        <w:t>Verhandlungen Der Internationale Vereinigung Fur Theoretische Und Angewandte Limnologie</w:t>
      </w:r>
      <w:r w:rsidRPr="004C7410">
        <w:rPr>
          <w:rFonts w:ascii="Calibri" w:hAnsi="Calibri" w:cs="Calibri"/>
          <w:noProof/>
          <w:szCs w:val="24"/>
        </w:rPr>
        <w:t xml:space="preserve">, </w:t>
      </w:r>
      <w:r w:rsidRPr="004C7410">
        <w:rPr>
          <w:rFonts w:ascii="Calibri" w:hAnsi="Calibri" w:cs="Calibri"/>
          <w:i/>
          <w:iCs/>
          <w:noProof/>
          <w:szCs w:val="24"/>
        </w:rPr>
        <w:t>22</w:t>
      </w:r>
      <w:r w:rsidRPr="004C7410">
        <w:rPr>
          <w:rFonts w:ascii="Calibri" w:hAnsi="Calibri" w:cs="Calibri"/>
          <w:noProof/>
          <w:szCs w:val="24"/>
        </w:rPr>
        <w:t>, 1828–1834.</w:t>
      </w:r>
    </w:p>
    <w:p w14:paraId="036E45C0"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Thompson, M. S. A., Brooks, S. J., Sayer, C. D., Woodward, G., Axmacher, J. C., Perkins, D. M., &amp; Gray, C. (2018). Large woody debris “rewilding” rapidly restores biodiversity in riverine food webs. </w:t>
      </w:r>
      <w:r w:rsidRPr="004C7410">
        <w:rPr>
          <w:rFonts w:ascii="Calibri" w:hAnsi="Calibri" w:cs="Calibri"/>
          <w:i/>
          <w:iCs/>
          <w:noProof/>
          <w:szCs w:val="24"/>
        </w:rPr>
        <w:t>Journal of Applied Ecology</w:t>
      </w:r>
      <w:r w:rsidRPr="004C7410">
        <w:rPr>
          <w:rFonts w:ascii="Calibri" w:hAnsi="Calibri" w:cs="Calibri"/>
          <w:noProof/>
          <w:szCs w:val="24"/>
        </w:rPr>
        <w:t xml:space="preserve">, </w:t>
      </w:r>
      <w:r w:rsidRPr="004C7410">
        <w:rPr>
          <w:rFonts w:ascii="Calibri" w:hAnsi="Calibri" w:cs="Calibri"/>
          <w:i/>
          <w:iCs/>
          <w:noProof/>
          <w:szCs w:val="24"/>
        </w:rPr>
        <w:t>55</w:t>
      </w:r>
      <w:r w:rsidRPr="004C7410">
        <w:rPr>
          <w:rFonts w:ascii="Calibri" w:hAnsi="Calibri" w:cs="Calibri"/>
          <w:noProof/>
          <w:szCs w:val="24"/>
        </w:rPr>
        <w:t>(2), 895–904. https://doi.org/10.1111/1365-2664.13013</w:t>
      </w:r>
    </w:p>
    <w:p w14:paraId="387690AC"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USBR, &amp; ERDC. (2016). </w:t>
      </w:r>
      <w:r w:rsidRPr="004C7410">
        <w:rPr>
          <w:rFonts w:ascii="Calibri" w:hAnsi="Calibri" w:cs="Calibri"/>
          <w:i/>
          <w:iCs/>
          <w:noProof/>
          <w:szCs w:val="24"/>
        </w:rPr>
        <w:t>National Large Wood Manual: Assessment, Planning, Design, and Maintenance of Large Wood in Fluvial Ecosystems: Restoring Process, Function, and Structure.</w:t>
      </w:r>
    </w:p>
    <w:p w14:paraId="3798D99F"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Wohl, E. (2011). Threshold-induced complex behavior of wood in mountain streams. </w:t>
      </w:r>
      <w:r w:rsidRPr="004C7410">
        <w:rPr>
          <w:rFonts w:ascii="Calibri" w:hAnsi="Calibri" w:cs="Calibri"/>
          <w:i/>
          <w:iCs/>
          <w:noProof/>
          <w:szCs w:val="24"/>
        </w:rPr>
        <w:t>Geology</w:t>
      </w:r>
      <w:r w:rsidRPr="004C7410">
        <w:rPr>
          <w:rFonts w:ascii="Calibri" w:hAnsi="Calibri" w:cs="Calibri"/>
          <w:noProof/>
          <w:szCs w:val="24"/>
        </w:rPr>
        <w:t xml:space="preserve">, </w:t>
      </w:r>
      <w:r w:rsidRPr="004C7410">
        <w:rPr>
          <w:rFonts w:ascii="Calibri" w:hAnsi="Calibri" w:cs="Calibri"/>
          <w:i/>
          <w:iCs/>
          <w:noProof/>
          <w:szCs w:val="24"/>
        </w:rPr>
        <w:t>39</w:t>
      </w:r>
      <w:r w:rsidRPr="004C7410">
        <w:rPr>
          <w:rFonts w:ascii="Calibri" w:hAnsi="Calibri" w:cs="Calibri"/>
          <w:noProof/>
          <w:szCs w:val="24"/>
        </w:rPr>
        <w:t>(6), 587–590. https://doi.org/10.1130/G32105.1</w:t>
      </w:r>
    </w:p>
    <w:p w14:paraId="7DE17902"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Wohl, E. (2013). Floodplains and wood. </w:t>
      </w:r>
      <w:r w:rsidRPr="004C7410">
        <w:rPr>
          <w:rFonts w:ascii="Calibri" w:hAnsi="Calibri" w:cs="Calibri"/>
          <w:i/>
          <w:iCs/>
          <w:noProof/>
          <w:szCs w:val="24"/>
        </w:rPr>
        <w:t>Earth-Science Reviews</w:t>
      </w:r>
      <w:r w:rsidRPr="004C7410">
        <w:rPr>
          <w:rFonts w:ascii="Calibri" w:hAnsi="Calibri" w:cs="Calibri"/>
          <w:noProof/>
          <w:szCs w:val="24"/>
        </w:rPr>
        <w:t xml:space="preserve">, </w:t>
      </w:r>
      <w:r w:rsidRPr="004C7410">
        <w:rPr>
          <w:rFonts w:ascii="Calibri" w:hAnsi="Calibri" w:cs="Calibri"/>
          <w:i/>
          <w:iCs/>
          <w:noProof/>
          <w:szCs w:val="24"/>
        </w:rPr>
        <w:t>123</w:t>
      </w:r>
      <w:r w:rsidRPr="004C7410">
        <w:rPr>
          <w:rFonts w:ascii="Calibri" w:hAnsi="Calibri" w:cs="Calibri"/>
          <w:noProof/>
          <w:szCs w:val="24"/>
        </w:rPr>
        <w:t>, 194–212. https://doi.org/10.1016/j.earscirev.2013.04.009</w:t>
      </w:r>
    </w:p>
    <w:p w14:paraId="4DEC302C"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Wohl, E. (2014). A legacy of absence: Wood removal in US rivers. </w:t>
      </w:r>
      <w:r w:rsidRPr="004C7410">
        <w:rPr>
          <w:rFonts w:ascii="Calibri" w:hAnsi="Calibri" w:cs="Calibri"/>
          <w:i/>
          <w:iCs/>
          <w:noProof/>
          <w:szCs w:val="24"/>
        </w:rPr>
        <w:t>Progress in Physical Geography</w:t>
      </w:r>
      <w:r w:rsidRPr="004C7410">
        <w:rPr>
          <w:rFonts w:ascii="Calibri" w:hAnsi="Calibri" w:cs="Calibri"/>
          <w:noProof/>
          <w:szCs w:val="24"/>
        </w:rPr>
        <w:t xml:space="preserve">, </w:t>
      </w:r>
      <w:r w:rsidRPr="004C7410">
        <w:rPr>
          <w:rFonts w:ascii="Calibri" w:hAnsi="Calibri" w:cs="Calibri"/>
          <w:i/>
          <w:iCs/>
          <w:noProof/>
          <w:szCs w:val="24"/>
        </w:rPr>
        <w:t>38</w:t>
      </w:r>
      <w:r w:rsidRPr="004C7410">
        <w:rPr>
          <w:rFonts w:ascii="Calibri" w:hAnsi="Calibri" w:cs="Calibri"/>
          <w:noProof/>
          <w:szCs w:val="24"/>
        </w:rPr>
        <w:t>(5), 637–663. https://doi.org/10.1177/0309133314548091</w:t>
      </w:r>
    </w:p>
    <w:p w14:paraId="7900D7EE"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t xml:space="preserve">Wohl, E. (2015). Bridging the gaps: An overview of wood across time and space in diverse rivers. </w:t>
      </w:r>
      <w:r w:rsidRPr="004C7410">
        <w:rPr>
          <w:rFonts w:ascii="Calibri" w:hAnsi="Calibri" w:cs="Calibri"/>
          <w:i/>
          <w:iCs/>
          <w:noProof/>
          <w:szCs w:val="24"/>
        </w:rPr>
        <w:t>Geomorphology</w:t>
      </w:r>
      <w:r w:rsidRPr="004C7410">
        <w:rPr>
          <w:rFonts w:ascii="Calibri" w:hAnsi="Calibri" w:cs="Calibri"/>
          <w:noProof/>
          <w:szCs w:val="24"/>
        </w:rPr>
        <w:t>. https://doi.org/10.1016/j.geomorph.2016.04.014</w:t>
      </w:r>
    </w:p>
    <w:p w14:paraId="3068BE66"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szCs w:val="24"/>
        </w:rPr>
      </w:pPr>
      <w:r w:rsidRPr="004C7410">
        <w:rPr>
          <w:rFonts w:ascii="Calibri" w:hAnsi="Calibri" w:cs="Calibri"/>
          <w:noProof/>
          <w:szCs w:val="24"/>
        </w:rPr>
        <w:lastRenderedPageBreak/>
        <w:t xml:space="preserve">Wohl, E., &amp; Goode, J. R. (2008). Wood dynamics in headwater streams of the Colorado Rocky Mountains. </w:t>
      </w:r>
      <w:r w:rsidRPr="004C7410">
        <w:rPr>
          <w:rFonts w:ascii="Calibri" w:hAnsi="Calibri" w:cs="Calibri"/>
          <w:i/>
          <w:iCs/>
          <w:noProof/>
          <w:szCs w:val="24"/>
        </w:rPr>
        <w:t>Water Resources Research</w:t>
      </w:r>
      <w:r w:rsidRPr="004C7410">
        <w:rPr>
          <w:rFonts w:ascii="Calibri" w:hAnsi="Calibri" w:cs="Calibri"/>
          <w:noProof/>
          <w:szCs w:val="24"/>
        </w:rPr>
        <w:t xml:space="preserve">, </w:t>
      </w:r>
      <w:r w:rsidRPr="004C7410">
        <w:rPr>
          <w:rFonts w:ascii="Calibri" w:hAnsi="Calibri" w:cs="Calibri"/>
          <w:i/>
          <w:iCs/>
          <w:noProof/>
          <w:szCs w:val="24"/>
        </w:rPr>
        <w:t>44</w:t>
      </w:r>
      <w:r w:rsidRPr="004C7410">
        <w:rPr>
          <w:rFonts w:ascii="Calibri" w:hAnsi="Calibri" w:cs="Calibri"/>
          <w:noProof/>
          <w:szCs w:val="24"/>
        </w:rPr>
        <w:t>(9), 1–14. https://doi.org/10.1029/2007WR006522</w:t>
      </w:r>
    </w:p>
    <w:p w14:paraId="3D5D0920" w14:textId="77777777" w:rsidR="000B4D97" w:rsidRPr="004C7410" w:rsidRDefault="000B4D97" w:rsidP="000B4D97">
      <w:pPr>
        <w:widowControl w:val="0"/>
        <w:autoSpaceDE w:val="0"/>
        <w:autoSpaceDN w:val="0"/>
        <w:adjustRightInd w:val="0"/>
        <w:spacing w:line="480" w:lineRule="auto"/>
        <w:ind w:left="480" w:hanging="480"/>
        <w:rPr>
          <w:rFonts w:ascii="Calibri" w:hAnsi="Calibri" w:cs="Calibri"/>
          <w:noProof/>
        </w:rPr>
      </w:pPr>
      <w:r w:rsidRPr="004C7410">
        <w:rPr>
          <w:rFonts w:ascii="Calibri" w:hAnsi="Calibri" w:cs="Calibri"/>
          <w:noProof/>
          <w:szCs w:val="24"/>
        </w:rPr>
        <w:t xml:space="preserve">Wohl, E., Bledsoe, B. P., Fausch, K. D., Kramer, N., Bestgen, K. R., &amp; Gooseff, M. N. (2015). Management of Large Wood in Streams: An Overview and Proposed Framework for Hazard Evaluation. </w:t>
      </w:r>
      <w:r w:rsidRPr="004C7410">
        <w:rPr>
          <w:rFonts w:ascii="Calibri" w:hAnsi="Calibri" w:cs="Calibri"/>
          <w:i/>
          <w:iCs/>
          <w:noProof/>
          <w:szCs w:val="24"/>
        </w:rPr>
        <w:t>American Water Resources Association</w:t>
      </w:r>
      <w:r w:rsidRPr="004C7410">
        <w:rPr>
          <w:rFonts w:ascii="Calibri" w:hAnsi="Calibri" w:cs="Calibri"/>
          <w:noProof/>
          <w:szCs w:val="24"/>
        </w:rPr>
        <w:t xml:space="preserve">, </w:t>
      </w:r>
      <w:r w:rsidRPr="004C7410">
        <w:rPr>
          <w:rFonts w:ascii="Calibri" w:hAnsi="Calibri" w:cs="Calibri"/>
          <w:i/>
          <w:iCs/>
          <w:noProof/>
          <w:szCs w:val="24"/>
        </w:rPr>
        <w:t>52</w:t>
      </w:r>
      <w:r w:rsidRPr="004C7410">
        <w:rPr>
          <w:rFonts w:ascii="Calibri" w:hAnsi="Calibri" w:cs="Calibri"/>
          <w:noProof/>
          <w:szCs w:val="24"/>
        </w:rPr>
        <w:t>(2), 315–335. https://doi.org/10.1017/CBO9781107415324.004</w:t>
      </w:r>
    </w:p>
    <w:p w14:paraId="55370B5A" w14:textId="77777777" w:rsidR="00C01CB4" w:rsidRPr="004C7410" w:rsidRDefault="00C01CB4" w:rsidP="00C01CB4">
      <w:pPr>
        <w:spacing w:line="480" w:lineRule="auto"/>
      </w:pPr>
      <w:r w:rsidRPr="004C7410">
        <w:fldChar w:fldCharType="end"/>
      </w:r>
    </w:p>
    <w:p w14:paraId="384078A2" w14:textId="77777777" w:rsidR="00BC1B6A" w:rsidRPr="004C7410" w:rsidRDefault="00BC1B6A" w:rsidP="00F4216D">
      <w:pPr>
        <w:pStyle w:val="Heading1"/>
        <w:sectPr w:rsidR="00BC1B6A" w:rsidRPr="004C7410" w:rsidSect="00D54465">
          <w:pgSz w:w="12240" w:h="15840"/>
          <w:pgMar w:top="1440" w:right="1440" w:bottom="1440" w:left="1440" w:header="720" w:footer="720" w:gutter="0"/>
          <w:lnNumType w:countBy="1" w:restart="continuous"/>
          <w:cols w:space="720"/>
          <w:docGrid w:linePitch="360"/>
        </w:sectPr>
      </w:pPr>
    </w:p>
    <w:p w14:paraId="1AA4DD20" w14:textId="2FBE72A2" w:rsidR="00F0221F" w:rsidRPr="004C7410" w:rsidRDefault="00F0221F" w:rsidP="00F4216D">
      <w:pPr>
        <w:pStyle w:val="Heading1"/>
      </w:pPr>
      <w:r w:rsidRPr="004C7410">
        <w:lastRenderedPageBreak/>
        <w:t>Tables</w:t>
      </w:r>
    </w:p>
    <w:p w14:paraId="3771E099" w14:textId="77777777" w:rsidR="00D54465" w:rsidRPr="004C7410" w:rsidRDefault="00D54465" w:rsidP="00D54465">
      <w:pPr>
        <w:spacing w:line="480" w:lineRule="auto"/>
      </w:pPr>
      <w:r w:rsidRPr="004C7410">
        <w:t xml:space="preserve">Table 1: All variables included in the wood jam dynamics database that describe wood jam characteristics and dynamics. Key piece refers to any wood piece that retains or supports any other wood in the jam. Channel geometry measurements describe only the channel the wood jam resides in, even if there are multiple channels across the valley bottom. We categorize measurements by whether they describe hydrologic regime (blue), channel geometry (brown), reach-scale valley bottom characteristics (red), the location and geometry of the jam (purple), and the physical characteristics of a jam (green). </w:t>
      </w:r>
    </w:p>
    <w:p w14:paraId="26C20DB9" w14:textId="77777777" w:rsidR="00D54465" w:rsidRPr="004C7410" w:rsidRDefault="00D54465" w:rsidP="00D54465">
      <w:pPr>
        <w:pStyle w:val="Caption"/>
        <w:keepNext/>
        <w:spacing w:after="0" w:line="480" w:lineRule="auto"/>
        <w:rPr>
          <w:i w:val="0"/>
          <w:color w:val="auto"/>
          <w:sz w:val="22"/>
          <w:szCs w:val="22"/>
        </w:rPr>
      </w:pPr>
    </w:p>
    <w:tbl>
      <w:tblPr>
        <w:tblStyle w:val="TableGrid"/>
        <w:tblW w:w="14120" w:type="dxa"/>
        <w:tblInd w:w="-95" w:type="dxa"/>
        <w:tblLayout w:type="fixed"/>
        <w:tblLook w:val="04A0" w:firstRow="1" w:lastRow="0" w:firstColumn="1" w:lastColumn="0" w:noHBand="0" w:noVBand="1"/>
      </w:tblPr>
      <w:tblGrid>
        <w:gridCol w:w="1890"/>
        <w:gridCol w:w="1890"/>
        <w:gridCol w:w="990"/>
        <w:gridCol w:w="4675"/>
        <w:gridCol w:w="4675"/>
      </w:tblGrid>
      <w:tr w:rsidR="00D54465" w:rsidRPr="004C7410" w14:paraId="5DB7CD38"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vAlign w:val="center"/>
            <w:hideMark/>
          </w:tcPr>
          <w:p w14:paraId="7D953843" w14:textId="77777777" w:rsidR="00D54465" w:rsidRPr="004C7410" w:rsidRDefault="00D54465" w:rsidP="00191792">
            <w:pPr>
              <w:jc w:val="center"/>
              <w:rPr>
                <w:b/>
                <w:bCs/>
              </w:rPr>
            </w:pPr>
            <w:bookmarkStart w:id="3" w:name="_Hlk504727934"/>
            <w:r w:rsidRPr="004C7410">
              <w:rPr>
                <w:b/>
                <w:bCs/>
              </w:rPr>
              <w:t>Measurement</w:t>
            </w:r>
          </w:p>
        </w:tc>
        <w:tc>
          <w:tcPr>
            <w:tcW w:w="1890" w:type="dxa"/>
            <w:tcBorders>
              <w:top w:val="single" w:sz="4" w:space="0" w:color="auto"/>
              <w:left w:val="single" w:sz="4" w:space="0" w:color="auto"/>
              <w:bottom w:val="single" w:sz="4" w:space="0" w:color="auto"/>
              <w:right w:val="single" w:sz="4" w:space="0" w:color="auto"/>
            </w:tcBorders>
            <w:vAlign w:val="center"/>
          </w:tcPr>
          <w:p w14:paraId="609C5C2C" w14:textId="77777777" w:rsidR="00D54465" w:rsidRPr="004C7410" w:rsidRDefault="00D54465" w:rsidP="00191792">
            <w:pPr>
              <w:jc w:val="center"/>
              <w:rPr>
                <w:b/>
                <w:bCs/>
              </w:rPr>
            </w:pPr>
            <w:r w:rsidRPr="004C7410">
              <w:rPr>
                <w:b/>
                <w:bCs/>
              </w:rPr>
              <w:t>Database Variable ID</w:t>
            </w:r>
          </w:p>
        </w:tc>
        <w:tc>
          <w:tcPr>
            <w:tcW w:w="990" w:type="dxa"/>
            <w:tcBorders>
              <w:top w:val="single" w:sz="4" w:space="0" w:color="auto"/>
              <w:left w:val="single" w:sz="4" w:space="0" w:color="auto"/>
              <w:bottom w:val="single" w:sz="4" w:space="0" w:color="auto"/>
              <w:right w:val="single" w:sz="4" w:space="0" w:color="auto"/>
            </w:tcBorders>
            <w:vAlign w:val="center"/>
            <w:hideMark/>
          </w:tcPr>
          <w:p w14:paraId="6988EB4F" w14:textId="77777777" w:rsidR="00D54465" w:rsidRPr="004C7410" w:rsidRDefault="00D54465" w:rsidP="00191792">
            <w:pPr>
              <w:jc w:val="center"/>
              <w:rPr>
                <w:b/>
                <w:bCs/>
              </w:rPr>
            </w:pPr>
            <w:r w:rsidRPr="004C7410">
              <w:rPr>
                <w:b/>
                <w:bCs/>
              </w:rPr>
              <w:t>Unit</w:t>
            </w:r>
          </w:p>
        </w:tc>
        <w:tc>
          <w:tcPr>
            <w:tcW w:w="4675" w:type="dxa"/>
            <w:tcBorders>
              <w:top w:val="single" w:sz="4" w:space="0" w:color="auto"/>
              <w:left w:val="single" w:sz="4" w:space="0" w:color="auto"/>
              <w:bottom w:val="single" w:sz="4" w:space="0" w:color="auto"/>
              <w:right w:val="single" w:sz="4" w:space="0" w:color="auto"/>
            </w:tcBorders>
            <w:vAlign w:val="center"/>
            <w:hideMark/>
          </w:tcPr>
          <w:p w14:paraId="44B8220C" w14:textId="77777777" w:rsidR="00D54465" w:rsidRPr="004C7410" w:rsidRDefault="00D54465" w:rsidP="00191792">
            <w:pPr>
              <w:jc w:val="center"/>
              <w:rPr>
                <w:b/>
                <w:bCs/>
              </w:rPr>
            </w:pPr>
            <w:r w:rsidRPr="004C7410">
              <w:rPr>
                <w:b/>
                <w:bCs/>
              </w:rPr>
              <w:t>Description</w:t>
            </w:r>
          </w:p>
        </w:tc>
        <w:tc>
          <w:tcPr>
            <w:tcW w:w="4675" w:type="dxa"/>
            <w:tcBorders>
              <w:top w:val="single" w:sz="4" w:space="0" w:color="auto"/>
              <w:left w:val="single" w:sz="4" w:space="0" w:color="auto"/>
              <w:bottom w:val="single" w:sz="4" w:space="0" w:color="auto"/>
              <w:right w:val="single" w:sz="4" w:space="0" w:color="auto"/>
            </w:tcBorders>
            <w:vAlign w:val="center"/>
          </w:tcPr>
          <w:p w14:paraId="66FEF2DC" w14:textId="77777777" w:rsidR="00D54465" w:rsidRPr="004C7410" w:rsidRDefault="00D54465" w:rsidP="00191792">
            <w:pPr>
              <w:jc w:val="center"/>
              <w:rPr>
                <w:b/>
                <w:bCs/>
              </w:rPr>
            </w:pPr>
            <w:r w:rsidRPr="004C7410">
              <w:rPr>
                <w:b/>
                <w:bCs/>
              </w:rPr>
              <w:t>Justification</w:t>
            </w:r>
          </w:p>
        </w:tc>
      </w:tr>
      <w:tr w:rsidR="00D54465" w:rsidRPr="004C7410" w14:paraId="181D52AF"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6F48BB60" w14:textId="77777777" w:rsidR="00D54465" w:rsidRPr="004C7410" w:rsidRDefault="00D54465" w:rsidP="005E50AB">
            <w:pPr>
              <w:rPr>
                <w:bCs/>
              </w:rPr>
            </w:pPr>
            <w:r w:rsidRPr="004C7410">
              <w:rPr>
                <w:bCs/>
              </w:rPr>
              <w:t>river</w:t>
            </w:r>
          </w:p>
        </w:tc>
        <w:tc>
          <w:tcPr>
            <w:tcW w:w="1890" w:type="dxa"/>
            <w:tcBorders>
              <w:top w:val="single" w:sz="4" w:space="0" w:color="auto"/>
              <w:left w:val="single" w:sz="4" w:space="0" w:color="auto"/>
              <w:bottom w:val="single" w:sz="4" w:space="0" w:color="auto"/>
              <w:right w:val="single" w:sz="4" w:space="0" w:color="auto"/>
            </w:tcBorders>
          </w:tcPr>
          <w:p w14:paraId="54495081" w14:textId="77777777" w:rsidR="00D54465" w:rsidRPr="004C7410" w:rsidRDefault="00D54465" w:rsidP="005E50AB">
            <w:r w:rsidRPr="004C7410">
              <w:t>river</w:t>
            </w:r>
          </w:p>
        </w:tc>
        <w:tc>
          <w:tcPr>
            <w:tcW w:w="990" w:type="dxa"/>
            <w:tcBorders>
              <w:top w:val="single" w:sz="4" w:space="0" w:color="auto"/>
              <w:left w:val="single" w:sz="4" w:space="0" w:color="auto"/>
              <w:bottom w:val="single" w:sz="4" w:space="0" w:color="auto"/>
              <w:right w:val="single" w:sz="4" w:space="0" w:color="auto"/>
            </w:tcBorders>
          </w:tcPr>
          <w:p w14:paraId="1BA23DCE" w14:textId="77777777" w:rsidR="00D54465" w:rsidRPr="004C7410" w:rsidRDefault="00D54465" w:rsidP="005E50AB"/>
        </w:tc>
        <w:tc>
          <w:tcPr>
            <w:tcW w:w="4675" w:type="dxa"/>
            <w:tcBorders>
              <w:top w:val="single" w:sz="4" w:space="0" w:color="auto"/>
              <w:left w:val="single" w:sz="4" w:space="0" w:color="auto"/>
              <w:bottom w:val="single" w:sz="4" w:space="0" w:color="auto"/>
              <w:right w:val="single" w:sz="4" w:space="0" w:color="auto"/>
            </w:tcBorders>
            <w:hideMark/>
          </w:tcPr>
          <w:p w14:paraId="3A29D29D" w14:textId="77777777" w:rsidR="00D54465" w:rsidRPr="004C7410" w:rsidRDefault="00D54465" w:rsidP="005E50AB">
            <w:r w:rsidRPr="004C7410">
              <w:t>Full name of river</w:t>
            </w:r>
          </w:p>
        </w:tc>
        <w:tc>
          <w:tcPr>
            <w:tcW w:w="4675" w:type="dxa"/>
            <w:tcBorders>
              <w:top w:val="single" w:sz="4" w:space="0" w:color="auto"/>
              <w:left w:val="single" w:sz="4" w:space="0" w:color="auto"/>
              <w:bottom w:val="single" w:sz="4" w:space="0" w:color="auto"/>
              <w:right w:val="single" w:sz="4" w:space="0" w:color="auto"/>
            </w:tcBorders>
            <w:vAlign w:val="center"/>
          </w:tcPr>
          <w:p w14:paraId="7181B583" w14:textId="77777777" w:rsidR="00D54465" w:rsidRPr="004C7410" w:rsidRDefault="00D54465" w:rsidP="00191792"/>
        </w:tc>
      </w:tr>
      <w:tr w:rsidR="00D54465" w:rsidRPr="004C7410" w14:paraId="20003CDD"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37F9D339" w14:textId="77777777" w:rsidR="00D54465" w:rsidRPr="004C7410" w:rsidRDefault="00D54465" w:rsidP="005E50AB">
            <w:pPr>
              <w:rPr>
                <w:bCs/>
              </w:rPr>
            </w:pPr>
            <w:r w:rsidRPr="004C7410">
              <w:rPr>
                <w:bCs/>
              </w:rPr>
              <w:t>jam number</w:t>
            </w:r>
          </w:p>
        </w:tc>
        <w:tc>
          <w:tcPr>
            <w:tcW w:w="1890" w:type="dxa"/>
            <w:tcBorders>
              <w:top w:val="single" w:sz="4" w:space="0" w:color="auto"/>
              <w:left w:val="single" w:sz="4" w:space="0" w:color="auto"/>
              <w:bottom w:val="single" w:sz="4" w:space="0" w:color="auto"/>
              <w:right w:val="single" w:sz="4" w:space="0" w:color="auto"/>
            </w:tcBorders>
          </w:tcPr>
          <w:p w14:paraId="06290EC6" w14:textId="77777777" w:rsidR="00D54465" w:rsidRPr="004C7410" w:rsidRDefault="00D54465" w:rsidP="005E50AB">
            <w:proofErr w:type="spellStart"/>
            <w:r w:rsidRPr="004C7410">
              <w:t>jam_num</w:t>
            </w:r>
            <w:proofErr w:type="spellEnd"/>
          </w:p>
        </w:tc>
        <w:tc>
          <w:tcPr>
            <w:tcW w:w="990" w:type="dxa"/>
            <w:tcBorders>
              <w:top w:val="single" w:sz="4" w:space="0" w:color="auto"/>
              <w:left w:val="single" w:sz="4" w:space="0" w:color="auto"/>
              <w:bottom w:val="single" w:sz="4" w:space="0" w:color="auto"/>
              <w:right w:val="single" w:sz="4" w:space="0" w:color="auto"/>
            </w:tcBorders>
          </w:tcPr>
          <w:p w14:paraId="702865F8" w14:textId="77777777" w:rsidR="00D54465" w:rsidRPr="004C7410" w:rsidRDefault="00D54465" w:rsidP="005E50AB"/>
        </w:tc>
        <w:tc>
          <w:tcPr>
            <w:tcW w:w="4675" w:type="dxa"/>
            <w:tcBorders>
              <w:top w:val="single" w:sz="4" w:space="0" w:color="auto"/>
              <w:left w:val="single" w:sz="4" w:space="0" w:color="auto"/>
              <w:bottom w:val="single" w:sz="4" w:space="0" w:color="auto"/>
              <w:right w:val="single" w:sz="4" w:space="0" w:color="auto"/>
            </w:tcBorders>
            <w:hideMark/>
          </w:tcPr>
          <w:p w14:paraId="58DCC318" w14:textId="77777777" w:rsidR="00D54465" w:rsidRPr="004C7410" w:rsidRDefault="00D54465" w:rsidP="005E50AB">
            <w:pPr>
              <w:rPr>
                <w:rFonts w:ascii="Calibri" w:hAnsi="Calibri" w:cs="Calibri"/>
                <w:color w:val="000000"/>
              </w:rPr>
            </w:pPr>
            <w:r w:rsidRPr="004C7410">
              <w:rPr>
                <w:rFonts w:ascii="Calibri" w:hAnsi="Calibri" w:cs="Calibri"/>
                <w:color w:val="000000"/>
              </w:rPr>
              <w:t xml:space="preserve">One unique number per jam in a stream. </w:t>
            </w:r>
          </w:p>
        </w:tc>
        <w:tc>
          <w:tcPr>
            <w:tcW w:w="4675" w:type="dxa"/>
            <w:tcBorders>
              <w:top w:val="single" w:sz="4" w:space="0" w:color="auto"/>
              <w:left w:val="single" w:sz="4" w:space="0" w:color="auto"/>
              <w:bottom w:val="single" w:sz="4" w:space="0" w:color="auto"/>
              <w:right w:val="single" w:sz="4" w:space="0" w:color="auto"/>
            </w:tcBorders>
            <w:vAlign w:val="center"/>
          </w:tcPr>
          <w:p w14:paraId="28354E0E" w14:textId="77777777" w:rsidR="00D54465" w:rsidRPr="004C7410" w:rsidRDefault="00D54465" w:rsidP="00191792">
            <w:pPr>
              <w:rPr>
                <w:rFonts w:ascii="Calibri" w:hAnsi="Calibri" w:cs="Calibri"/>
                <w:color w:val="000000"/>
              </w:rPr>
            </w:pPr>
          </w:p>
        </w:tc>
      </w:tr>
      <w:tr w:rsidR="00D54465" w:rsidRPr="004C7410" w14:paraId="5E2EDE99"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442BB297" w14:textId="77777777" w:rsidR="00D54465" w:rsidRPr="004C7410" w:rsidRDefault="00D54465" w:rsidP="005E50AB">
            <w:pPr>
              <w:rPr>
                <w:bCs/>
              </w:rPr>
            </w:pPr>
            <w:r w:rsidRPr="004C7410">
              <w:rPr>
                <w:bCs/>
              </w:rPr>
              <w:t>survey number</w:t>
            </w:r>
          </w:p>
        </w:tc>
        <w:tc>
          <w:tcPr>
            <w:tcW w:w="1890" w:type="dxa"/>
            <w:tcBorders>
              <w:top w:val="single" w:sz="4" w:space="0" w:color="auto"/>
              <w:left w:val="single" w:sz="4" w:space="0" w:color="auto"/>
              <w:bottom w:val="single" w:sz="4" w:space="0" w:color="auto"/>
              <w:right w:val="single" w:sz="4" w:space="0" w:color="auto"/>
            </w:tcBorders>
          </w:tcPr>
          <w:p w14:paraId="5B6F2F8F" w14:textId="77777777" w:rsidR="00D54465" w:rsidRPr="004C7410" w:rsidRDefault="00D54465" w:rsidP="005E50AB">
            <w:proofErr w:type="spellStart"/>
            <w:r w:rsidRPr="004C7410">
              <w:t>survey_num</w:t>
            </w:r>
            <w:proofErr w:type="spellEnd"/>
          </w:p>
        </w:tc>
        <w:tc>
          <w:tcPr>
            <w:tcW w:w="990" w:type="dxa"/>
            <w:tcBorders>
              <w:top w:val="single" w:sz="4" w:space="0" w:color="auto"/>
              <w:left w:val="single" w:sz="4" w:space="0" w:color="auto"/>
              <w:bottom w:val="single" w:sz="4" w:space="0" w:color="auto"/>
              <w:right w:val="single" w:sz="4" w:space="0" w:color="auto"/>
            </w:tcBorders>
          </w:tcPr>
          <w:p w14:paraId="53805F95" w14:textId="77777777" w:rsidR="00D54465" w:rsidRPr="004C7410" w:rsidRDefault="00D54465" w:rsidP="005E50AB"/>
        </w:tc>
        <w:tc>
          <w:tcPr>
            <w:tcW w:w="4675" w:type="dxa"/>
            <w:tcBorders>
              <w:top w:val="single" w:sz="4" w:space="0" w:color="auto"/>
              <w:left w:val="single" w:sz="4" w:space="0" w:color="auto"/>
              <w:bottom w:val="single" w:sz="4" w:space="0" w:color="auto"/>
              <w:right w:val="single" w:sz="4" w:space="0" w:color="auto"/>
            </w:tcBorders>
          </w:tcPr>
          <w:p w14:paraId="7EDFC0C6" w14:textId="77777777" w:rsidR="00D54465" w:rsidRPr="004C7410" w:rsidRDefault="00D54465" w:rsidP="005E50AB">
            <w:pPr>
              <w:rPr>
                <w:rFonts w:ascii="Calibri" w:hAnsi="Calibri" w:cs="Calibri"/>
                <w:color w:val="000000"/>
              </w:rPr>
            </w:pPr>
            <w:r w:rsidRPr="004C7410">
              <w:rPr>
                <w:rFonts w:ascii="Calibri" w:hAnsi="Calibri" w:cs="Calibri"/>
                <w:color w:val="000000"/>
              </w:rPr>
              <w:t>Denotes whether an observation represents an initial survey (</w:t>
            </w:r>
            <w:proofErr w:type="spellStart"/>
            <w:r w:rsidRPr="004C7410">
              <w:rPr>
                <w:rFonts w:ascii="Calibri" w:hAnsi="Calibri" w:cs="Calibri"/>
                <w:color w:val="000000"/>
              </w:rPr>
              <w:t>survey_num</w:t>
            </w:r>
            <w:proofErr w:type="spellEnd"/>
            <w:r w:rsidRPr="004C7410">
              <w:rPr>
                <w:rFonts w:ascii="Calibri" w:hAnsi="Calibri" w:cs="Calibri"/>
                <w:color w:val="000000"/>
              </w:rPr>
              <w:t xml:space="preserve"> = 1) or a repeat survey (</w:t>
            </w:r>
            <w:proofErr w:type="spellStart"/>
            <w:r w:rsidRPr="004C7410">
              <w:rPr>
                <w:rFonts w:ascii="Calibri" w:hAnsi="Calibri" w:cs="Calibri"/>
                <w:color w:val="000000"/>
              </w:rPr>
              <w:t>survey_num</w:t>
            </w:r>
            <w:proofErr w:type="spellEnd"/>
            <w:r w:rsidRPr="004C7410">
              <w:rPr>
                <w:rFonts w:ascii="Calibri" w:hAnsi="Calibri" w:cs="Calibri"/>
                <w:color w:val="000000"/>
              </w:rPr>
              <w:t xml:space="preserve"> &gt; 1)</w:t>
            </w:r>
          </w:p>
        </w:tc>
        <w:tc>
          <w:tcPr>
            <w:tcW w:w="4675" w:type="dxa"/>
            <w:tcBorders>
              <w:top w:val="single" w:sz="4" w:space="0" w:color="auto"/>
              <w:left w:val="single" w:sz="4" w:space="0" w:color="auto"/>
              <w:bottom w:val="single" w:sz="4" w:space="0" w:color="auto"/>
              <w:right w:val="single" w:sz="4" w:space="0" w:color="auto"/>
            </w:tcBorders>
            <w:vAlign w:val="center"/>
          </w:tcPr>
          <w:p w14:paraId="68F3707A" w14:textId="77777777" w:rsidR="00D54465" w:rsidRPr="004C7410" w:rsidRDefault="00D54465" w:rsidP="00191792">
            <w:pPr>
              <w:rPr>
                <w:rFonts w:ascii="Calibri" w:hAnsi="Calibri" w:cs="Calibri"/>
                <w:color w:val="000000"/>
              </w:rPr>
            </w:pPr>
          </w:p>
        </w:tc>
      </w:tr>
      <w:tr w:rsidR="00D54465" w:rsidRPr="004C7410" w14:paraId="70754BAB"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471E6B19" w14:textId="77777777" w:rsidR="00D54465" w:rsidRPr="004C7410" w:rsidRDefault="00D54465" w:rsidP="005E50AB">
            <w:pPr>
              <w:rPr>
                <w:bCs/>
                <w:color w:val="FF00FF"/>
              </w:rPr>
            </w:pPr>
            <w:r w:rsidRPr="004C7410">
              <w:rPr>
                <w:bCs/>
                <w:color w:val="FF00FF"/>
              </w:rPr>
              <w:t>descriptive location</w:t>
            </w:r>
          </w:p>
        </w:tc>
        <w:tc>
          <w:tcPr>
            <w:tcW w:w="1890" w:type="dxa"/>
            <w:tcBorders>
              <w:top w:val="single" w:sz="4" w:space="0" w:color="auto"/>
              <w:left w:val="single" w:sz="4" w:space="0" w:color="auto"/>
              <w:bottom w:val="single" w:sz="4" w:space="0" w:color="auto"/>
              <w:right w:val="single" w:sz="4" w:space="0" w:color="auto"/>
            </w:tcBorders>
          </w:tcPr>
          <w:p w14:paraId="74FF7DEA" w14:textId="77777777" w:rsidR="00D54465" w:rsidRPr="004C7410" w:rsidRDefault="00D54465" w:rsidP="005E50AB">
            <w:pPr>
              <w:rPr>
                <w:rFonts w:ascii="Calibri" w:hAnsi="Calibri" w:cs="Calibri"/>
                <w:color w:val="000000"/>
              </w:rPr>
            </w:pPr>
            <w:proofErr w:type="spellStart"/>
            <w:r w:rsidRPr="004C7410">
              <w:rPr>
                <w:rFonts w:ascii="Calibri" w:hAnsi="Calibri" w:cs="Calibri"/>
                <w:color w:val="000000"/>
              </w:rPr>
              <w:t>loc_descriptive</w:t>
            </w:r>
            <w:proofErr w:type="spellEnd"/>
          </w:p>
        </w:tc>
        <w:tc>
          <w:tcPr>
            <w:tcW w:w="990" w:type="dxa"/>
            <w:tcBorders>
              <w:top w:val="single" w:sz="4" w:space="0" w:color="auto"/>
              <w:left w:val="single" w:sz="4" w:space="0" w:color="auto"/>
              <w:bottom w:val="single" w:sz="4" w:space="0" w:color="auto"/>
              <w:right w:val="single" w:sz="4" w:space="0" w:color="auto"/>
            </w:tcBorders>
          </w:tcPr>
          <w:p w14:paraId="088E6010" w14:textId="77777777" w:rsidR="00D54465" w:rsidRPr="004C7410" w:rsidRDefault="00D54465" w:rsidP="005E50AB"/>
        </w:tc>
        <w:tc>
          <w:tcPr>
            <w:tcW w:w="4675" w:type="dxa"/>
            <w:tcBorders>
              <w:top w:val="single" w:sz="4" w:space="0" w:color="auto"/>
              <w:left w:val="single" w:sz="4" w:space="0" w:color="auto"/>
              <w:bottom w:val="single" w:sz="4" w:space="0" w:color="auto"/>
              <w:right w:val="single" w:sz="4" w:space="0" w:color="auto"/>
            </w:tcBorders>
          </w:tcPr>
          <w:p w14:paraId="59080893" w14:textId="77777777" w:rsidR="00D54465" w:rsidRPr="004C7410" w:rsidRDefault="00D54465" w:rsidP="005E50AB">
            <w:r w:rsidRPr="004C7410">
              <w:t>Location relative to noticeable landmarks and position in channel (e.g., left or right bank)</w:t>
            </w:r>
          </w:p>
        </w:tc>
        <w:tc>
          <w:tcPr>
            <w:tcW w:w="4675" w:type="dxa"/>
            <w:tcBorders>
              <w:top w:val="single" w:sz="4" w:space="0" w:color="auto"/>
              <w:left w:val="single" w:sz="4" w:space="0" w:color="auto"/>
              <w:bottom w:val="single" w:sz="4" w:space="0" w:color="auto"/>
              <w:right w:val="single" w:sz="4" w:space="0" w:color="auto"/>
            </w:tcBorders>
            <w:vAlign w:val="center"/>
          </w:tcPr>
          <w:p w14:paraId="243DC32D" w14:textId="77777777" w:rsidR="00D54465" w:rsidRPr="004C7410" w:rsidRDefault="00D54465" w:rsidP="00191792"/>
        </w:tc>
      </w:tr>
      <w:tr w:rsidR="00D54465" w:rsidRPr="004C7410" w14:paraId="31261AB9"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5EE4D369" w14:textId="77777777" w:rsidR="00D54465" w:rsidRPr="004C7410" w:rsidRDefault="00D54465" w:rsidP="005E50AB">
            <w:pPr>
              <w:rPr>
                <w:bCs/>
                <w:color w:val="FF00FF"/>
              </w:rPr>
            </w:pPr>
            <w:r w:rsidRPr="004C7410">
              <w:rPr>
                <w:bCs/>
                <w:color w:val="FF00FF"/>
              </w:rPr>
              <w:t>latitude</w:t>
            </w:r>
          </w:p>
        </w:tc>
        <w:tc>
          <w:tcPr>
            <w:tcW w:w="1890" w:type="dxa"/>
            <w:tcBorders>
              <w:top w:val="single" w:sz="4" w:space="0" w:color="auto"/>
              <w:left w:val="single" w:sz="4" w:space="0" w:color="auto"/>
              <w:bottom w:val="single" w:sz="4" w:space="0" w:color="auto"/>
              <w:right w:val="single" w:sz="4" w:space="0" w:color="auto"/>
            </w:tcBorders>
          </w:tcPr>
          <w:p w14:paraId="0B8F3964" w14:textId="77777777" w:rsidR="00D54465" w:rsidRPr="004C7410" w:rsidRDefault="00D54465" w:rsidP="005E50AB">
            <w:proofErr w:type="spellStart"/>
            <w:r w:rsidRPr="004C7410">
              <w:t>lat</w:t>
            </w:r>
            <w:proofErr w:type="spellEnd"/>
          </w:p>
        </w:tc>
        <w:tc>
          <w:tcPr>
            <w:tcW w:w="990" w:type="dxa"/>
            <w:tcBorders>
              <w:top w:val="single" w:sz="4" w:space="0" w:color="auto"/>
              <w:left w:val="single" w:sz="4" w:space="0" w:color="auto"/>
              <w:bottom w:val="single" w:sz="4" w:space="0" w:color="auto"/>
              <w:right w:val="single" w:sz="4" w:space="0" w:color="auto"/>
            </w:tcBorders>
          </w:tcPr>
          <w:p w14:paraId="1099676E" w14:textId="77777777" w:rsidR="00D54465" w:rsidRPr="004C7410" w:rsidRDefault="00D54465" w:rsidP="005E50AB"/>
        </w:tc>
        <w:tc>
          <w:tcPr>
            <w:tcW w:w="4675" w:type="dxa"/>
            <w:tcBorders>
              <w:top w:val="single" w:sz="4" w:space="0" w:color="auto"/>
              <w:left w:val="single" w:sz="4" w:space="0" w:color="auto"/>
              <w:bottom w:val="single" w:sz="4" w:space="0" w:color="auto"/>
              <w:right w:val="single" w:sz="4" w:space="0" w:color="auto"/>
            </w:tcBorders>
            <w:hideMark/>
          </w:tcPr>
          <w:p w14:paraId="68219FFB" w14:textId="77777777" w:rsidR="00D54465" w:rsidRPr="004C7410" w:rsidRDefault="00D54465" w:rsidP="005E50AB">
            <w:r w:rsidRPr="004C7410">
              <w:t>Decimal degrees, e.g., “+/- ###.#########”</w:t>
            </w:r>
          </w:p>
        </w:tc>
        <w:tc>
          <w:tcPr>
            <w:tcW w:w="4675" w:type="dxa"/>
            <w:tcBorders>
              <w:top w:val="single" w:sz="4" w:space="0" w:color="auto"/>
              <w:left w:val="single" w:sz="4" w:space="0" w:color="auto"/>
              <w:bottom w:val="single" w:sz="4" w:space="0" w:color="auto"/>
              <w:right w:val="single" w:sz="4" w:space="0" w:color="auto"/>
            </w:tcBorders>
            <w:vAlign w:val="center"/>
          </w:tcPr>
          <w:p w14:paraId="6D0342C9" w14:textId="77777777" w:rsidR="00D54465" w:rsidRPr="004C7410" w:rsidRDefault="00D54465" w:rsidP="00191792"/>
        </w:tc>
      </w:tr>
      <w:tr w:rsidR="00D54465" w:rsidRPr="004C7410" w14:paraId="59AC14CE"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1DDBEEDF" w14:textId="77777777" w:rsidR="00D54465" w:rsidRPr="004C7410" w:rsidRDefault="00D54465" w:rsidP="005E50AB">
            <w:pPr>
              <w:rPr>
                <w:bCs/>
                <w:color w:val="FF00FF"/>
              </w:rPr>
            </w:pPr>
            <w:r w:rsidRPr="004C7410">
              <w:rPr>
                <w:bCs/>
                <w:color w:val="FF00FF"/>
              </w:rPr>
              <w:t>longitude</w:t>
            </w:r>
          </w:p>
        </w:tc>
        <w:tc>
          <w:tcPr>
            <w:tcW w:w="1890" w:type="dxa"/>
            <w:tcBorders>
              <w:top w:val="single" w:sz="4" w:space="0" w:color="auto"/>
              <w:left w:val="single" w:sz="4" w:space="0" w:color="auto"/>
              <w:bottom w:val="single" w:sz="4" w:space="0" w:color="auto"/>
              <w:right w:val="single" w:sz="4" w:space="0" w:color="auto"/>
            </w:tcBorders>
          </w:tcPr>
          <w:p w14:paraId="19679550" w14:textId="77777777" w:rsidR="00D54465" w:rsidRPr="004C7410" w:rsidRDefault="00D54465" w:rsidP="005E50AB">
            <w:proofErr w:type="spellStart"/>
            <w:r w:rsidRPr="004C7410">
              <w:t>lon</w:t>
            </w:r>
            <w:proofErr w:type="spellEnd"/>
          </w:p>
        </w:tc>
        <w:tc>
          <w:tcPr>
            <w:tcW w:w="990" w:type="dxa"/>
            <w:tcBorders>
              <w:top w:val="single" w:sz="4" w:space="0" w:color="auto"/>
              <w:left w:val="single" w:sz="4" w:space="0" w:color="auto"/>
              <w:bottom w:val="single" w:sz="4" w:space="0" w:color="auto"/>
              <w:right w:val="single" w:sz="4" w:space="0" w:color="auto"/>
            </w:tcBorders>
          </w:tcPr>
          <w:p w14:paraId="35D7EFA9" w14:textId="77777777" w:rsidR="00D54465" w:rsidRPr="004C7410" w:rsidRDefault="00D54465" w:rsidP="005E50AB"/>
        </w:tc>
        <w:tc>
          <w:tcPr>
            <w:tcW w:w="4675" w:type="dxa"/>
            <w:tcBorders>
              <w:top w:val="single" w:sz="4" w:space="0" w:color="auto"/>
              <w:left w:val="single" w:sz="4" w:space="0" w:color="auto"/>
              <w:bottom w:val="single" w:sz="4" w:space="0" w:color="auto"/>
              <w:right w:val="single" w:sz="4" w:space="0" w:color="auto"/>
            </w:tcBorders>
            <w:hideMark/>
          </w:tcPr>
          <w:p w14:paraId="3811F8D1" w14:textId="77777777" w:rsidR="00D54465" w:rsidRPr="004C7410" w:rsidRDefault="00D54465" w:rsidP="005E50AB">
            <w:r w:rsidRPr="004C7410">
              <w:t>Decimal degrees, e.g., “+/- ###.#########”</w:t>
            </w:r>
          </w:p>
        </w:tc>
        <w:tc>
          <w:tcPr>
            <w:tcW w:w="4675" w:type="dxa"/>
            <w:tcBorders>
              <w:top w:val="single" w:sz="4" w:space="0" w:color="auto"/>
              <w:left w:val="single" w:sz="4" w:space="0" w:color="auto"/>
              <w:bottom w:val="single" w:sz="4" w:space="0" w:color="auto"/>
              <w:right w:val="single" w:sz="4" w:space="0" w:color="auto"/>
            </w:tcBorders>
            <w:vAlign w:val="center"/>
          </w:tcPr>
          <w:p w14:paraId="24833C46" w14:textId="77777777" w:rsidR="00D54465" w:rsidRPr="004C7410" w:rsidRDefault="00D54465" w:rsidP="00191792"/>
        </w:tc>
      </w:tr>
      <w:tr w:rsidR="00D54465" w:rsidRPr="004C7410" w14:paraId="4E7EAC2C"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39A718B3" w14:textId="77777777" w:rsidR="00D54465" w:rsidRPr="004C7410" w:rsidRDefault="00D54465" w:rsidP="005E50AB">
            <w:pPr>
              <w:rPr>
                <w:rFonts w:cstheme="minorHAnsi"/>
                <w:bCs/>
                <w:color w:val="0070C0"/>
              </w:rPr>
            </w:pPr>
            <w:r w:rsidRPr="004C7410">
              <w:rPr>
                <w:rFonts w:cstheme="minorHAnsi"/>
                <w:bCs/>
                <w:color w:val="0070C0"/>
              </w:rPr>
              <w:t>perennial?</w:t>
            </w:r>
          </w:p>
        </w:tc>
        <w:tc>
          <w:tcPr>
            <w:tcW w:w="1890" w:type="dxa"/>
            <w:tcBorders>
              <w:top w:val="single" w:sz="4" w:space="0" w:color="auto"/>
              <w:left w:val="single" w:sz="4" w:space="0" w:color="auto"/>
              <w:bottom w:val="single" w:sz="4" w:space="0" w:color="auto"/>
              <w:right w:val="single" w:sz="4" w:space="0" w:color="auto"/>
            </w:tcBorders>
          </w:tcPr>
          <w:p w14:paraId="5A6B5A26" w14:textId="77777777" w:rsidR="00D54465" w:rsidRPr="004C7410" w:rsidRDefault="00D54465" w:rsidP="005E50AB">
            <w:pPr>
              <w:rPr>
                <w:rFonts w:cstheme="minorHAnsi"/>
              </w:rPr>
            </w:pPr>
            <w:r w:rsidRPr="004C7410">
              <w:rPr>
                <w:rFonts w:cstheme="minorHAnsi"/>
              </w:rPr>
              <w:t>perennial</w:t>
            </w:r>
          </w:p>
        </w:tc>
        <w:tc>
          <w:tcPr>
            <w:tcW w:w="990" w:type="dxa"/>
            <w:tcBorders>
              <w:top w:val="single" w:sz="4" w:space="0" w:color="auto"/>
              <w:left w:val="single" w:sz="4" w:space="0" w:color="auto"/>
              <w:bottom w:val="single" w:sz="4" w:space="0" w:color="auto"/>
              <w:right w:val="single" w:sz="4" w:space="0" w:color="auto"/>
            </w:tcBorders>
            <w:hideMark/>
          </w:tcPr>
          <w:p w14:paraId="636E5CD0" w14:textId="77777777" w:rsidR="00D54465" w:rsidRPr="004C7410" w:rsidRDefault="00D54465" w:rsidP="005E50AB">
            <w:pPr>
              <w:rPr>
                <w:rFonts w:cstheme="minorHAnsi"/>
              </w:rPr>
            </w:pPr>
            <w:r w:rsidRPr="004C7410">
              <w:rPr>
                <w:rFonts w:cstheme="minorHAnsi"/>
              </w:rPr>
              <w:t>y, n</w:t>
            </w:r>
          </w:p>
        </w:tc>
        <w:tc>
          <w:tcPr>
            <w:tcW w:w="4675" w:type="dxa"/>
            <w:tcBorders>
              <w:top w:val="single" w:sz="4" w:space="0" w:color="auto"/>
              <w:left w:val="single" w:sz="4" w:space="0" w:color="auto"/>
              <w:bottom w:val="single" w:sz="4" w:space="0" w:color="auto"/>
              <w:right w:val="single" w:sz="4" w:space="0" w:color="auto"/>
            </w:tcBorders>
            <w:hideMark/>
          </w:tcPr>
          <w:p w14:paraId="1BEB7ED1" w14:textId="77777777" w:rsidR="00D54465" w:rsidRPr="004C7410" w:rsidRDefault="00D54465" w:rsidP="005E50AB">
            <w:pPr>
              <w:rPr>
                <w:rFonts w:ascii="Calibri" w:hAnsi="Calibri" w:cs="Calibri"/>
                <w:color w:val="000000"/>
              </w:rPr>
            </w:pPr>
            <w:proofErr w:type="gramStart"/>
            <w:r w:rsidRPr="004C7410">
              <w:rPr>
                <w:rFonts w:ascii="Calibri" w:hAnsi="Calibri" w:cstheme="minorHAnsi"/>
                <w:color w:val="000000"/>
              </w:rPr>
              <w:t>yes</w:t>
            </w:r>
            <w:proofErr w:type="gramEnd"/>
            <w:r w:rsidRPr="004C7410">
              <w:rPr>
                <w:rFonts w:ascii="Calibri" w:hAnsi="Calibri" w:cstheme="minorHAnsi"/>
                <w:color w:val="000000"/>
              </w:rPr>
              <w:t xml:space="preserve"> if the stream experiences surface flow year-round on an average water year</w:t>
            </w:r>
          </w:p>
        </w:tc>
        <w:tc>
          <w:tcPr>
            <w:tcW w:w="4675" w:type="dxa"/>
            <w:tcBorders>
              <w:top w:val="single" w:sz="4" w:space="0" w:color="auto"/>
              <w:left w:val="single" w:sz="4" w:space="0" w:color="auto"/>
              <w:bottom w:val="single" w:sz="4" w:space="0" w:color="auto"/>
              <w:right w:val="single" w:sz="4" w:space="0" w:color="auto"/>
            </w:tcBorders>
            <w:vAlign w:val="center"/>
          </w:tcPr>
          <w:p w14:paraId="346CD6F1" w14:textId="77777777" w:rsidR="00D54465" w:rsidRPr="004C7410" w:rsidRDefault="00D54465" w:rsidP="00191792">
            <w:pPr>
              <w:rPr>
                <w:rFonts w:ascii="Calibri" w:hAnsi="Calibri" w:cstheme="minorHAnsi"/>
                <w:color w:val="000000"/>
              </w:rPr>
            </w:pPr>
            <w:r w:rsidRPr="004C7410">
              <w:rPr>
                <w:rFonts w:ascii="Calibri" w:hAnsi="Calibri" w:cstheme="minorHAnsi"/>
                <w:color w:val="000000"/>
              </w:rPr>
              <w:t xml:space="preserve">Indicates whether live woody vegetation may establish in channel and potentially stabilize wood jams </w:t>
            </w:r>
            <w:r w:rsidRPr="004C7410">
              <w:fldChar w:fldCharType="begin" w:fldLock="1"/>
            </w:r>
            <w:r w:rsidRPr="004C7410">
              <w:instrText>ADDIN CSL_CITATION {"citationItems":[{"id":"ITEM-1","itemData":{"DOI":"10.1016/j.jaridenv.2013.10.017","ISBN":"0140-1963","ISSN":"01401963","abstract":"Woody debris jams (WDJs) and the rate of wood fall into the channel were observed along an ~18km study reach of ephemeral Fowlers Creek. Fifty-five WDJs were recorded, including nearly 700 key large wood pieces. WDJs obstructed on average 31% of the channel width (maximum 98%), and had a mean projected area facing the flow of 9.7m2. Abundance of WDJs is low in comparison with some humid forested streams, but channel obstruction is significant, owing to the many in-channel trees capable of supporting tall, stable jams of up to 3.3m height, and the lack of wood decay in the arid conditions. The rate of wood recruitment to the channel was judged by tallying the debris that has accumulated through 6 months of no-flow conditions. Coarse wood recruitment averaged 1 piece/100m/a or ~0.03m3/100m/a. Again, this is low in comparison with forested catchments, but is comparable to the bottom end of the range of published recruitment rates. WDJ occurrence and hydro-geomorphic significance vary with position along Fowlers Creek, which exhibits channel contraction arising from transmission loss. The link between woody debris and channel form and process in this ephemeral stream is discussed. © 2013 Elsevier Ltd.","author":[{"dropping-particle":"","family":"Dunkerley","given":"David","non-dropping-particle":"","parse-names":false,"suffix":""}],"container-title":"Journal of Arid Environments","id":"ITEM-1","issued":{"date-parts":[["2014"]]},"page":"40-49","publisher":"Elsevier Ltd","title":"Nature and hydro-geomorphic roles of trees and woody debris in a dryland ephemeral stream: Fowlers Creek, arid western New South Wales, Australia","type":"article-journal","volume":"102"},"uris":["http://www.mendeley.com/documents/?uuid=23873214-e64f-4ed3-b204-c3f6d200f7f1"]},{"id":"ITEM-2","itemData":{"DOI":"10.1641/B581110","ISBN":"0006-3568","ISSN":"0006-3568","abstract":"Although the geomorphic and ecological importance of large wood in streams and rivers is well recognized,most studies consider only dead wood in channels.However, we have observed that living parts of trees are often found within active channels and that this “livewood” shares functions with both instreamdeadwood and live riparian trees,while also providing some functions unique to livingwoodymaterialwithin a channel.We describe the mechanisms that produce livewood and illustrate its characteristics and influences on riparian and stream ecosystems with examples from Europe, North America, and New Zealand.We hypothesize that, compared with dead wood in channels, livewood (a) persists longer because of greater stability and greater resistance to decay, and (b) imparts greater structural complexity (with associated hydraulic roughness and retentiveness). The phenomenon of livewood implies that a broader range of tree species and sizes than previously considered may contribute functionally important wood to channels.We encourage the study of livewood in a range of forest-stream ecosystems to test our hypotheses and further our understanding of how forests interact with rivers and streams.","author":[{"dropping-particle":"","family":"Opperman","given":"Jeffrey J.","non-dropping-particle":"","parse-names":false,"suffix":""},{"dropping-particle":"","family":"Meleason","given":"Mark","non-dropping-particle":"","parse-names":false,"suffix":""},{"dropping-particle":"","family":"Francis","given":"Robert a.","non-dropping-particle":"","parse-names":false,"suffix":""},{"dropping-particle":"","family":"Davies-Colley","given":"Rob","non-dropping-particle":"","parse-names":false,"suffix":""}],"container-title":"BioScience","id":"ITEM-2","issue":"11","issued":{"date-parts":[["2008"]]},"page":"1069","title":"“Livewood”: Geomorphic and Ecological Functions of Living Trees in River Channels","type":"article-journal","volume":"58"},"uris":["http://www.mendeley.com/documents/?uuid=56e9f23f-8294-47c8-8700-5e4de70baa3f"]},{"id":"ITEM-3","itemData":{"DOI":"10.1002/esp","ISBN":"0197-9337","ISSN":"1096-9837","PMID":"264460600012","author":[{"dropping-particle":"","family":"Opperman","given":"J J","non-dropping-particle":"","parse-names":false,"suffix":""},{"dropping-particle":"","family":"Merenlender","given":"A M","non-dropping-particle":"","parse-names":false,"suffix":""}],"container-title":"Earth Surface Processes and Landforms","id":"ITEM-3","issued":{"date-parts":[["2007"]]},"page":"1229-1238","title":"Living trees provide stable large wood in streams","type":"article-journal","volume":"32"},"uris":["http://www.mendeley.com/documents/?uuid=3d7e0bb5-6708-45bf-876e-586be7fbc6fb"]}],"mendeley":{"formattedCitation":"(Dunkerley, 2014; J J Opperman &amp; Merenlender, 2007; Jeffrey J. Opperman et al., 2008)","manualFormatting":"(Dunkerley, 2014; Opperman &amp; Merenlender, 2007; Opperman et al., 2008)","plainTextFormattedCitation":"(Dunkerley, 2014; J J Opperman &amp; Merenlender, 2007; Jeffrey J. Opperman et al., 2008)","previouslyFormattedCitation":"(Dunkerley, 2014; J J Opperman &amp; Merenlender, 2007; Jeffrey J. Opperman et al., 2008)"},"properties":{"noteIndex":0},"schema":"https://github.com/citation-style-language/schema/raw/master/csl-citation.json"}</w:instrText>
            </w:r>
            <w:r w:rsidRPr="004C7410">
              <w:fldChar w:fldCharType="separate"/>
            </w:r>
            <w:r w:rsidRPr="004C7410">
              <w:rPr>
                <w:noProof/>
              </w:rPr>
              <w:t>(Dunkerley, 2014; Opperman &amp; Merenlender, 2007; Opperman et al., 2008)</w:t>
            </w:r>
            <w:r w:rsidRPr="004C7410">
              <w:fldChar w:fldCharType="end"/>
            </w:r>
          </w:p>
        </w:tc>
      </w:tr>
      <w:tr w:rsidR="00D54465" w:rsidRPr="004C7410" w14:paraId="1A2E0C2A"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6C9FFEE8" w14:textId="77777777" w:rsidR="00D54465" w:rsidRPr="004C7410" w:rsidRDefault="00D54465" w:rsidP="005E50AB">
            <w:pPr>
              <w:rPr>
                <w:rFonts w:cstheme="minorHAnsi"/>
                <w:bCs/>
                <w:color w:val="0070C0"/>
              </w:rPr>
            </w:pPr>
            <w:r w:rsidRPr="004C7410">
              <w:rPr>
                <w:rFonts w:cstheme="minorHAnsi"/>
                <w:bCs/>
                <w:color w:val="0070C0"/>
              </w:rPr>
              <w:t>flashy?</w:t>
            </w:r>
          </w:p>
        </w:tc>
        <w:tc>
          <w:tcPr>
            <w:tcW w:w="1890" w:type="dxa"/>
            <w:tcBorders>
              <w:top w:val="single" w:sz="4" w:space="0" w:color="auto"/>
              <w:left w:val="single" w:sz="4" w:space="0" w:color="auto"/>
              <w:bottom w:val="single" w:sz="4" w:space="0" w:color="auto"/>
              <w:right w:val="single" w:sz="4" w:space="0" w:color="auto"/>
            </w:tcBorders>
          </w:tcPr>
          <w:p w14:paraId="5102EBD6" w14:textId="77777777" w:rsidR="00D54465" w:rsidRPr="004C7410" w:rsidRDefault="00D54465" w:rsidP="005E50AB">
            <w:pPr>
              <w:rPr>
                <w:rFonts w:cstheme="minorHAnsi"/>
              </w:rPr>
            </w:pPr>
            <w:r w:rsidRPr="004C7410">
              <w:rPr>
                <w:rFonts w:cstheme="minorHAnsi"/>
              </w:rPr>
              <w:t>flashy</w:t>
            </w:r>
          </w:p>
        </w:tc>
        <w:tc>
          <w:tcPr>
            <w:tcW w:w="990" w:type="dxa"/>
            <w:tcBorders>
              <w:top w:val="single" w:sz="4" w:space="0" w:color="auto"/>
              <w:left w:val="single" w:sz="4" w:space="0" w:color="auto"/>
              <w:bottom w:val="single" w:sz="4" w:space="0" w:color="auto"/>
              <w:right w:val="single" w:sz="4" w:space="0" w:color="auto"/>
            </w:tcBorders>
            <w:hideMark/>
          </w:tcPr>
          <w:p w14:paraId="781E5DC2" w14:textId="77777777" w:rsidR="00D54465" w:rsidRPr="004C7410" w:rsidRDefault="00D54465" w:rsidP="005E50AB">
            <w:pPr>
              <w:rPr>
                <w:rFonts w:cstheme="minorHAnsi"/>
              </w:rPr>
            </w:pPr>
            <w:r w:rsidRPr="004C7410">
              <w:rPr>
                <w:rFonts w:cstheme="minorHAnsi"/>
              </w:rPr>
              <w:t>y, n</w:t>
            </w:r>
          </w:p>
        </w:tc>
        <w:tc>
          <w:tcPr>
            <w:tcW w:w="4675" w:type="dxa"/>
            <w:tcBorders>
              <w:top w:val="single" w:sz="4" w:space="0" w:color="auto"/>
              <w:left w:val="single" w:sz="4" w:space="0" w:color="auto"/>
              <w:bottom w:val="single" w:sz="4" w:space="0" w:color="auto"/>
              <w:right w:val="single" w:sz="4" w:space="0" w:color="auto"/>
            </w:tcBorders>
            <w:hideMark/>
          </w:tcPr>
          <w:p w14:paraId="3FFFE6B2" w14:textId="77777777" w:rsidR="00D54465" w:rsidRPr="004C7410" w:rsidRDefault="00D54465" w:rsidP="005E50AB">
            <w:pPr>
              <w:rPr>
                <w:rFonts w:ascii="Calibri" w:hAnsi="Calibri" w:cs="Calibri"/>
                <w:color w:val="222222"/>
              </w:rPr>
            </w:pPr>
            <w:proofErr w:type="gramStart"/>
            <w:r w:rsidRPr="004C7410">
              <w:rPr>
                <w:rFonts w:ascii="Calibri" w:hAnsi="Calibri" w:cstheme="minorHAnsi"/>
                <w:color w:val="222222"/>
              </w:rPr>
              <w:t>yes</w:t>
            </w:r>
            <w:proofErr w:type="gramEnd"/>
            <w:r w:rsidRPr="004C7410">
              <w:rPr>
                <w:rFonts w:ascii="Calibri" w:hAnsi="Calibri" w:cstheme="minorHAnsi"/>
                <w:color w:val="222222"/>
              </w:rPr>
              <w:t xml:space="preserve"> if high flow events involve rapid increases in flow stage (e.g., low flow to bankfull in less than 24 hours)</w:t>
            </w:r>
          </w:p>
        </w:tc>
        <w:tc>
          <w:tcPr>
            <w:tcW w:w="4675" w:type="dxa"/>
            <w:tcBorders>
              <w:top w:val="single" w:sz="4" w:space="0" w:color="auto"/>
              <w:left w:val="single" w:sz="4" w:space="0" w:color="auto"/>
              <w:bottom w:val="single" w:sz="4" w:space="0" w:color="auto"/>
              <w:right w:val="single" w:sz="4" w:space="0" w:color="auto"/>
            </w:tcBorders>
            <w:vAlign w:val="center"/>
          </w:tcPr>
          <w:p w14:paraId="57420105" w14:textId="77777777" w:rsidR="00D54465" w:rsidRPr="004C7410" w:rsidRDefault="00D54465" w:rsidP="00191792">
            <w:pPr>
              <w:rPr>
                <w:rFonts w:ascii="Calibri" w:hAnsi="Calibri" w:cstheme="minorHAnsi"/>
                <w:color w:val="222222"/>
              </w:rPr>
            </w:pPr>
            <w:r w:rsidRPr="004C7410">
              <w:rPr>
                <w:rFonts w:ascii="Calibri" w:hAnsi="Calibri" w:cstheme="minorHAnsi"/>
                <w:color w:val="222222"/>
              </w:rPr>
              <w:t xml:space="preserve">Wood jam structure may behave differently under rapid versus slowly rising high flows, altering porosity and resulting drag force on jam. </w:t>
            </w:r>
            <w:r w:rsidRPr="004C7410">
              <w:t xml:space="preserve">Flashy streams may be more likely to mobilize </w:t>
            </w:r>
            <w:r w:rsidRPr="004C7410">
              <w:lastRenderedPageBreak/>
              <w:t xml:space="preserve">wood than non-flashy streams </w:t>
            </w:r>
            <w:r w:rsidRPr="004C7410">
              <w:fldChar w:fldCharType="begin" w:fldLock="1"/>
            </w:r>
            <w:r w:rsidRPr="004C7410">
              <w:instrText>ADDIN CSL_CITATION {"citationItems":[{"id":"ITEM-1","itemData":{"ISBN":"1096-9837","ISSN":"01979337","PMID":"15790","abstract":"The influence of woody debris on channel morphology and aquatic habitat has been recognized for many years. Unlike sediment, however, little is known about how wood moves through river systems. We examined some dynamics of wood transport in streams through a series of flume experiments and observed three distinct wood transport regimes: uncongested, congested and semi-congested. During uncongested transport, logs move without piece-to-piece interactions and generally occupy less than 10 per cent of the channel area. In congested transport, the logs move together as a single mass and occupy more than 33 per cent of the channel area. Semi-congested transport is intermediate between these two transport regimes. The type of transport regime was most sensitive to changes in a dimensionless input rate, defined as the ratio of log volume delivered to the channel per second (Qlog) to discharge (Qw); this ratio varied between 0015 for uncongested transport and 020 for congested transport. Depositional fabrics within stable log jams varied by transport type, with deposits derived from uncongested and semi-congested transport regimes having a higher proportion of pieces oriented normal to flow than those derived from congested transport. Because wood input rates are higher and channel dimensions decrease relative to piece size in low-order channels, we expect congested transport will be more common in low-order streams while uncongested transport will dominate higher-order streams. Single flotation models can be used to model the stability of individual pieces, especially in higher-order channels, but are insufficient for modelling the more complex interactions that occur in lower-order streams.","author":[{"dropping-particle":"","family":"Braudrick","given":"Christian A","non-dropping-particle":"","parse-names":false,"suffix":""},{"dropping-particle":"","family":"Grant","given":"Gordon E","non-dropping-particle":"","parse-names":false,"suffix":""},{"dropping-particle":"","family":"Ishikawa","given":"Yoshiharu","non-dropping-particle":"","parse-names":false,"suffix":""},{"dropping-particle":"","family":"Ikeda","given":"Hiroshi","non-dropping-particle":"","parse-names":false,"suffix":""}],"container-title":"Earth Surface Processes and Landforms","id":"ITEM-1","issued":{"date-parts":[["1997"]]},"page":"669-683","title":"Dynamics of Wood Transport in Streams: A Flume Experiment","type":"article-journal","volume":"22"},"uris":["http://www.mendeley.com/documents/?uuid=ba7ce591-5b96-47a0-bbd1-198f2f5f2731"]},{"id":"ITEM-2","itemData":{"DOI":"10.1016/j.geomorph.2016.08.026","ISSN":"0169555X","abstract":"To effectively manage wood in rivers, we need a better understanding of wood mobility within river networks. Here, we review primarily field-based (and some numerical) studies of wood transport. We distinguish small, medium, large, and great rivers based on wood piece dimensions relative to channel and flow dimensions and dominant controls on wood transport. We suggest further identification and designation of wood transport regimes as a useful way to characterize spatial-temporal network heterogeneity and to conceptualize the primary controls on wood mobility in diverse river segments. We draw analogies between wood and bedload transport, including distinguishing Eulerian and Lagrangian approaches, exploring transport capacity, and quantifying thresholds of wood mobility. We identify mobility envelopes for remobilization of wood with relation to increasing peak discharges, stream size, and dimensionless log lengths. Wood transport in natural channels exhibits high spatial and temporal variability, with discontinuities along the channel network at bankfull flow and when log lengths equal channel widths. Although median mobilization rates increase with increasing channel size, maximum mobilization rates are greatest in medium-sized channels. Most wood is transported during relatively infrequent high flows, but flows under bankfull can transport up to 30% of stored wood. We use conceptual models of dynamic equilibrium of wood in storage and of spiralling wood transport paths through drainage networks, as well as a metaphor of traffic on a road, to explore discontinuous wood movement through a river network. The primary limitations to describing wood transport are inappropriate time scales of observation and lack of sufficient data on mobility from diverse rivers. Improving models of wood flux requires better characterization of average step lengths within the lifetime travel path of a piece of wood. We suggest that future studies focus on: (i) continuous or high-frequency monitoring of wood mobility; (ii) monitoring changes in wood storage; (iii) using wood characteristics to fingerprint wood sources; (iv) quantifying volumes of wood buried within river corridors; (v) obtaining existing or new data from unconventional sources, such as citizen science initiatives, and (vi) creating online interactive data platforms to facilitate data synthesis.","author":[{"dropping-particle":"","family":"Kramer","given":"Natalie","non-dropping-particle":"","parse-names":false,"suffix":""},{"dropping-particle":"","family":"Wohl","given":"Ellen","non-dropping-particle":"","parse-names":false,"suffix":""}],"container-title":"Geomorphology","id":"ITEM-2","issued":{"date-parts":[["2016"]]},"page":"74-97","publisher":"Elsevier B.V.","title":"Rules of the road: A qualitative and quantitative synthesis of large wood transport through drainage networks","type":"article-journal","volume":"279"},"uris":["http://www.mendeley.com/documents/?uuid=d19b7bc6-345c-4b56-a714-32e99311c66f"]}],"mendeley":{"formattedCitation":"(Braudrick et al., 1997; Kramer &amp; Wohl, 2016)","plainTextFormattedCitation":"(Braudrick et al., 1997; Kramer &amp; Wohl, 2016)","previouslyFormattedCitation":"(Braudrick et al., 1997; Kramer &amp; Wohl, 2016)"},"properties":{"noteIndex":0},"schema":"https://github.com/citation-style-language/schema/raw/master/csl-citation.json"}</w:instrText>
            </w:r>
            <w:r w:rsidRPr="004C7410">
              <w:fldChar w:fldCharType="separate"/>
            </w:r>
            <w:r w:rsidRPr="004C7410">
              <w:rPr>
                <w:noProof/>
              </w:rPr>
              <w:t>(Braudrick et al., 1997; Kramer &amp; Wohl, 2016)</w:t>
            </w:r>
            <w:r w:rsidRPr="004C7410">
              <w:fldChar w:fldCharType="end"/>
            </w:r>
            <w:r w:rsidRPr="004C7410">
              <w:t>.</w:t>
            </w:r>
          </w:p>
        </w:tc>
      </w:tr>
      <w:tr w:rsidR="00D54465" w:rsidRPr="004C7410" w14:paraId="14440AFC"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73955795" w14:textId="77777777" w:rsidR="00D54465" w:rsidRPr="004C7410" w:rsidRDefault="00D54465" w:rsidP="005E50AB">
            <w:pPr>
              <w:rPr>
                <w:rFonts w:cstheme="minorHAnsi"/>
                <w:bCs/>
                <w:color w:val="0070C0"/>
              </w:rPr>
            </w:pPr>
            <w:r w:rsidRPr="004C7410">
              <w:rPr>
                <w:rFonts w:cstheme="minorHAnsi"/>
                <w:bCs/>
                <w:color w:val="0070C0"/>
              </w:rPr>
              <w:lastRenderedPageBreak/>
              <w:t>sustained peaks?</w:t>
            </w:r>
          </w:p>
        </w:tc>
        <w:tc>
          <w:tcPr>
            <w:tcW w:w="1890" w:type="dxa"/>
            <w:tcBorders>
              <w:top w:val="single" w:sz="4" w:space="0" w:color="auto"/>
              <w:left w:val="single" w:sz="4" w:space="0" w:color="auto"/>
              <w:bottom w:val="single" w:sz="4" w:space="0" w:color="auto"/>
              <w:right w:val="single" w:sz="4" w:space="0" w:color="auto"/>
            </w:tcBorders>
          </w:tcPr>
          <w:p w14:paraId="434DF567" w14:textId="77777777" w:rsidR="00D54465" w:rsidRPr="004C7410" w:rsidRDefault="00D54465" w:rsidP="005E50AB">
            <w:pPr>
              <w:rPr>
                <w:rFonts w:cstheme="minorHAnsi"/>
              </w:rPr>
            </w:pPr>
            <w:proofErr w:type="spellStart"/>
            <w:r w:rsidRPr="004C7410">
              <w:rPr>
                <w:rFonts w:cstheme="minorHAnsi"/>
              </w:rPr>
              <w:t>sustained_peaks</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20CC3714" w14:textId="77777777" w:rsidR="00D54465" w:rsidRPr="004C7410" w:rsidRDefault="00D54465" w:rsidP="005E50AB">
            <w:pPr>
              <w:rPr>
                <w:rFonts w:cstheme="minorHAnsi"/>
              </w:rPr>
            </w:pPr>
            <w:r w:rsidRPr="004C7410">
              <w:rPr>
                <w:rFonts w:cstheme="minorHAnsi"/>
              </w:rPr>
              <w:t>y, n</w:t>
            </w:r>
          </w:p>
        </w:tc>
        <w:tc>
          <w:tcPr>
            <w:tcW w:w="4675" w:type="dxa"/>
            <w:tcBorders>
              <w:top w:val="single" w:sz="4" w:space="0" w:color="auto"/>
              <w:left w:val="single" w:sz="4" w:space="0" w:color="auto"/>
              <w:bottom w:val="single" w:sz="4" w:space="0" w:color="auto"/>
              <w:right w:val="single" w:sz="4" w:space="0" w:color="auto"/>
            </w:tcBorders>
            <w:hideMark/>
          </w:tcPr>
          <w:p w14:paraId="5569B8C1" w14:textId="77777777" w:rsidR="00D54465" w:rsidRPr="004C7410" w:rsidRDefault="00D54465" w:rsidP="005E50AB">
            <w:pPr>
              <w:rPr>
                <w:rFonts w:ascii="Calibri" w:hAnsi="Calibri" w:cs="Calibri"/>
                <w:color w:val="222222"/>
              </w:rPr>
            </w:pPr>
            <w:proofErr w:type="gramStart"/>
            <w:r w:rsidRPr="004C7410">
              <w:rPr>
                <w:rFonts w:ascii="Calibri" w:hAnsi="Calibri" w:cstheme="minorHAnsi"/>
                <w:color w:val="222222"/>
              </w:rPr>
              <w:t>yes</w:t>
            </w:r>
            <w:proofErr w:type="gramEnd"/>
            <w:r w:rsidRPr="004C7410">
              <w:rPr>
                <w:rFonts w:ascii="Calibri" w:hAnsi="Calibri" w:cstheme="minorHAnsi"/>
                <w:color w:val="222222"/>
              </w:rPr>
              <w:t xml:space="preserve"> if high flow events are characterized by durations over approximately one week</w:t>
            </w:r>
          </w:p>
        </w:tc>
        <w:tc>
          <w:tcPr>
            <w:tcW w:w="4675" w:type="dxa"/>
            <w:tcBorders>
              <w:top w:val="single" w:sz="4" w:space="0" w:color="auto"/>
              <w:left w:val="single" w:sz="4" w:space="0" w:color="auto"/>
              <w:bottom w:val="single" w:sz="4" w:space="0" w:color="auto"/>
              <w:right w:val="single" w:sz="4" w:space="0" w:color="auto"/>
            </w:tcBorders>
            <w:vAlign w:val="center"/>
          </w:tcPr>
          <w:p w14:paraId="53E1B0AF" w14:textId="0DD35419" w:rsidR="00D54465" w:rsidRPr="004C7410" w:rsidRDefault="00D54465" w:rsidP="00191792">
            <w:pPr>
              <w:rPr>
                <w:rFonts w:ascii="Calibri" w:hAnsi="Calibri" w:cstheme="minorHAnsi"/>
                <w:color w:val="222222"/>
              </w:rPr>
            </w:pPr>
            <w:r w:rsidRPr="004C7410">
              <w:rPr>
                <w:rFonts w:ascii="Calibri" w:hAnsi="Calibri" w:cstheme="minorHAnsi"/>
                <w:color w:val="222222"/>
              </w:rPr>
              <w:t xml:space="preserve">Sustained high flow may result in greater rearrangement of jam structure, influencing porosity and resulting drag force </w:t>
            </w:r>
            <w:r w:rsidRPr="004C7410">
              <w:fldChar w:fldCharType="begin" w:fldLock="1"/>
            </w:r>
            <w:r w:rsidRPr="004C7410">
              <w:instrText>ADDIN CSL_CITATION {"citationItems":[{"id":"ITEM-1","itemData":{"DOI":"10.1016/j.geomorph.2016.08.026","ISSN":"0169555X","abstract":"To effectively manage wood in rivers, we need a better understanding of wood mobility within river networks. Here, we review primarily field-based (and some numerical) studies of wood transport. We distinguish small, medium, large, and great rivers based on wood piece dimensions relative to channel and flow dimensions and dominant controls on wood transport. We suggest further identification and designation of wood transport regimes as a useful way to characterize spatial-temporal network heterogeneity and to conceptualize the primary controls on wood mobility in diverse river segments. We draw analogies between wood and bedload transport, including distinguishing Eulerian and Lagrangian approaches, exploring transport capacity, and quantifying thresholds of wood mobility. We identify mobility envelopes for remobilization of wood with relation to increasing peak discharges, stream size, and dimensionless log lengths. Wood transport in natural channels exhibits high spatial and temporal variability, with discontinuities along the channel network at bankfull flow and when log lengths equal channel widths. Although median mobilization rates increase with increasing channel size, maximum mobilization rates are greatest in medium-sized channels. Most wood is transported during relatively infrequent high flows, but flows under bankfull can transport up to 30% of stored wood. We use conceptual models of dynamic equilibrium of wood in storage and of spiralling wood transport paths through drainage networks, as well as a metaphor of traffic on a road, to explore discontinuous wood movement through a river network. The primary limitations to describing wood transport are inappropriate time scales of observation and lack of sufficient data on mobility from diverse rivers. Improving models of wood flux requires better characterization of average step lengths within the lifetime travel path of a piece of wood. We suggest that future studies focus on: (i) continuous or high-frequency monitoring of wood mobility; (ii) monitoring changes in wood storage; (iii) using wood characteristics to fingerprint wood sources; (iv) quantifying volumes of wood buried within river corridors; (v) obtaining existing or new data from unconventional sources, such as citizen science initiatives, and (vi) creating online interactive data platforms to facilitate data synthesis.","author":[{"dropping-particle":"","family":"Kramer","given":"Natalie","non-dropping-particle":"","parse-names":false,"suffix":""},{"dropping-particle":"","family":"Wohl","given":"Ellen","non-dropping-particle":"","parse-names":false,"suffix":""}],"container-title":"Geomorphology","id":"ITEM-1","issued":{"date-parts":[["2016"]]},"page":"74-97","publisher":"Elsevier B.V.","title":"Rules of the road: A qualitative and quantitative synthesis of large wood transport through drainage networks","type":"article-journal","volume":"279"},"uris":["http://www.mendeley.com/documents/?uuid=d19b7bc6-345c-4b56-a714-32e99311c66f"]}],"mendeley":{"formattedCitation":"(Kramer &amp; Wohl, 2016)","plainTextFormattedCitation":"(Kramer &amp; Wohl, 2016)","previouslyFormattedCitation":"(Kramer &amp; Wohl, 2016)"},"properties":{"noteIndex":0},"schema":"https://github.com/citation-style-language/schema/raw/master/csl-citation.json"}</w:instrText>
            </w:r>
            <w:r w:rsidRPr="004C7410">
              <w:fldChar w:fldCharType="separate"/>
            </w:r>
            <w:r w:rsidRPr="004C7410">
              <w:rPr>
                <w:noProof/>
              </w:rPr>
              <w:t>(Kramer &amp; Wohl, 2016)</w:t>
            </w:r>
            <w:r w:rsidRPr="004C7410">
              <w:fldChar w:fldCharType="end"/>
            </w:r>
          </w:p>
        </w:tc>
      </w:tr>
      <w:tr w:rsidR="00D54465" w:rsidRPr="004C7410" w14:paraId="367F4D33"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11661E1F" w14:textId="77777777" w:rsidR="00D54465" w:rsidRPr="004C7410" w:rsidRDefault="00D54465" w:rsidP="005E50AB">
            <w:pPr>
              <w:rPr>
                <w:rFonts w:cstheme="minorHAnsi"/>
                <w:bCs/>
                <w:color w:val="0070C0"/>
              </w:rPr>
            </w:pPr>
            <w:r w:rsidRPr="004C7410">
              <w:rPr>
                <w:rFonts w:cstheme="minorHAnsi"/>
                <w:bCs/>
                <w:color w:val="0070C0"/>
              </w:rPr>
              <w:t>ice jams?</w:t>
            </w:r>
          </w:p>
        </w:tc>
        <w:tc>
          <w:tcPr>
            <w:tcW w:w="1890" w:type="dxa"/>
            <w:tcBorders>
              <w:top w:val="single" w:sz="4" w:space="0" w:color="auto"/>
              <w:left w:val="single" w:sz="4" w:space="0" w:color="auto"/>
              <w:bottom w:val="single" w:sz="4" w:space="0" w:color="auto"/>
              <w:right w:val="single" w:sz="4" w:space="0" w:color="auto"/>
            </w:tcBorders>
          </w:tcPr>
          <w:p w14:paraId="159E440F" w14:textId="77777777" w:rsidR="00D54465" w:rsidRPr="004C7410" w:rsidRDefault="00D54465" w:rsidP="005E50AB">
            <w:pPr>
              <w:rPr>
                <w:rFonts w:cstheme="minorHAnsi"/>
              </w:rPr>
            </w:pPr>
            <w:proofErr w:type="spellStart"/>
            <w:r w:rsidRPr="004C7410">
              <w:rPr>
                <w:rFonts w:cstheme="minorHAnsi"/>
              </w:rPr>
              <w:t>ice_jams</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73A5C126" w14:textId="77777777" w:rsidR="00D54465" w:rsidRPr="004C7410" w:rsidRDefault="00D54465" w:rsidP="005E50AB">
            <w:pPr>
              <w:rPr>
                <w:rFonts w:cstheme="minorHAnsi"/>
              </w:rPr>
            </w:pPr>
            <w:r w:rsidRPr="004C7410">
              <w:rPr>
                <w:rFonts w:cstheme="minorHAnsi"/>
              </w:rPr>
              <w:t>y, n</w:t>
            </w:r>
          </w:p>
        </w:tc>
        <w:tc>
          <w:tcPr>
            <w:tcW w:w="4675" w:type="dxa"/>
            <w:tcBorders>
              <w:top w:val="single" w:sz="4" w:space="0" w:color="auto"/>
              <w:left w:val="single" w:sz="4" w:space="0" w:color="auto"/>
              <w:bottom w:val="single" w:sz="4" w:space="0" w:color="auto"/>
              <w:right w:val="single" w:sz="4" w:space="0" w:color="auto"/>
            </w:tcBorders>
            <w:hideMark/>
          </w:tcPr>
          <w:p w14:paraId="38EFB682" w14:textId="77777777" w:rsidR="00D54465" w:rsidRPr="004C7410" w:rsidRDefault="00D54465" w:rsidP="005E50AB">
            <w:pPr>
              <w:rPr>
                <w:rFonts w:ascii="Calibri" w:hAnsi="Calibri" w:cs="Calibri"/>
                <w:color w:val="000000"/>
              </w:rPr>
            </w:pPr>
            <w:proofErr w:type="gramStart"/>
            <w:r w:rsidRPr="004C7410">
              <w:rPr>
                <w:rFonts w:ascii="Calibri" w:hAnsi="Calibri" w:cstheme="minorHAnsi"/>
                <w:color w:val="000000"/>
              </w:rPr>
              <w:t>yes</w:t>
            </w:r>
            <w:proofErr w:type="gramEnd"/>
            <w:r w:rsidRPr="004C7410">
              <w:rPr>
                <w:rFonts w:ascii="Calibri" w:hAnsi="Calibri" w:cstheme="minorHAnsi"/>
                <w:color w:val="000000"/>
              </w:rPr>
              <w:t xml:space="preserve"> if in a typical water year, the river transports enough large ice pieces to cause ice jams in the reach surrounding the wood jam</w:t>
            </w:r>
          </w:p>
        </w:tc>
        <w:tc>
          <w:tcPr>
            <w:tcW w:w="4675" w:type="dxa"/>
            <w:tcBorders>
              <w:top w:val="single" w:sz="4" w:space="0" w:color="auto"/>
              <w:left w:val="single" w:sz="4" w:space="0" w:color="auto"/>
              <w:bottom w:val="single" w:sz="4" w:space="0" w:color="auto"/>
              <w:right w:val="single" w:sz="4" w:space="0" w:color="auto"/>
            </w:tcBorders>
            <w:vAlign w:val="center"/>
          </w:tcPr>
          <w:p w14:paraId="5F395BB0" w14:textId="3B5F1EBB" w:rsidR="00D54465" w:rsidRPr="004C7410" w:rsidRDefault="00D54465" w:rsidP="00191792">
            <w:pPr>
              <w:rPr>
                <w:rFonts w:ascii="Calibri" w:hAnsi="Calibri" w:cstheme="minorHAnsi"/>
                <w:color w:val="000000"/>
              </w:rPr>
            </w:pPr>
            <w:r w:rsidRPr="004C7410">
              <w:t xml:space="preserve">Ice jam breakup floods can be more erosive than non-ice floods </w:t>
            </w:r>
            <w:r w:rsidRPr="004C7410">
              <w:fldChar w:fldCharType="begin" w:fldLock="1"/>
            </w:r>
            <w:r w:rsidRPr="004C7410">
              <w:instrText>ADDIN CSL_CITATION {"citationItems":[{"id":"ITEM-1","itemData":{"DOI":"10.1139/B07-073","ISBN":"0008-4026","ISSN":"0008-4026","author":[{"dropping-particle":"","family":"Rood","given":"Stewart B.","non-dropping-particle":"","parse-names":false,"suffix":""},{"dropping-particle":"","family":"Goater","given":"Lori A.","non-dropping-particle":"","parse-names":false,"suffix":""},{"dropping-particle":"","family":"Mahoney","given":"John M.","non-dropping-particle":"","parse-names":false,"suffix":""},{"dropping-particle":"","family":"Pearce","given":"Cheryl M.","non-dropping-particle":"","parse-names":false,"suffix":""},{"dropping-particle":"","family":"Smith","given":"Derald G.","non-dropping-particle":"","parse-names":false,"suffix":""}],"container-title":"Canadian Journal of Botany","id":"ITEM-1","issue":"11","issued":{"date-parts":[["2007"]]},"page":"1019-1032","title":"Floods, fire, and ice: disturbance ecology of riparian cottonwoods","type":"article-journal","volume":"85"},"uris":["http://www.mendeley.com/documents/?uuid=90c26ee3-9d88-4fc3-8716-2bfa6e262b0b"]},{"id":"ITEM-2","itemData":{"DOI":"10.1080/09540250600667892","author":[{"dropping-particle":"","family":"Prowse","given":"TD","non-dropping-particle":"","parse-names":false,"suffix":""},{"dropping-particle":"","family":"Culp","given":"JM","non-dropping-particle":"","parse-names":false,"suffix":""}],"container-title":"Canadian Journal of Civil Engineering","id":"ITEM-2","issued":{"date-parts":[["2003"]]},"page":"128-144","title":"Ice breakup: a neglected factor in river ecology","type":"article-journal","volume":"30"},"uris":["http://www.mendeley.com/documents/?uuid=d1ccaf9e-1bc4-4e80-b80a-af5f5452aa55"]}],"mendeley":{"formattedCitation":"(Prowse &amp; Culp, 2003; Rood et al., 2007)","plainTextFormattedCitation":"(Prowse &amp; Culp, 2003; Rood et al., 2007)","previouslyFormattedCitation":"(Prowse &amp; Culp, 2003; Rood et al., 2007)"},"properties":{"noteIndex":0},"schema":"https://github.com/citation-style-language/schema/raw/master/csl-citation.json"}</w:instrText>
            </w:r>
            <w:r w:rsidRPr="004C7410">
              <w:fldChar w:fldCharType="separate"/>
            </w:r>
            <w:r w:rsidRPr="004C7410">
              <w:rPr>
                <w:noProof/>
              </w:rPr>
              <w:t>(Prowse &amp; Culp, 2003; Rood et al., 2007)</w:t>
            </w:r>
            <w:r w:rsidRPr="004C7410">
              <w:fldChar w:fldCharType="end"/>
            </w:r>
            <w:r w:rsidRPr="004C7410">
              <w:t xml:space="preserve"> and can transport large amounts of wood, even at low flows </w:t>
            </w:r>
            <w:r w:rsidRPr="004C7410">
              <w:fldChar w:fldCharType="begin" w:fldLock="1"/>
            </w:r>
            <w:r w:rsidRPr="004C7410">
              <w:instrText>ADDIN CSL_CITATION {"citationItems":[{"id":"ITEM-1","itemData":{"DOI":"10.1016/j.geomorph.2016.07.010","ISBN":"0169-555X","ISSN":"0169555X","abstract":"Semi-alluvial rivers of the Gaspé Peninsula, Québec, are prone to produce and transport vast quantities of large wood (LW). The high rate of lateral erosion owing to high energy flows and noncohesive banks is the main process leading to the recruitment of large wood, which in turn initiates complex patterns of wood accumulation and reentrainment within the active channel. The delta of the Saint-Jean River (SJR) has accumulated large annual wood fluxes since 1960 that culminated in a wood raft of &gt; 3-km in length in 2014. To document the kinetics of large wood on the main channel of SJR, four annual surveys were carried out from 2010 to 2013 to locate and describe &gt; 1000 large wood jams (LWJ) and 2000 large wood individuals (LWI) along a 60-km river section. Airborne and ground photo/video images were used to estimate the wood volume introduced by lateral erosion and to identify local geomorphic conditions that control wood mobility and deposits. Video camera analysis allowed the examination of transport rates from three hydrometeorological events for specific river sections. Results indicate that the volume of LW recruited between 2010 and 2013 represents 57% of the total LW production over the 2004–2013 period. Volumes of wood deposited along the 60-km section were four times higher in 2013 than in 2010. Increases in wood amount occurred mainly in upper alluvial sections of the river, whereas decreases were observed in the semi-alluvial middle sections. Observations suggest that the 50-year flood event of 2010 produced large amounts of LW that were only partly exported out of the basin so that a significant amount was still available for subsequent floods. Large wood storage continued after this flood until a similar flood or an ice-breakup event could remobilise these LW accumulations into the river corridor. Ice-jam floods transport large amounts of wood during events with fairly low flow but do not contribute significantly to recruitment rates (ca. 10 to 30% early). It is fairly probable that the wood export peak observed in 2012 at the river mouth, where no flood occurred and which is similar to the 1-in 10-year flood of 2010, is mainly linked to such ice-break events that occurred in March 2012.","author":[{"dropping-particle":"","family":"Boivin","given":"Maxime","non-dropping-particle":"","parse-names":false,"suffix":""},{"dropping-particle":"","family":"Buffin-Bélanger","given":"Thomas","non-dropping-particle":"","parse-names":false,"suffix":""},{"dropping-particle":"","family":"Piégay","given":"Hervé","non-dropping-particle":"","parse-names":false,"suffix":""}],"container-title":"Geomorphology","id":"ITEM-1","issued":{"date-parts":[["2017"]]},"page":"59-73","title":"Interannual kinetics (2010–2013) of large wood in a river corridor exposed to a 50-year flood event and fluvial ice dynamics","type":"article-journal","volume":"279"},"uris":["http://www.mendeley.com/documents/?uuid=a804506f-895e-402d-81ae-3ca7945f9898"]}],"mendeley":{"formattedCitation":"(Boivin et al., 2017)","plainTextFormattedCitation":"(Boivin et al., 2017)","previouslyFormattedCitation":"(Boivin et al., 2017)"},"properties":{"noteIndex":0},"schema":"https://github.com/citation-style-language/schema/raw/master/csl-citation.json"}</w:instrText>
            </w:r>
            <w:r w:rsidRPr="004C7410">
              <w:fldChar w:fldCharType="separate"/>
            </w:r>
            <w:r w:rsidRPr="004C7410">
              <w:rPr>
                <w:noProof/>
              </w:rPr>
              <w:t>(Boivin et al., 2017)</w:t>
            </w:r>
            <w:r w:rsidRPr="004C7410">
              <w:fldChar w:fldCharType="end"/>
            </w:r>
            <w:r w:rsidRPr="004C7410">
              <w:t>.</w:t>
            </w:r>
          </w:p>
        </w:tc>
      </w:tr>
      <w:tr w:rsidR="00D54465" w:rsidRPr="004C7410" w14:paraId="2A8E1CDE"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4CC16456" w14:textId="77777777" w:rsidR="00D54465" w:rsidRPr="004C7410" w:rsidRDefault="00D54465" w:rsidP="005E50AB">
            <w:pPr>
              <w:rPr>
                <w:bCs/>
                <w:color w:val="0070C0"/>
              </w:rPr>
            </w:pPr>
            <w:r w:rsidRPr="004C7410">
              <w:rPr>
                <w:bCs/>
                <w:color w:val="0070C0"/>
              </w:rPr>
              <w:t>melt-driven?</w:t>
            </w:r>
          </w:p>
        </w:tc>
        <w:tc>
          <w:tcPr>
            <w:tcW w:w="1890" w:type="dxa"/>
            <w:tcBorders>
              <w:top w:val="single" w:sz="4" w:space="0" w:color="auto"/>
              <w:left w:val="single" w:sz="4" w:space="0" w:color="auto"/>
              <w:bottom w:val="single" w:sz="4" w:space="0" w:color="auto"/>
              <w:right w:val="single" w:sz="4" w:space="0" w:color="auto"/>
            </w:tcBorders>
          </w:tcPr>
          <w:p w14:paraId="323303AC" w14:textId="77777777" w:rsidR="00D54465" w:rsidRPr="004C7410" w:rsidRDefault="00D54465" w:rsidP="005E50AB">
            <w:proofErr w:type="spellStart"/>
            <w:r w:rsidRPr="004C7410">
              <w:t>melt_driven</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6A209B73" w14:textId="77777777" w:rsidR="00D54465" w:rsidRPr="004C7410" w:rsidRDefault="00D54465"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7FF86CEE" w14:textId="77777777" w:rsidR="00D54465" w:rsidRPr="004C7410" w:rsidRDefault="00D54465"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in a typical water year, high flows are driven by the melt of snow or glacial ice</w:t>
            </w:r>
          </w:p>
        </w:tc>
        <w:tc>
          <w:tcPr>
            <w:tcW w:w="4675" w:type="dxa"/>
            <w:tcBorders>
              <w:top w:val="single" w:sz="4" w:space="0" w:color="auto"/>
              <w:left w:val="single" w:sz="4" w:space="0" w:color="auto"/>
              <w:bottom w:val="single" w:sz="4" w:space="0" w:color="auto"/>
              <w:right w:val="single" w:sz="4" w:space="0" w:color="auto"/>
            </w:tcBorders>
            <w:vAlign w:val="center"/>
          </w:tcPr>
          <w:p w14:paraId="7877E4B6" w14:textId="54F4BA9A" w:rsidR="00D54465" w:rsidRPr="004C7410" w:rsidRDefault="00D54465" w:rsidP="00191792">
            <w:pPr>
              <w:rPr>
                <w:rFonts w:ascii="Calibri" w:hAnsi="Calibri" w:cs="Calibri"/>
                <w:color w:val="000000"/>
              </w:rPr>
            </w:pPr>
            <w:r w:rsidRPr="004C7410">
              <w:rPr>
                <w:rFonts w:ascii="Calibri" w:hAnsi="Calibri" w:cs="Calibri"/>
                <w:color w:val="000000"/>
              </w:rPr>
              <w:t>Diurnal flow fluctuations from melt flows can lead to substantial packing of jam material, reducing porosity.</w:t>
            </w:r>
          </w:p>
        </w:tc>
      </w:tr>
      <w:tr w:rsidR="00D54465" w:rsidRPr="004C7410" w14:paraId="6ED80269"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28F64924" w14:textId="77777777" w:rsidR="00D54465" w:rsidRPr="004C7410" w:rsidRDefault="00D54465" w:rsidP="005E50AB">
            <w:pPr>
              <w:rPr>
                <w:bCs/>
                <w:color w:val="663300"/>
              </w:rPr>
            </w:pPr>
            <w:r w:rsidRPr="004C7410">
              <w:rPr>
                <w:bCs/>
                <w:color w:val="663300"/>
              </w:rPr>
              <w:t xml:space="preserve">bankfull depth </w:t>
            </w:r>
          </w:p>
        </w:tc>
        <w:tc>
          <w:tcPr>
            <w:tcW w:w="1890" w:type="dxa"/>
            <w:tcBorders>
              <w:top w:val="single" w:sz="4" w:space="0" w:color="auto"/>
              <w:left w:val="single" w:sz="4" w:space="0" w:color="auto"/>
              <w:bottom w:val="single" w:sz="4" w:space="0" w:color="auto"/>
              <w:right w:val="single" w:sz="4" w:space="0" w:color="auto"/>
            </w:tcBorders>
          </w:tcPr>
          <w:p w14:paraId="0B60B16A" w14:textId="77777777" w:rsidR="00D54465" w:rsidRPr="004C7410" w:rsidRDefault="00D54465" w:rsidP="005E50AB">
            <w:r w:rsidRPr="004C7410">
              <w:t>bfd</w:t>
            </w:r>
          </w:p>
        </w:tc>
        <w:tc>
          <w:tcPr>
            <w:tcW w:w="990" w:type="dxa"/>
            <w:tcBorders>
              <w:top w:val="single" w:sz="4" w:space="0" w:color="auto"/>
              <w:left w:val="single" w:sz="4" w:space="0" w:color="auto"/>
              <w:bottom w:val="single" w:sz="4" w:space="0" w:color="auto"/>
              <w:right w:val="single" w:sz="4" w:space="0" w:color="auto"/>
            </w:tcBorders>
          </w:tcPr>
          <w:p w14:paraId="1782DFFD" w14:textId="77777777" w:rsidR="00D54465" w:rsidRPr="004C7410" w:rsidRDefault="00D54465" w:rsidP="005E50AB">
            <w:r w:rsidRPr="004C7410">
              <w:t>meters</w:t>
            </w:r>
          </w:p>
        </w:tc>
        <w:tc>
          <w:tcPr>
            <w:tcW w:w="4675" w:type="dxa"/>
            <w:tcBorders>
              <w:top w:val="single" w:sz="4" w:space="0" w:color="auto"/>
              <w:left w:val="single" w:sz="4" w:space="0" w:color="auto"/>
              <w:bottom w:val="single" w:sz="4" w:space="0" w:color="auto"/>
              <w:right w:val="single" w:sz="4" w:space="0" w:color="auto"/>
            </w:tcBorders>
            <w:hideMark/>
          </w:tcPr>
          <w:p w14:paraId="12D7B465" w14:textId="77777777" w:rsidR="00D54465" w:rsidRPr="004C7410" w:rsidRDefault="00D54465" w:rsidP="005E50AB">
            <w:r w:rsidRPr="004C7410">
              <w:t>bankfull depth that best characterizes the reach around the jam (see solid vertical line in confinement diagram below)</w:t>
            </w:r>
          </w:p>
        </w:tc>
        <w:tc>
          <w:tcPr>
            <w:tcW w:w="4675" w:type="dxa"/>
            <w:vMerge w:val="restart"/>
            <w:tcBorders>
              <w:top w:val="single" w:sz="4" w:space="0" w:color="auto"/>
              <w:left w:val="single" w:sz="4" w:space="0" w:color="auto"/>
              <w:right w:val="single" w:sz="4" w:space="0" w:color="auto"/>
            </w:tcBorders>
            <w:vAlign w:val="center"/>
          </w:tcPr>
          <w:p w14:paraId="7830451B" w14:textId="154F1B52" w:rsidR="00D54465" w:rsidRPr="004C7410" w:rsidRDefault="00D54465" w:rsidP="00191792">
            <w:r w:rsidRPr="004C7410">
              <w:t>Provides information on hydraulic forces exerted on jam by high flow</w:t>
            </w:r>
          </w:p>
        </w:tc>
      </w:tr>
      <w:tr w:rsidR="00D54465" w:rsidRPr="004C7410" w14:paraId="6935FE47"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6FE15BAB" w14:textId="77777777" w:rsidR="00D54465" w:rsidRPr="004C7410" w:rsidRDefault="00D54465" w:rsidP="005E50AB">
            <w:pPr>
              <w:rPr>
                <w:bCs/>
                <w:color w:val="663300"/>
              </w:rPr>
            </w:pPr>
            <w:r w:rsidRPr="004C7410">
              <w:rPr>
                <w:bCs/>
                <w:color w:val="663300"/>
              </w:rPr>
              <w:t xml:space="preserve">bankfull width </w:t>
            </w:r>
          </w:p>
        </w:tc>
        <w:tc>
          <w:tcPr>
            <w:tcW w:w="1890" w:type="dxa"/>
            <w:tcBorders>
              <w:top w:val="single" w:sz="4" w:space="0" w:color="auto"/>
              <w:left w:val="single" w:sz="4" w:space="0" w:color="auto"/>
              <w:bottom w:val="single" w:sz="4" w:space="0" w:color="auto"/>
              <w:right w:val="single" w:sz="4" w:space="0" w:color="auto"/>
            </w:tcBorders>
          </w:tcPr>
          <w:p w14:paraId="3386B41F" w14:textId="77777777" w:rsidR="00D54465" w:rsidRPr="004C7410" w:rsidRDefault="00D54465" w:rsidP="005E50AB">
            <w:proofErr w:type="spellStart"/>
            <w:r w:rsidRPr="004C7410">
              <w:t>bfw</w:t>
            </w:r>
            <w:proofErr w:type="spellEnd"/>
          </w:p>
        </w:tc>
        <w:tc>
          <w:tcPr>
            <w:tcW w:w="990" w:type="dxa"/>
            <w:tcBorders>
              <w:top w:val="single" w:sz="4" w:space="0" w:color="auto"/>
              <w:left w:val="single" w:sz="4" w:space="0" w:color="auto"/>
              <w:bottom w:val="single" w:sz="4" w:space="0" w:color="auto"/>
              <w:right w:val="single" w:sz="4" w:space="0" w:color="auto"/>
            </w:tcBorders>
          </w:tcPr>
          <w:p w14:paraId="51B8CC9F" w14:textId="77777777" w:rsidR="00D54465" w:rsidRPr="004C7410" w:rsidRDefault="00D54465" w:rsidP="005E50AB">
            <w:r w:rsidRPr="004C7410">
              <w:t>meters</w:t>
            </w:r>
          </w:p>
        </w:tc>
        <w:tc>
          <w:tcPr>
            <w:tcW w:w="4675" w:type="dxa"/>
            <w:tcBorders>
              <w:top w:val="single" w:sz="4" w:space="0" w:color="auto"/>
              <w:left w:val="single" w:sz="4" w:space="0" w:color="auto"/>
              <w:bottom w:val="single" w:sz="4" w:space="0" w:color="auto"/>
              <w:right w:val="single" w:sz="4" w:space="0" w:color="auto"/>
            </w:tcBorders>
            <w:hideMark/>
          </w:tcPr>
          <w:p w14:paraId="398ED4EA" w14:textId="77777777" w:rsidR="00D54465" w:rsidRPr="004C7410" w:rsidRDefault="00D54465" w:rsidP="005E50AB">
            <w:r w:rsidRPr="004C7410">
              <w:t>bankfull width that best characterizes the reach around the jam (see solid horizontal line in confinement diagram below)</w:t>
            </w:r>
          </w:p>
        </w:tc>
        <w:tc>
          <w:tcPr>
            <w:tcW w:w="4675" w:type="dxa"/>
            <w:vMerge/>
            <w:tcBorders>
              <w:left w:val="single" w:sz="4" w:space="0" w:color="auto"/>
              <w:right w:val="single" w:sz="4" w:space="0" w:color="auto"/>
            </w:tcBorders>
            <w:vAlign w:val="center"/>
          </w:tcPr>
          <w:p w14:paraId="378AF717" w14:textId="77777777" w:rsidR="00D54465" w:rsidRPr="004C7410" w:rsidRDefault="00D54465" w:rsidP="00191792"/>
        </w:tc>
      </w:tr>
      <w:tr w:rsidR="00D54465" w:rsidRPr="004C7410" w14:paraId="364709C0"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5768CA39" w14:textId="77777777" w:rsidR="00D54465" w:rsidRPr="004C7410" w:rsidRDefault="00D54465" w:rsidP="005E50AB">
            <w:pPr>
              <w:rPr>
                <w:bCs/>
                <w:color w:val="663300"/>
              </w:rPr>
            </w:pPr>
            <w:r w:rsidRPr="004C7410">
              <w:rPr>
                <w:bCs/>
                <w:color w:val="663300"/>
              </w:rPr>
              <w:t>local slope</w:t>
            </w:r>
          </w:p>
        </w:tc>
        <w:tc>
          <w:tcPr>
            <w:tcW w:w="1890" w:type="dxa"/>
            <w:tcBorders>
              <w:top w:val="single" w:sz="4" w:space="0" w:color="auto"/>
              <w:left w:val="single" w:sz="4" w:space="0" w:color="auto"/>
              <w:bottom w:val="single" w:sz="4" w:space="0" w:color="auto"/>
              <w:right w:val="single" w:sz="4" w:space="0" w:color="auto"/>
            </w:tcBorders>
          </w:tcPr>
          <w:p w14:paraId="6A22E424" w14:textId="77777777" w:rsidR="00D54465" w:rsidRPr="004C7410" w:rsidRDefault="00D54465" w:rsidP="005E50AB">
            <w:proofErr w:type="spellStart"/>
            <w:r w:rsidRPr="004C7410">
              <w:t>s_percent</w:t>
            </w:r>
            <w:proofErr w:type="spellEnd"/>
          </w:p>
        </w:tc>
        <w:tc>
          <w:tcPr>
            <w:tcW w:w="990" w:type="dxa"/>
            <w:tcBorders>
              <w:top w:val="single" w:sz="4" w:space="0" w:color="auto"/>
              <w:left w:val="single" w:sz="4" w:space="0" w:color="auto"/>
              <w:bottom w:val="single" w:sz="4" w:space="0" w:color="auto"/>
              <w:right w:val="single" w:sz="4" w:space="0" w:color="auto"/>
            </w:tcBorders>
          </w:tcPr>
          <w:p w14:paraId="57972772" w14:textId="77777777" w:rsidR="00D54465" w:rsidRPr="004C7410" w:rsidRDefault="00D54465" w:rsidP="005E50AB">
            <w:r w:rsidRPr="004C7410">
              <w:t>%</w:t>
            </w:r>
          </w:p>
        </w:tc>
        <w:tc>
          <w:tcPr>
            <w:tcW w:w="4675" w:type="dxa"/>
            <w:tcBorders>
              <w:top w:val="single" w:sz="4" w:space="0" w:color="auto"/>
              <w:left w:val="single" w:sz="4" w:space="0" w:color="auto"/>
              <w:bottom w:val="single" w:sz="4" w:space="0" w:color="auto"/>
              <w:right w:val="single" w:sz="4" w:space="0" w:color="auto"/>
            </w:tcBorders>
            <w:hideMark/>
          </w:tcPr>
          <w:p w14:paraId="5CD12F9B" w14:textId="77777777" w:rsidR="00D54465" w:rsidRPr="004C7410" w:rsidRDefault="00D54465" w:rsidP="005E50AB">
            <w:r w:rsidRPr="004C7410">
              <w:t>from above to below sediment wedge behind wood jam, or the slope that best characterizes the reach around the jam</w:t>
            </w:r>
          </w:p>
        </w:tc>
        <w:tc>
          <w:tcPr>
            <w:tcW w:w="4675" w:type="dxa"/>
            <w:vMerge/>
            <w:tcBorders>
              <w:left w:val="single" w:sz="4" w:space="0" w:color="auto"/>
              <w:bottom w:val="single" w:sz="4" w:space="0" w:color="auto"/>
              <w:right w:val="single" w:sz="4" w:space="0" w:color="auto"/>
            </w:tcBorders>
            <w:vAlign w:val="center"/>
          </w:tcPr>
          <w:p w14:paraId="601C3C6D" w14:textId="77777777" w:rsidR="00D54465" w:rsidRPr="004C7410" w:rsidRDefault="00D54465" w:rsidP="00191792"/>
        </w:tc>
      </w:tr>
      <w:tr w:rsidR="00D54465" w:rsidRPr="004C7410" w14:paraId="5AB7F3AF"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5E4DD0A8" w14:textId="77777777" w:rsidR="00D54465" w:rsidRPr="004C7410" w:rsidRDefault="00D54465" w:rsidP="005E50AB">
            <w:pPr>
              <w:rPr>
                <w:bCs/>
                <w:color w:val="FF0000"/>
              </w:rPr>
            </w:pPr>
            <w:r w:rsidRPr="004C7410">
              <w:rPr>
                <w:bCs/>
                <w:color w:val="FF0000"/>
              </w:rPr>
              <w:t xml:space="preserve">visual clast size </w:t>
            </w:r>
          </w:p>
        </w:tc>
        <w:tc>
          <w:tcPr>
            <w:tcW w:w="1890" w:type="dxa"/>
            <w:tcBorders>
              <w:top w:val="single" w:sz="4" w:space="0" w:color="auto"/>
              <w:left w:val="single" w:sz="4" w:space="0" w:color="auto"/>
              <w:bottom w:val="single" w:sz="4" w:space="0" w:color="auto"/>
              <w:right w:val="single" w:sz="4" w:space="0" w:color="auto"/>
            </w:tcBorders>
          </w:tcPr>
          <w:p w14:paraId="6A4AA8ED" w14:textId="77777777" w:rsidR="00D54465" w:rsidRPr="004C7410" w:rsidRDefault="00D54465" w:rsidP="005E50AB">
            <w:proofErr w:type="spellStart"/>
            <w:r w:rsidRPr="004C7410">
              <w:t>clast_size</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4D3F7B84" w14:textId="77777777" w:rsidR="00D54465" w:rsidRPr="004C7410" w:rsidRDefault="00D54465" w:rsidP="005E50AB">
            <w:r w:rsidRPr="004C7410">
              <w:t xml:space="preserve">s, g, c, b, </w:t>
            </w:r>
            <w:proofErr w:type="spellStart"/>
            <w:r w:rsidRPr="004C7410">
              <w:t>br</w:t>
            </w:r>
            <w:proofErr w:type="spellEnd"/>
          </w:p>
        </w:tc>
        <w:tc>
          <w:tcPr>
            <w:tcW w:w="4675" w:type="dxa"/>
            <w:tcBorders>
              <w:top w:val="single" w:sz="4" w:space="0" w:color="auto"/>
              <w:left w:val="single" w:sz="4" w:space="0" w:color="auto"/>
              <w:bottom w:val="single" w:sz="4" w:space="0" w:color="auto"/>
              <w:right w:val="single" w:sz="4" w:space="0" w:color="auto"/>
            </w:tcBorders>
            <w:hideMark/>
          </w:tcPr>
          <w:p w14:paraId="1772549E" w14:textId="77777777" w:rsidR="00D54465" w:rsidRPr="004C7410" w:rsidRDefault="00D54465" w:rsidP="005E50AB">
            <w:pPr>
              <w:rPr>
                <w:rFonts w:ascii="Calibri" w:hAnsi="Calibri" w:cs="Calibri"/>
                <w:color w:val="000000"/>
              </w:rPr>
            </w:pPr>
            <w:r w:rsidRPr="004C7410">
              <w:rPr>
                <w:rFonts w:ascii="Calibri" w:hAnsi="Calibri" w:cs="Calibri"/>
                <w:color w:val="000000"/>
              </w:rPr>
              <w:t>Visual estimate of dominant clast size on bed in reach surrounding jam: Sand [s] (&lt;2mm), Gravel [g] (2-64mm), Cobbles [c] (64-256mm), Boulders [b] (&gt;256mm), Bedrock [</w:t>
            </w:r>
            <w:proofErr w:type="spellStart"/>
            <w:r w:rsidRPr="004C7410">
              <w:rPr>
                <w:rFonts w:ascii="Calibri" w:hAnsi="Calibri" w:cs="Calibri"/>
                <w:color w:val="000000"/>
              </w:rPr>
              <w:t>br</w:t>
            </w:r>
            <w:proofErr w:type="spellEnd"/>
            <w:r w:rsidRPr="004C7410">
              <w:rPr>
                <w:rFonts w:ascii="Calibri" w:hAnsi="Calibri" w:cs="Calibri"/>
                <w:color w:val="000000"/>
              </w:rPr>
              <w:t>]</w:t>
            </w:r>
          </w:p>
        </w:tc>
        <w:tc>
          <w:tcPr>
            <w:tcW w:w="4675" w:type="dxa"/>
            <w:vMerge w:val="restart"/>
            <w:tcBorders>
              <w:top w:val="single" w:sz="4" w:space="0" w:color="auto"/>
              <w:left w:val="single" w:sz="4" w:space="0" w:color="auto"/>
              <w:right w:val="single" w:sz="4" w:space="0" w:color="auto"/>
            </w:tcBorders>
            <w:vAlign w:val="center"/>
          </w:tcPr>
          <w:p w14:paraId="1824E6D3" w14:textId="31183835" w:rsidR="00D54465" w:rsidRPr="004C7410" w:rsidRDefault="00D54465" w:rsidP="00191792">
            <w:pPr>
              <w:rPr>
                <w:rFonts w:ascii="Calibri" w:hAnsi="Calibri" w:cs="Calibri"/>
                <w:color w:val="000000"/>
              </w:rPr>
            </w:pPr>
            <w:r w:rsidRPr="004C7410">
              <w:rPr>
                <w:rFonts w:ascii="Calibri" w:hAnsi="Calibri" w:cs="Calibri"/>
                <w:color w:val="000000"/>
              </w:rPr>
              <w:t>Indicates channel roughness and relative energy level</w:t>
            </w:r>
          </w:p>
        </w:tc>
      </w:tr>
      <w:tr w:rsidR="00D54465" w:rsidRPr="004C7410" w14:paraId="272FA3C9"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5E0C61E8" w14:textId="77777777" w:rsidR="00D54465" w:rsidRPr="004C7410" w:rsidRDefault="00D54465" w:rsidP="005E50AB">
            <w:pPr>
              <w:rPr>
                <w:bCs/>
                <w:color w:val="FF0000"/>
              </w:rPr>
            </w:pPr>
            <w:r w:rsidRPr="004C7410">
              <w:rPr>
                <w:bCs/>
                <w:color w:val="FF0000"/>
              </w:rPr>
              <w:t>bedform</w:t>
            </w:r>
          </w:p>
        </w:tc>
        <w:tc>
          <w:tcPr>
            <w:tcW w:w="1890" w:type="dxa"/>
            <w:tcBorders>
              <w:top w:val="single" w:sz="4" w:space="0" w:color="auto"/>
              <w:left w:val="single" w:sz="4" w:space="0" w:color="auto"/>
              <w:bottom w:val="single" w:sz="4" w:space="0" w:color="auto"/>
              <w:right w:val="single" w:sz="4" w:space="0" w:color="auto"/>
            </w:tcBorders>
          </w:tcPr>
          <w:p w14:paraId="1C14D940" w14:textId="77777777" w:rsidR="00D54465" w:rsidRPr="004C7410" w:rsidRDefault="00D54465" w:rsidP="005E50AB">
            <w:r w:rsidRPr="004C7410">
              <w:t>bedform</w:t>
            </w:r>
          </w:p>
        </w:tc>
        <w:tc>
          <w:tcPr>
            <w:tcW w:w="990" w:type="dxa"/>
            <w:tcBorders>
              <w:top w:val="single" w:sz="4" w:space="0" w:color="auto"/>
              <w:left w:val="single" w:sz="4" w:space="0" w:color="auto"/>
              <w:bottom w:val="single" w:sz="4" w:space="0" w:color="auto"/>
              <w:right w:val="single" w:sz="4" w:space="0" w:color="auto"/>
            </w:tcBorders>
            <w:hideMark/>
          </w:tcPr>
          <w:p w14:paraId="66DF292A" w14:textId="77777777" w:rsidR="00D54465" w:rsidRPr="004C7410" w:rsidRDefault="00D54465" w:rsidP="005E50AB">
            <w:r w:rsidRPr="004C7410">
              <w:t xml:space="preserve">sb, </w:t>
            </w:r>
            <w:proofErr w:type="spellStart"/>
            <w:r w:rsidRPr="004C7410">
              <w:t>pr</w:t>
            </w:r>
            <w:proofErr w:type="spellEnd"/>
            <w:r w:rsidRPr="004C7410">
              <w:t xml:space="preserve">, pb, </w:t>
            </w:r>
            <w:proofErr w:type="spellStart"/>
            <w:r w:rsidRPr="004C7410">
              <w:t>sp</w:t>
            </w:r>
            <w:proofErr w:type="spellEnd"/>
            <w:r w:rsidRPr="004C7410">
              <w:t>, c</w:t>
            </w:r>
          </w:p>
        </w:tc>
        <w:tc>
          <w:tcPr>
            <w:tcW w:w="4675" w:type="dxa"/>
            <w:tcBorders>
              <w:top w:val="single" w:sz="4" w:space="0" w:color="auto"/>
              <w:left w:val="single" w:sz="4" w:space="0" w:color="auto"/>
              <w:bottom w:val="single" w:sz="4" w:space="0" w:color="auto"/>
              <w:right w:val="single" w:sz="4" w:space="0" w:color="auto"/>
            </w:tcBorders>
            <w:hideMark/>
          </w:tcPr>
          <w:p w14:paraId="1A3B23F3" w14:textId="7D3A44B9" w:rsidR="00D54465" w:rsidRPr="004C7410" w:rsidRDefault="00D54465" w:rsidP="005E50AB">
            <w:r w:rsidRPr="004C7410">
              <w:t xml:space="preserve">from Montgomery and Buffington </w:t>
            </w:r>
            <w:r w:rsidRPr="004C7410">
              <w:fldChar w:fldCharType="begin" w:fldLock="1"/>
            </w:r>
            <w:r w:rsidR="00191792" w:rsidRPr="004C7410">
              <w:instrText>ADDIN CSL_CITATION {"citationItems":[{"id":"ITEM-1","itemData":{"ISBN":"0016760619432","ISSN":"00167606","PMID":"2054727","abstract":"We recognize three primary channel-reach substrates: bedrock, alluvium, and colluvium. Bedrock reaches lack a contiguous alluvial bed and reflect high transport capacities relative to sediment supply; they are typically con-fined by valley walls and have steep slopes. In contrast, alluvial channels ex-hibit a wide variety of morphologies and roughness configurations that vary with slope and position within the channel network, and may be either con-fined, with little to no associated flood plain, or unconfined, with a well-established flood plain. We recognize five distinct alluvial reach morpholo-gies: cascade, step pool, plane bed, pool riffle, and dune ripple. Colluvial channels form an additional reach type that we recognize separately from alluvial channels, despite the common presence of a thin alluvial substrate. Colluvial channels typically are small headwater streams that flow over a colluvial valley fill and exhibit weak or ephemeral fluvial transport. Each of these channel types is distinguished by a distinctive channel-bed morphol-ogy, allowing rapid visual classification. Diagnostic features of each chan-nel type are summarized in Table 1 and discussed below. Cascade Channels The term \" cascade \" connotes tumbling flow, although its specific mor-phologic definition varies and often is applied to both channel units and reaches (e.g., Bisson et al., 1982; Grant et al., 1990). Our delineation of cas-cade channels focuses on streams in which energy dissipation is dominated by continuous tumbling and jet-and-wake flow over and around individual large clasts (e.g., Peterson and Mohanty, 1960) (Fig. 1A). Cascade channels generally occur on steep slopes, are narrowly confined by valley walls, and are characterized by longitudinally and laterally disorganized bed material typically consisting of cobbles and boulders (Fig. 2A). Small, partially channel-spanning pools spaced less than a channel width apart are common in cascade channels. Tumbling flow over individual grain steps and turbu-lence associated with jet-and-wake flow around grains dissipates much of the mechanical energy of the flow (Fig. 3A). Large particle size relative to flow depth makes the largest bed-forming material of cascade reaches effectively immobile during typical flows. Stud-ies of steep-gradient channels report that large bed-forming grains typically become mobile only during infrequent (i.e., 50–100 yr) hydrologic events (Grant et al., 1990; Kondolf et al., 1991; Whittaker,…","author":[{"dropping-particle":"","family":"Montgomery","given":"David R.","non-dropping-particle":"","parse-names":false,"suffix":""},{"dropping-particle":"","family":"Buffington","given":"John M.","non-dropping-particle":"","parse-names":false,"suffix":""}],"container-title":"Bulletin of the Geological Society of America","id":"ITEM-1","issue":"5","issued":{"date-parts":[["1997"]]},"page":"596-611","title":"Channel-reach morphology in mountain drainage basins","type":"article-journal","volume":"109"},"suppress-author":1,"uris":["http://www.mendeley.com/documents/?uuid=00c14b04-4089-4275-b2d0-cf54e6fdf94b"]}],"mendeley":{"formattedCitation":"(1997)","plainTextFormattedCitation":"(1997)","previouslyFormattedCitation":"(1997)"},"properties":{"noteIndex":0},"schema":"https://github.com/citation-style-language/schema/raw/master/csl-citation.json"}</w:instrText>
            </w:r>
            <w:r w:rsidRPr="004C7410">
              <w:fldChar w:fldCharType="separate"/>
            </w:r>
            <w:r w:rsidRPr="004C7410">
              <w:rPr>
                <w:noProof/>
              </w:rPr>
              <w:t>(1997)</w:t>
            </w:r>
            <w:r w:rsidRPr="004C7410">
              <w:fldChar w:fldCharType="end"/>
            </w:r>
            <w:r w:rsidRPr="004C7410">
              <w:t>: sand bed [sb], pool-riffle [</w:t>
            </w:r>
            <w:proofErr w:type="spellStart"/>
            <w:r w:rsidRPr="004C7410">
              <w:t>pr</w:t>
            </w:r>
            <w:proofErr w:type="spellEnd"/>
            <w:r w:rsidRPr="004C7410">
              <w:t>], plane-bed [pb], step-pool [</w:t>
            </w:r>
            <w:proofErr w:type="spellStart"/>
            <w:r w:rsidRPr="004C7410">
              <w:t>sp</w:t>
            </w:r>
            <w:proofErr w:type="spellEnd"/>
            <w:r w:rsidRPr="004C7410">
              <w:t>], cascade [c]</w:t>
            </w:r>
          </w:p>
        </w:tc>
        <w:tc>
          <w:tcPr>
            <w:tcW w:w="4675" w:type="dxa"/>
            <w:vMerge/>
            <w:tcBorders>
              <w:left w:val="single" w:sz="4" w:space="0" w:color="auto"/>
              <w:right w:val="single" w:sz="4" w:space="0" w:color="auto"/>
            </w:tcBorders>
            <w:vAlign w:val="center"/>
          </w:tcPr>
          <w:p w14:paraId="69DEE622" w14:textId="77777777" w:rsidR="00D54465" w:rsidRPr="004C7410" w:rsidRDefault="00D54465" w:rsidP="00191792"/>
        </w:tc>
      </w:tr>
      <w:tr w:rsidR="00D54465" w:rsidRPr="004C7410" w14:paraId="1C93E666"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69AB0C0A" w14:textId="77777777" w:rsidR="00D54465" w:rsidRPr="004C7410" w:rsidRDefault="00D54465" w:rsidP="005E50AB">
            <w:pPr>
              <w:rPr>
                <w:bCs/>
                <w:color w:val="FF0000"/>
              </w:rPr>
            </w:pPr>
            <w:r w:rsidRPr="004C7410">
              <w:rPr>
                <w:bCs/>
                <w:color w:val="FF0000"/>
              </w:rPr>
              <w:t xml:space="preserve">planform </w:t>
            </w:r>
          </w:p>
        </w:tc>
        <w:tc>
          <w:tcPr>
            <w:tcW w:w="1890" w:type="dxa"/>
            <w:tcBorders>
              <w:top w:val="single" w:sz="4" w:space="0" w:color="auto"/>
              <w:left w:val="single" w:sz="4" w:space="0" w:color="auto"/>
              <w:bottom w:val="single" w:sz="4" w:space="0" w:color="auto"/>
              <w:right w:val="single" w:sz="4" w:space="0" w:color="auto"/>
            </w:tcBorders>
          </w:tcPr>
          <w:p w14:paraId="61F9DA69" w14:textId="77777777" w:rsidR="00D54465" w:rsidRPr="004C7410" w:rsidRDefault="00D54465" w:rsidP="005E50AB">
            <w:r w:rsidRPr="004C7410">
              <w:t>planform</w:t>
            </w:r>
          </w:p>
        </w:tc>
        <w:tc>
          <w:tcPr>
            <w:tcW w:w="990" w:type="dxa"/>
            <w:tcBorders>
              <w:top w:val="single" w:sz="4" w:space="0" w:color="auto"/>
              <w:left w:val="single" w:sz="4" w:space="0" w:color="auto"/>
              <w:bottom w:val="single" w:sz="4" w:space="0" w:color="auto"/>
              <w:right w:val="single" w:sz="4" w:space="0" w:color="auto"/>
            </w:tcBorders>
            <w:hideMark/>
          </w:tcPr>
          <w:p w14:paraId="493CD4DF" w14:textId="77777777" w:rsidR="00D54465" w:rsidRPr="004C7410" w:rsidRDefault="00D54465" w:rsidP="005E50AB">
            <w:r w:rsidRPr="004C7410">
              <w:t>s, m, a, b</w:t>
            </w:r>
          </w:p>
        </w:tc>
        <w:tc>
          <w:tcPr>
            <w:tcW w:w="4675" w:type="dxa"/>
            <w:tcBorders>
              <w:top w:val="single" w:sz="4" w:space="0" w:color="auto"/>
              <w:left w:val="single" w:sz="4" w:space="0" w:color="auto"/>
              <w:bottom w:val="single" w:sz="4" w:space="0" w:color="auto"/>
              <w:right w:val="single" w:sz="4" w:space="0" w:color="auto"/>
            </w:tcBorders>
            <w:hideMark/>
          </w:tcPr>
          <w:p w14:paraId="3DBF49FA" w14:textId="77777777" w:rsidR="00D54465" w:rsidRPr="004C7410" w:rsidRDefault="00D54465" w:rsidP="005E50AB">
            <w:r w:rsidRPr="004C7410">
              <w:t xml:space="preserve">Straight if one channel and sinuosity &lt; 1.5 [S], meandering if one channel and sinuosity &gt;1.5 and evidence of migration (point bars, cut banks) [m], anastomosing if multiple channels and vegetated </w:t>
            </w:r>
            <w:r w:rsidRPr="004C7410">
              <w:lastRenderedPageBreak/>
              <w:t>islands [a], braided if multiple channels and non/sparsely vegetated islands [b].</w:t>
            </w:r>
          </w:p>
        </w:tc>
        <w:tc>
          <w:tcPr>
            <w:tcW w:w="4675" w:type="dxa"/>
            <w:vMerge/>
            <w:tcBorders>
              <w:left w:val="single" w:sz="4" w:space="0" w:color="auto"/>
              <w:bottom w:val="single" w:sz="4" w:space="0" w:color="auto"/>
              <w:right w:val="single" w:sz="4" w:space="0" w:color="auto"/>
            </w:tcBorders>
            <w:vAlign w:val="center"/>
          </w:tcPr>
          <w:p w14:paraId="6E85C2ED" w14:textId="77777777" w:rsidR="00D54465" w:rsidRPr="004C7410" w:rsidRDefault="00D54465" w:rsidP="00191792"/>
        </w:tc>
      </w:tr>
      <w:tr w:rsidR="00D54465" w:rsidRPr="004C7410" w14:paraId="56A39CE6"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70FAAAE6" w14:textId="77777777" w:rsidR="00D54465" w:rsidRPr="004C7410" w:rsidRDefault="00D54465" w:rsidP="005E50AB">
            <w:pPr>
              <w:rPr>
                <w:bCs/>
                <w:color w:val="FF0000"/>
              </w:rPr>
            </w:pPr>
            <w:r w:rsidRPr="004C7410">
              <w:rPr>
                <w:bCs/>
                <w:color w:val="FF0000"/>
              </w:rPr>
              <w:t>isolated?</w:t>
            </w:r>
          </w:p>
        </w:tc>
        <w:tc>
          <w:tcPr>
            <w:tcW w:w="1890" w:type="dxa"/>
            <w:tcBorders>
              <w:top w:val="single" w:sz="4" w:space="0" w:color="auto"/>
              <w:left w:val="single" w:sz="4" w:space="0" w:color="auto"/>
              <w:bottom w:val="single" w:sz="4" w:space="0" w:color="auto"/>
              <w:right w:val="single" w:sz="4" w:space="0" w:color="auto"/>
            </w:tcBorders>
          </w:tcPr>
          <w:p w14:paraId="5B7B1D35" w14:textId="77777777" w:rsidR="00D54465" w:rsidRPr="004C7410" w:rsidRDefault="00D54465" w:rsidP="005E50AB">
            <w:r w:rsidRPr="004C7410">
              <w:t>isolated</w:t>
            </w:r>
          </w:p>
        </w:tc>
        <w:tc>
          <w:tcPr>
            <w:tcW w:w="990" w:type="dxa"/>
            <w:tcBorders>
              <w:top w:val="single" w:sz="4" w:space="0" w:color="auto"/>
              <w:left w:val="single" w:sz="4" w:space="0" w:color="auto"/>
              <w:bottom w:val="single" w:sz="4" w:space="0" w:color="auto"/>
              <w:right w:val="single" w:sz="4" w:space="0" w:color="auto"/>
            </w:tcBorders>
            <w:hideMark/>
          </w:tcPr>
          <w:p w14:paraId="1D1C6A93" w14:textId="77777777" w:rsidR="00D54465" w:rsidRPr="004C7410" w:rsidRDefault="00D54465"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66314797" w14:textId="77777777" w:rsidR="00D54465" w:rsidRPr="004C7410" w:rsidRDefault="00D54465"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no wood surrounding jam within sight or 5 channel widths upstream/downstream, whichever is shorter</w:t>
            </w:r>
          </w:p>
        </w:tc>
        <w:tc>
          <w:tcPr>
            <w:tcW w:w="4675" w:type="dxa"/>
            <w:tcBorders>
              <w:top w:val="single" w:sz="4" w:space="0" w:color="auto"/>
              <w:left w:val="single" w:sz="4" w:space="0" w:color="auto"/>
              <w:bottom w:val="single" w:sz="4" w:space="0" w:color="auto"/>
              <w:right w:val="single" w:sz="4" w:space="0" w:color="auto"/>
            </w:tcBorders>
            <w:vAlign w:val="center"/>
          </w:tcPr>
          <w:p w14:paraId="0B9462EC" w14:textId="0E180394" w:rsidR="00D54465" w:rsidRPr="004C7410" w:rsidRDefault="00D54465" w:rsidP="00191792">
            <w:pPr>
              <w:rPr>
                <w:rFonts w:ascii="Calibri" w:hAnsi="Calibri" w:cs="Calibri"/>
                <w:color w:val="000000"/>
              </w:rPr>
            </w:pPr>
            <w:r w:rsidRPr="004C7410">
              <w:t xml:space="preserve">Wood load can relate to wood transport capacity </w:t>
            </w:r>
            <w:r w:rsidRPr="004C7410">
              <w:fldChar w:fldCharType="begin" w:fldLock="1"/>
            </w:r>
            <w:r w:rsidRPr="004C7410">
              <w:instrText>ADDIN CSL_CITATION {"citationItems":[{"id":"ITEM-1","itemData":{"DOI":"10.1016/j.geomorph.2016.08.026","ISSN":"0169555X","abstract":"To effectively manage wood in rivers, we need a better understanding of wood mobility within river networks. Here, we review primarily field-based (and some numerical) studies of wood transport. We distinguish small, medium, large, and great rivers based on wood piece dimensions relative to channel and flow dimensions and dominant controls on wood transport. We suggest further identification and designation of wood transport regimes as a useful way to characterize spatial-temporal network heterogeneity and to conceptualize the primary controls on wood mobility in diverse river segments. We draw analogies between wood and bedload transport, including distinguishing Eulerian and Lagrangian approaches, exploring transport capacity, and quantifying thresholds of wood mobility. We identify mobility envelopes for remobilization of wood with relation to increasing peak discharges, stream size, and dimensionless log lengths. Wood transport in natural channels exhibits high spatial and temporal variability, with discontinuities along the channel network at bankfull flow and when log lengths equal channel widths. Although median mobilization rates increase with increasing channel size, maximum mobilization rates are greatest in medium-sized channels. Most wood is transported during relatively infrequent high flows, but flows under bankfull can transport up to 30% of stored wood. We use conceptual models of dynamic equilibrium of wood in storage and of spiralling wood transport paths through drainage networks, as well as a metaphor of traffic on a road, to explore discontinuous wood movement through a river network. The primary limitations to describing wood transport are inappropriate time scales of observation and lack of sufficient data on mobility from diverse rivers. Improving models of wood flux requires better characterization of average step lengths within the lifetime travel path of a piece of wood. We suggest that future studies focus on: (i) continuous or high-frequency monitoring of wood mobility; (ii) monitoring changes in wood storage; (iii) using wood characteristics to fingerprint wood sources; (iv) quantifying volumes of wood buried within river corridors; (v) obtaining existing or new data from unconventional sources, such as citizen science initiatives, and (vi) creating online interactive data platforms to facilitate data synthesis.","author":[{"dropping-particle":"","family":"Kramer","given":"Natalie","non-dropping-particle":"","parse-names":false,"suffix":""},{"dropping-particle":"","family":"Wohl","given":"Ellen","non-dropping-particle":"","parse-names":false,"suffix":""}],"container-title":"Geomorphology","id":"ITEM-1","issued":{"date-parts":[["2016"]]},"page":"74-97","publisher":"Elsevier B.V.","title":"Rules of the road: A qualitative and quantitative synthesis of large wood transport through drainage networks","type":"article-journal","volume":"279"},"uris":["http://www.mendeley.com/documents/?uuid=d19b7bc6-345c-4b56-a714-32e99311c66f"]}],"mendeley":{"formattedCitation":"(Kramer &amp; Wohl, 2016)","plainTextFormattedCitation":"(Kramer &amp; Wohl, 2016)","previouslyFormattedCitation":"(Kramer &amp; Wohl, 2016)"},"properties":{"noteIndex":0},"schema":"https://github.com/citation-style-language/schema/raw/master/csl-citation.json"}</w:instrText>
            </w:r>
            <w:r w:rsidRPr="004C7410">
              <w:fldChar w:fldCharType="separate"/>
            </w:r>
            <w:r w:rsidRPr="004C7410">
              <w:rPr>
                <w:noProof/>
              </w:rPr>
              <w:t>(Kramer &amp; Wohl, 2016)</w:t>
            </w:r>
            <w:r w:rsidRPr="004C7410">
              <w:fldChar w:fldCharType="end"/>
            </w:r>
            <w:r w:rsidRPr="004C7410">
              <w:t>; isolated wood jams may be less stable.</w:t>
            </w:r>
          </w:p>
        </w:tc>
      </w:tr>
      <w:tr w:rsidR="00D54465" w:rsidRPr="004C7410" w14:paraId="437D4305"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5DC700FD" w14:textId="77777777" w:rsidR="00D54465" w:rsidRPr="004C7410" w:rsidRDefault="00D54465" w:rsidP="005E50AB">
            <w:pPr>
              <w:rPr>
                <w:bCs/>
                <w:color w:val="FF0000"/>
              </w:rPr>
            </w:pPr>
            <w:r w:rsidRPr="004C7410">
              <w:rPr>
                <w:bCs/>
                <w:color w:val="FF0000"/>
              </w:rPr>
              <w:t>in side channel?</w:t>
            </w:r>
          </w:p>
        </w:tc>
        <w:tc>
          <w:tcPr>
            <w:tcW w:w="1890" w:type="dxa"/>
            <w:tcBorders>
              <w:top w:val="single" w:sz="4" w:space="0" w:color="auto"/>
              <w:left w:val="single" w:sz="4" w:space="0" w:color="auto"/>
              <w:bottom w:val="single" w:sz="4" w:space="0" w:color="auto"/>
              <w:right w:val="single" w:sz="4" w:space="0" w:color="auto"/>
            </w:tcBorders>
          </w:tcPr>
          <w:p w14:paraId="367DD728" w14:textId="77777777" w:rsidR="00D54465" w:rsidRPr="004C7410" w:rsidRDefault="00D54465" w:rsidP="005E50AB">
            <w:proofErr w:type="spellStart"/>
            <w:r w:rsidRPr="004C7410">
              <w:t>side_channel</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14B3ECEE" w14:textId="77777777" w:rsidR="00D54465" w:rsidRPr="004C7410" w:rsidRDefault="00D54465"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5595204E" w14:textId="77777777" w:rsidR="00D54465" w:rsidRPr="004C7410" w:rsidRDefault="00D54465"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bulk of wood resides in a channel with approximately less than half the cross-sectional area at bankfull flow of the main channel</w:t>
            </w:r>
          </w:p>
        </w:tc>
        <w:tc>
          <w:tcPr>
            <w:tcW w:w="4675" w:type="dxa"/>
            <w:tcBorders>
              <w:top w:val="single" w:sz="4" w:space="0" w:color="auto"/>
              <w:left w:val="single" w:sz="4" w:space="0" w:color="auto"/>
              <w:bottom w:val="single" w:sz="4" w:space="0" w:color="auto"/>
              <w:right w:val="single" w:sz="4" w:space="0" w:color="auto"/>
            </w:tcBorders>
            <w:vAlign w:val="center"/>
          </w:tcPr>
          <w:p w14:paraId="550532DE" w14:textId="5CE94528" w:rsidR="00D54465" w:rsidRPr="004C7410" w:rsidRDefault="00D54465" w:rsidP="00191792">
            <w:pPr>
              <w:rPr>
                <w:rFonts w:ascii="Calibri" w:hAnsi="Calibri" w:cs="Calibri"/>
                <w:color w:val="000000"/>
              </w:rPr>
            </w:pPr>
            <w:r w:rsidRPr="004C7410">
              <w:rPr>
                <w:rFonts w:ascii="Calibri" w:hAnsi="Calibri" w:cs="Calibri"/>
                <w:color w:val="000000"/>
              </w:rPr>
              <w:t>Indicates relative channel transport capacity</w:t>
            </w:r>
          </w:p>
        </w:tc>
      </w:tr>
      <w:tr w:rsidR="00D54465" w:rsidRPr="004C7410" w14:paraId="39FAE12E"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3780DE86" w14:textId="77777777" w:rsidR="00D54465" w:rsidRPr="004C7410" w:rsidRDefault="00D54465" w:rsidP="005E50AB">
            <w:pPr>
              <w:rPr>
                <w:bCs/>
                <w:color w:val="FF0000"/>
              </w:rPr>
            </w:pPr>
            <w:r w:rsidRPr="004C7410">
              <w:rPr>
                <w:bCs/>
                <w:color w:val="FF0000"/>
              </w:rPr>
              <w:t xml:space="preserve">floodplain present? </w:t>
            </w:r>
          </w:p>
        </w:tc>
        <w:tc>
          <w:tcPr>
            <w:tcW w:w="1890" w:type="dxa"/>
            <w:tcBorders>
              <w:top w:val="single" w:sz="4" w:space="0" w:color="auto"/>
              <w:left w:val="single" w:sz="4" w:space="0" w:color="auto"/>
              <w:bottom w:val="single" w:sz="4" w:space="0" w:color="auto"/>
              <w:right w:val="single" w:sz="4" w:space="0" w:color="auto"/>
            </w:tcBorders>
          </w:tcPr>
          <w:p w14:paraId="65E58DFF" w14:textId="77777777" w:rsidR="00D54465" w:rsidRPr="004C7410" w:rsidRDefault="00D54465" w:rsidP="005E50AB">
            <w:proofErr w:type="spellStart"/>
            <w:r w:rsidRPr="004C7410">
              <w:t>fp_present</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32856F3E" w14:textId="77777777" w:rsidR="00D54465" w:rsidRPr="004C7410" w:rsidRDefault="00D54465"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44095DD0" w14:textId="77777777" w:rsidR="00D54465" w:rsidRPr="004C7410" w:rsidRDefault="00D54465"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floodplain surface exists within valley near jam</w:t>
            </w:r>
          </w:p>
        </w:tc>
        <w:tc>
          <w:tcPr>
            <w:tcW w:w="4675" w:type="dxa"/>
            <w:vMerge w:val="restart"/>
            <w:tcBorders>
              <w:top w:val="single" w:sz="4" w:space="0" w:color="auto"/>
              <w:left w:val="single" w:sz="4" w:space="0" w:color="auto"/>
              <w:right w:val="single" w:sz="4" w:space="0" w:color="auto"/>
            </w:tcBorders>
            <w:vAlign w:val="center"/>
          </w:tcPr>
          <w:p w14:paraId="3660C88F" w14:textId="40F15728" w:rsidR="00D54465" w:rsidRPr="004C7410" w:rsidRDefault="00D54465" w:rsidP="00191792">
            <w:pPr>
              <w:rPr>
                <w:rFonts w:ascii="Calibri" w:hAnsi="Calibri" w:cs="Calibri"/>
                <w:color w:val="000000"/>
              </w:rPr>
            </w:pPr>
            <w:r w:rsidRPr="004C7410">
              <w:t xml:space="preserve">Indicates rate of change in transport capacity as flow increases above bankfull </w:t>
            </w:r>
            <w:r w:rsidRPr="004C7410">
              <w:fldChar w:fldCharType="begin" w:fldLock="1"/>
            </w:r>
            <w:r w:rsidRPr="004C7410">
              <w:instrText>ADDIN CSL_CITATION {"citationItems":[{"id":"ITEM-1","itemData":{"DOI":"10.1130/G32105.1","ISBN":"0091-7613","ISSN":"00917613","abstract":"The geomorphic complexity of streams influences the residence time of carbon by creating storage sites for organic matter. Instream wood increases complexity, particularly where logjams initiate multithread channels, as documented previously for lowland alluvial channels. Analogous processes in mountain streams can substantially increase the residence time of organic matter in streams otherwise characterized by high transport capacity and limited storage. Thresholds in wood mobility that reflect valley and channel geometry and wood dimensions determine the distribution of multithread channels and the mechanics underlying these thresholds. Valleys must have a lower gradient and less lateral confinement to develop multithread channels, but also larger volumes of riparian and instream wood. Hydrostatic forces that mobilize jams increase more slowly in low-gradient, unconfined channels, facilitating jam persistence. Treefall can thus initiate complex behavior that results in a self-enhancing feedback between wood recruitment and channel geometry. Patches of old-growth forest and multithread channels were formerly more widespread. Carbon retention has likely decreased as multithread channels have become less common.","author":[{"dropping-particle":"","family":"Wohl","given":"Ellen","non-dropping-particle":"","parse-names":false,"suffix":""}],"container-title":"Geology","id":"ITEM-1","issue":"6","issued":{"date-parts":[["2011"]]},"page":"587-590","title":"Threshold-induced complex behavior of wood in mountain streams","type":"article-journal","volume":"39"},"uris":["http://www.mendeley.com/documents/?uuid=9b6173c9-7d71-4bb5-8b87-6bb8c1d2bdf4"]}],"mendeley":{"formattedCitation":"(Wohl, 2011)","plainTextFormattedCitation":"(Wohl, 2011)","previouslyFormattedCitation":"(Wohl, 2011)"},"properties":{"noteIndex":0},"schema":"https://github.com/citation-style-language/schema/raw/master/csl-citation.json"}</w:instrText>
            </w:r>
            <w:r w:rsidRPr="004C7410">
              <w:fldChar w:fldCharType="separate"/>
            </w:r>
            <w:r w:rsidRPr="004C7410">
              <w:rPr>
                <w:noProof/>
              </w:rPr>
              <w:t>(Wohl, 2011)</w:t>
            </w:r>
            <w:r w:rsidRPr="004C7410">
              <w:fldChar w:fldCharType="end"/>
            </w:r>
          </w:p>
        </w:tc>
      </w:tr>
      <w:tr w:rsidR="00D54465" w:rsidRPr="004C7410" w14:paraId="6A48AF33"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689D6345" w14:textId="77777777" w:rsidR="00D54465" w:rsidRPr="004C7410" w:rsidRDefault="00D54465" w:rsidP="005E50AB">
            <w:pPr>
              <w:rPr>
                <w:bCs/>
                <w:color w:val="FF0000"/>
              </w:rPr>
            </w:pPr>
            <w:r w:rsidRPr="004C7410">
              <w:rPr>
                <w:bCs/>
                <w:color w:val="FF0000"/>
              </w:rPr>
              <w:t xml:space="preserve">confined? </w:t>
            </w:r>
          </w:p>
        </w:tc>
        <w:tc>
          <w:tcPr>
            <w:tcW w:w="1890" w:type="dxa"/>
            <w:tcBorders>
              <w:top w:val="single" w:sz="4" w:space="0" w:color="auto"/>
              <w:left w:val="single" w:sz="4" w:space="0" w:color="auto"/>
              <w:bottom w:val="single" w:sz="4" w:space="0" w:color="auto"/>
              <w:right w:val="single" w:sz="4" w:space="0" w:color="auto"/>
            </w:tcBorders>
          </w:tcPr>
          <w:p w14:paraId="78F64BCB" w14:textId="77777777" w:rsidR="00D54465" w:rsidRPr="004C7410" w:rsidRDefault="00D54465" w:rsidP="005E50AB">
            <w:r w:rsidRPr="004C7410">
              <w:t>confined</w:t>
            </w:r>
          </w:p>
        </w:tc>
        <w:tc>
          <w:tcPr>
            <w:tcW w:w="990" w:type="dxa"/>
            <w:tcBorders>
              <w:top w:val="single" w:sz="4" w:space="0" w:color="auto"/>
              <w:left w:val="single" w:sz="4" w:space="0" w:color="auto"/>
              <w:bottom w:val="single" w:sz="4" w:space="0" w:color="auto"/>
              <w:right w:val="single" w:sz="4" w:space="0" w:color="auto"/>
            </w:tcBorders>
            <w:hideMark/>
          </w:tcPr>
          <w:p w14:paraId="1BC6A302" w14:textId="77777777" w:rsidR="00D54465" w:rsidRPr="004C7410" w:rsidRDefault="00D54465" w:rsidP="005E50AB">
            <w:r w:rsidRPr="004C7410">
              <w:t>y, n</w:t>
            </w:r>
          </w:p>
        </w:tc>
        <w:tc>
          <w:tcPr>
            <w:tcW w:w="4675" w:type="dxa"/>
            <w:tcBorders>
              <w:top w:val="single" w:sz="4" w:space="0" w:color="auto"/>
              <w:left w:val="single" w:sz="4" w:space="0" w:color="auto"/>
              <w:bottom w:val="single" w:sz="4" w:space="0" w:color="auto"/>
              <w:right w:val="single" w:sz="4" w:space="0" w:color="auto"/>
            </w:tcBorders>
          </w:tcPr>
          <w:p w14:paraId="2E684BBC" w14:textId="77777777" w:rsidR="00D54465" w:rsidRPr="004C7410" w:rsidRDefault="00D54465" w:rsidP="005E50AB">
            <w:r w:rsidRPr="004C7410">
              <w:rPr>
                <w:noProof/>
              </w:rPr>
              <w:drawing>
                <wp:anchor distT="0" distB="0" distL="114300" distR="114300" simplePos="0" relativeHeight="251663360" behindDoc="0" locked="0" layoutInCell="1" allowOverlap="1" wp14:anchorId="02CF1B33" wp14:editId="5E5323C8">
                  <wp:simplePos x="0" y="0"/>
                  <wp:positionH relativeFrom="column">
                    <wp:posOffset>2737485</wp:posOffset>
                  </wp:positionH>
                  <wp:positionV relativeFrom="paragraph">
                    <wp:posOffset>80645</wp:posOffset>
                  </wp:positionV>
                  <wp:extent cx="1525905" cy="9048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5905" cy="904875"/>
                          </a:xfrm>
                          <a:prstGeom prst="rect">
                            <a:avLst/>
                          </a:prstGeom>
                          <a:noFill/>
                        </pic:spPr>
                      </pic:pic>
                    </a:graphicData>
                  </a:graphic>
                  <wp14:sizeRelH relativeFrom="margin">
                    <wp14:pctWidth>0</wp14:pctWidth>
                  </wp14:sizeRelH>
                  <wp14:sizeRelV relativeFrom="margin">
                    <wp14:pctHeight>0</wp14:pctHeight>
                  </wp14:sizeRelV>
                </wp:anchor>
              </w:drawing>
            </w:r>
            <w:proofErr w:type="gramStart"/>
            <w:r w:rsidRPr="004C7410">
              <w:t>yes</w:t>
            </w:r>
            <w:proofErr w:type="gramEnd"/>
            <w:r w:rsidRPr="004C7410">
              <w:t xml:space="preserve"> if the wetted width at 2x the bankfull stage is less than 1.5x the bankfull width</w:t>
            </w:r>
          </w:p>
          <w:p w14:paraId="722E3420" w14:textId="77777777" w:rsidR="00D54465" w:rsidRPr="004C7410" w:rsidRDefault="00D54465" w:rsidP="005E50AB"/>
          <w:p w14:paraId="71929EBE" w14:textId="77777777" w:rsidR="00D54465" w:rsidRPr="004C7410" w:rsidRDefault="00D54465" w:rsidP="005E50AB">
            <w:r w:rsidRPr="004C7410">
              <w:rPr>
                <w:noProof/>
              </w:rPr>
              <w:drawing>
                <wp:anchor distT="0" distB="0" distL="114300" distR="114300" simplePos="0" relativeHeight="251664384" behindDoc="0" locked="0" layoutInCell="1" allowOverlap="1" wp14:anchorId="36909F98" wp14:editId="65476AA6">
                  <wp:simplePos x="0" y="0"/>
                  <wp:positionH relativeFrom="column">
                    <wp:posOffset>-65405</wp:posOffset>
                  </wp:positionH>
                  <wp:positionV relativeFrom="paragraph">
                    <wp:posOffset>256540</wp:posOffset>
                  </wp:positionV>
                  <wp:extent cx="2390775" cy="1042035"/>
                  <wp:effectExtent l="0" t="0" r="9525"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90775" cy="1042035"/>
                          </a:xfrm>
                          <a:prstGeom prst="rect">
                            <a:avLst/>
                          </a:prstGeom>
                          <a:noFill/>
                        </pic:spPr>
                      </pic:pic>
                    </a:graphicData>
                  </a:graphic>
                  <wp14:sizeRelH relativeFrom="margin">
                    <wp14:pctWidth>0</wp14:pctWidth>
                  </wp14:sizeRelH>
                  <wp14:sizeRelV relativeFrom="margin">
                    <wp14:pctHeight>0</wp14:pctHeight>
                  </wp14:sizeRelV>
                </wp:anchor>
              </w:drawing>
            </w:r>
          </w:p>
        </w:tc>
        <w:tc>
          <w:tcPr>
            <w:tcW w:w="4675" w:type="dxa"/>
            <w:vMerge/>
            <w:tcBorders>
              <w:left w:val="single" w:sz="4" w:space="0" w:color="auto"/>
              <w:bottom w:val="single" w:sz="4" w:space="0" w:color="auto"/>
              <w:right w:val="single" w:sz="4" w:space="0" w:color="auto"/>
            </w:tcBorders>
            <w:vAlign w:val="center"/>
          </w:tcPr>
          <w:p w14:paraId="20E0C740" w14:textId="77777777" w:rsidR="00D54465" w:rsidRPr="004C7410" w:rsidRDefault="00D54465" w:rsidP="00191792">
            <w:pPr>
              <w:rPr>
                <w:noProof/>
              </w:rPr>
            </w:pPr>
          </w:p>
        </w:tc>
      </w:tr>
      <w:tr w:rsidR="005E50AB" w:rsidRPr="004C7410" w14:paraId="1EFA7A2E"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01762647" w14:textId="77777777" w:rsidR="005E50AB" w:rsidRPr="004C7410" w:rsidRDefault="005E50AB" w:rsidP="005E50AB">
            <w:pPr>
              <w:rPr>
                <w:bCs/>
                <w:color w:val="FF00FF"/>
              </w:rPr>
            </w:pPr>
            <w:r w:rsidRPr="004C7410">
              <w:rPr>
                <w:bCs/>
                <w:color w:val="FF00FF"/>
              </w:rPr>
              <w:t>touches bed?</w:t>
            </w:r>
          </w:p>
        </w:tc>
        <w:tc>
          <w:tcPr>
            <w:tcW w:w="1890" w:type="dxa"/>
            <w:tcBorders>
              <w:top w:val="single" w:sz="4" w:space="0" w:color="auto"/>
              <w:left w:val="single" w:sz="4" w:space="0" w:color="auto"/>
              <w:bottom w:val="single" w:sz="4" w:space="0" w:color="auto"/>
              <w:right w:val="single" w:sz="4" w:space="0" w:color="auto"/>
            </w:tcBorders>
          </w:tcPr>
          <w:p w14:paraId="2CA710BD" w14:textId="77777777" w:rsidR="005E50AB" w:rsidRPr="004C7410" w:rsidRDefault="005E50AB" w:rsidP="005E50AB">
            <w:proofErr w:type="spellStart"/>
            <w:r w:rsidRPr="004C7410">
              <w:t>touch_bed</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2039FD2D"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6BB27682"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key pieces touch channel bed</w:t>
            </w:r>
          </w:p>
        </w:tc>
        <w:tc>
          <w:tcPr>
            <w:tcW w:w="4675" w:type="dxa"/>
            <w:vMerge w:val="restart"/>
            <w:tcBorders>
              <w:top w:val="single" w:sz="4" w:space="0" w:color="auto"/>
              <w:left w:val="single" w:sz="4" w:space="0" w:color="auto"/>
              <w:right w:val="single" w:sz="4" w:space="0" w:color="auto"/>
            </w:tcBorders>
            <w:vAlign w:val="center"/>
          </w:tcPr>
          <w:p w14:paraId="3879428A" w14:textId="639A1BD1" w:rsidR="005E50AB" w:rsidRPr="004C7410" w:rsidRDefault="005E50AB" w:rsidP="00191792">
            <w:pPr>
              <w:rPr>
                <w:rFonts w:ascii="Calibri" w:hAnsi="Calibri" w:cs="Calibri"/>
                <w:color w:val="000000"/>
              </w:rPr>
            </w:pPr>
            <w:r w:rsidRPr="004C7410">
              <w:rPr>
                <w:rFonts w:ascii="Calibri" w:hAnsi="Calibri" w:cs="Calibri"/>
                <w:color w:val="000000"/>
              </w:rPr>
              <w:t xml:space="preserve">Describes jam geometry (Figure 1) and key piece interactions with valley bottom morphology that can influence </w:t>
            </w:r>
            <w:r w:rsidRPr="004C7410">
              <w:t xml:space="preserve">stability </w:t>
            </w:r>
            <w:r w:rsidRPr="004C7410">
              <w:fldChar w:fldCharType="begin" w:fldLock="1"/>
            </w:r>
            <w:r w:rsidRPr="004C7410">
              <w:instrText>ADDIN CSL_CITATION {"citationItems":[{"id":"ITEM-1","itemData":{"DOI":"10.1002/ 2015WR017446","author":[{"dropping-particle":"","family":"Davidson","given":"S. L.","non-dropping-particle":"","parse-names":false,"suffix":""},{"dropping-particle":"","family":"MacKenzie","given":"L. G.","non-dropping-particle":"","parse-names":false,"suffix":""},{"dropping-particle":"","family":"Eaton","given":"B. C.","non-dropping-particle":"","parse-names":false,"suffix":""}],"container-title":"Water Resources Research","id":"ITEM-1","issued":{"date-parts":[["2015"]]},"page":"10065–10077","title":"Large wood transport and jam formation in a series of flume experiments","type":"article-journal","volume":"51"},"uris":["http://www.mendeley.com/documents/?uuid=ec0bb936-c874-47a8-805e-ffc4489a51b0"]}],"mendeley":{"formattedCitation":"(Davidson et al., 2015)","plainTextFormattedCitation":"(Davidson et al., 2015)","previouslyFormattedCitation":"(Davidson et al., 2015)"},"properties":{"noteIndex":0},"schema":"https://github.com/citation-style-language/schema/raw/master/csl-citation.json"}</w:instrText>
            </w:r>
            <w:r w:rsidRPr="004C7410">
              <w:fldChar w:fldCharType="separate"/>
            </w:r>
            <w:r w:rsidRPr="004C7410">
              <w:rPr>
                <w:noProof/>
              </w:rPr>
              <w:t>(Davidson et al., 2015)</w:t>
            </w:r>
            <w:r w:rsidRPr="004C7410">
              <w:fldChar w:fldCharType="end"/>
            </w:r>
          </w:p>
        </w:tc>
      </w:tr>
      <w:tr w:rsidR="005E50AB" w:rsidRPr="004C7410" w14:paraId="2DD2F980"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0A2E0C95" w14:textId="77777777" w:rsidR="005E50AB" w:rsidRPr="004C7410" w:rsidRDefault="005E50AB" w:rsidP="005E50AB">
            <w:pPr>
              <w:rPr>
                <w:bCs/>
                <w:color w:val="FF00FF"/>
              </w:rPr>
            </w:pPr>
            <w:r w:rsidRPr="004C7410">
              <w:rPr>
                <w:bCs/>
                <w:color w:val="FF00FF"/>
              </w:rPr>
              <w:t xml:space="preserve">touches banks? </w:t>
            </w:r>
          </w:p>
        </w:tc>
        <w:tc>
          <w:tcPr>
            <w:tcW w:w="1890" w:type="dxa"/>
            <w:tcBorders>
              <w:top w:val="single" w:sz="4" w:space="0" w:color="auto"/>
              <w:left w:val="single" w:sz="4" w:space="0" w:color="auto"/>
              <w:bottom w:val="single" w:sz="4" w:space="0" w:color="auto"/>
              <w:right w:val="single" w:sz="4" w:space="0" w:color="auto"/>
            </w:tcBorders>
          </w:tcPr>
          <w:p w14:paraId="23A569C0" w14:textId="77777777" w:rsidR="005E50AB" w:rsidRPr="004C7410" w:rsidRDefault="005E50AB" w:rsidP="005E50AB">
            <w:proofErr w:type="spellStart"/>
            <w:r w:rsidRPr="004C7410">
              <w:t>touch_bank</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1BD6B861"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176C1B9C"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key pieces touch channel bank</w:t>
            </w:r>
          </w:p>
        </w:tc>
        <w:tc>
          <w:tcPr>
            <w:tcW w:w="4675" w:type="dxa"/>
            <w:vMerge/>
            <w:tcBorders>
              <w:left w:val="single" w:sz="4" w:space="0" w:color="auto"/>
              <w:right w:val="single" w:sz="4" w:space="0" w:color="auto"/>
            </w:tcBorders>
            <w:vAlign w:val="center"/>
          </w:tcPr>
          <w:p w14:paraId="296BF642" w14:textId="77777777" w:rsidR="005E50AB" w:rsidRPr="004C7410" w:rsidRDefault="005E50AB" w:rsidP="00191792">
            <w:pPr>
              <w:rPr>
                <w:rFonts w:ascii="Calibri" w:hAnsi="Calibri" w:cs="Calibri"/>
                <w:color w:val="000000"/>
              </w:rPr>
            </w:pPr>
          </w:p>
        </w:tc>
      </w:tr>
      <w:tr w:rsidR="005E50AB" w:rsidRPr="004C7410" w14:paraId="7882A8C8"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11BA6DD5" w14:textId="77777777" w:rsidR="005E50AB" w:rsidRPr="004C7410" w:rsidRDefault="005E50AB" w:rsidP="005E50AB">
            <w:pPr>
              <w:rPr>
                <w:bCs/>
                <w:color w:val="FF00FF"/>
              </w:rPr>
            </w:pPr>
            <w:r w:rsidRPr="004C7410">
              <w:rPr>
                <w:bCs/>
                <w:color w:val="FF00FF"/>
              </w:rPr>
              <w:t>touches floodplain surface?</w:t>
            </w:r>
          </w:p>
        </w:tc>
        <w:tc>
          <w:tcPr>
            <w:tcW w:w="1890" w:type="dxa"/>
            <w:tcBorders>
              <w:top w:val="single" w:sz="4" w:space="0" w:color="auto"/>
              <w:left w:val="single" w:sz="4" w:space="0" w:color="auto"/>
              <w:bottom w:val="single" w:sz="4" w:space="0" w:color="auto"/>
              <w:right w:val="single" w:sz="4" w:space="0" w:color="auto"/>
            </w:tcBorders>
          </w:tcPr>
          <w:p w14:paraId="38143F0C" w14:textId="77777777" w:rsidR="005E50AB" w:rsidRPr="004C7410" w:rsidRDefault="005E50AB" w:rsidP="005E50AB">
            <w:proofErr w:type="spellStart"/>
            <w:r w:rsidRPr="004C7410">
              <w:t>touch_fp</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7BC391D0"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18BDCC54"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key pieces of the jam contact floodplain surface (including woody vegetated bar tops in </w:t>
            </w:r>
            <w:proofErr w:type="spellStart"/>
            <w:r w:rsidRPr="004C7410">
              <w:rPr>
                <w:rFonts w:ascii="Calibri" w:hAnsi="Calibri" w:cs="Calibri"/>
                <w:color w:val="000000"/>
              </w:rPr>
              <w:t>anastamosing</w:t>
            </w:r>
            <w:proofErr w:type="spellEnd"/>
            <w:r w:rsidRPr="004C7410">
              <w:rPr>
                <w:rFonts w:ascii="Calibri" w:hAnsi="Calibri" w:cs="Calibri"/>
                <w:color w:val="000000"/>
              </w:rPr>
              <w:t xml:space="preserve"> channels)</w:t>
            </w:r>
          </w:p>
        </w:tc>
        <w:tc>
          <w:tcPr>
            <w:tcW w:w="4675" w:type="dxa"/>
            <w:vMerge/>
            <w:tcBorders>
              <w:left w:val="single" w:sz="4" w:space="0" w:color="auto"/>
              <w:right w:val="single" w:sz="4" w:space="0" w:color="auto"/>
            </w:tcBorders>
            <w:vAlign w:val="center"/>
          </w:tcPr>
          <w:p w14:paraId="44547E6B" w14:textId="77777777" w:rsidR="005E50AB" w:rsidRPr="004C7410" w:rsidRDefault="005E50AB" w:rsidP="00191792">
            <w:pPr>
              <w:rPr>
                <w:rFonts w:ascii="Calibri" w:hAnsi="Calibri" w:cs="Calibri"/>
                <w:color w:val="000000"/>
              </w:rPr>
            </w:pPr>
          </w:p>
        </w:tc>
      </w:tr>
      <w:tr w:rsidR="005E50AB" w:rsidRPr="004C7410" w14:paraId="49ECF98B"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4791FFA9" w14:textId="77777777" w:rsidR="005E50AB" w:rsidRPr="004C7410" w:rsidRDefault="005E50AB" w:rsidP="005E50AB">
            <w:pPr>
              <w:rPr>
                <w:bCs/>
                <w:color w:val="FF00FF"/>
              </w:rPr>
            </w:pPr>
            <w:r w:rsidRPr="004C7410">
              <w:rPr>
                <w:bCs/>
                <w:color w:val="FF00FF"/>
              </w:rPr>
              <w:t>touches valley wall?</w:t>
            </w:r>
          </w:p>
        </w:tc>
        <w:tc>
          <w:tcPr>
            <w:tcW w:w="1890" w:type="dxa"/>
            <w:tcBorders>
              <w:top w:val="single" w:sz="4" w:space="0" w:color="auto"/>
              <w:left w:val="single" w:sz="4" w:space="0" w:color="auto"/>
              <w:bottom w:val="single" w:sz="4" w:space="0" w:color="auto"/>
              <w:right w:val="single" w:sz="4" w:space="0" w:color="auto"/>
            </w:tcBorders>
          </w:tcPr>
          <w:p w14:paraId="4709CBBD" w14:textId="77777777" w:rsidR="005E50AB" w:rsidRPr="004C7410" w:rsidRDefault="005E50AB" w:rsidP="005E50AB">
            <w:proofErr w:type="spellStart"/>
            <w:r w:rsidRPr="004C7410">
              <w:t>touch_valley_wall</w:t>
            </w:r>
            <w:proofErr w:type="spellEnd"/>
          </w:p>
        </w:tc>
        <w:tc>
          <w:tcPr>
            <w:tcW w:w="990" w:type="dxa"/>
            <w:tcBorders>
              <w:top w:val="single" w:sz="4" w:space="0" w:color="auto"/>
              <w:left w:val="single" w:sz="4" w:space="0" w:color="auto"/>
              <w:bottom w:val="single" w:sz="4" w:space="0" w:color="auto"/>
              <w:right w:val="single" w:sz="4" w:space="0" w:color="auto"/>
            </w:tcBorders>
          </w:tcPr>
          <w:p w14:paraId="5DD9E73A"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tcPr>
          <w:p w14:paraId="0B88868C"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key pieces of the jam contact valley wall surface (including terraces and objects fixed to valley wall like trees, stumps, infrastructure, etc.)</w:t>
            </w:r>
          </w:p>
        </w:tc>
        <w:tc>
          <w:tcPr>
            <w:tcW w:w="4675" w:type="dxa"/>
            <w:vMerge/>
            <w:tcBorders>
              <w:left w:val="single" w:sz="4" w:space="0" w:color="auto"/>
              <w:right w:val="single" w:sz="4" w:space="0" w:color="auto"/>
            </w:tcBorders>
            <w:vAlign w:val="center"/>
          </w:tcPr>
          <w:p w14:paraId="0F9E609C" w14:textId="77777777" w:rsidR="005E50AB" w:rsidRPr="004C7410" w:rsidRDefault="005E50AB" w:rsidP="00191792">
            <w:pPr>
              <w:rPr>
                <w:rFonts w:ascii="Calibri" w:hAnsi="Calibri" w:cs="Calibri"/>
                <w:color w:val="000000"/>
              </w:rPr>
            </w:pPr>
          </w:p>
        </w:tc>
      </w:tr>
      <w:tr w:rsidR="005E50AB" w:rsidRPr="004C7410" w14:paraId="27E9CB14"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232E1E2B" w14:textId="77777777" w:rsidR="005E50AB" w:rsidRPr="004C7410" w:rsidRDefault="005E50AB" w:rsidP="005E50AB">
            <w:pPr>
              <w:rPr>
                <w:bCs/>
                <w:color w:val="FF00FF"/>
              </w:rPr>
            </w:pPr>
            <w:r w:rsidRPr="004C7410">
              <w:rPr>
                <w:bCs/>
                <w:color w:val="FF00FF"/>
              </w:rPr>
              <w:lastRenderedPageBreak/>
              <w:t>touches outer bend?</w:t>
            </w:r>
          </w:p>
        </w:tc>
        <w:tc>
          <w:tcPr>
            <w:tcW w:w="1890" w:type="dxa"/>
            <w:tcBorders>
              <w:top w:val="single" w:sz="4" w:space="0" w:color="auto"/>
              <w:left w:val="single" w:sz="4" w:space="0" w:color="auto"/>
              <w:bottom w:val="single" w:sz="4" w:space="0" w:color="auto"/>
              <w:right w:val="single" w:sz="4" w:space="0" w:color="auto"/>
            </w:tcBorders>
          </w:tcPr>
          <w:p w14:paraId="3B4814D7" w14:textId="77777777" w:rsidR="005E50AB" w:rsidRPr="004C7410" w:rsidRDefault="005E50AB" w:rsidP="005E50AB">
            <w:proofErr w:type="spellStart"/>
            <w:r w:rsidRPr="004C7410">
              <w:t>touch_outer</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57543EF1"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55FF7E4A" w14:textId="77777777" w:rsidR="005E50AB" w:rsidRPr="004C7410" w:rsidRDefault="005E50AB" w:rsidP="005E50AB">
            <w:proofErr w:type="gramStart"/>
            <w:r w:rsidRPr="004C7410">
              <w:t>yes</w:t>
            </w:r>
            <w:proofErr w:type="gramEnd"/>
            <w:r w:rsidRPr="004C7410">
              <w:t xml:space="preserve"> if any key pieces of the jam contact the outer bend of the channel. If no outer bend exists (e.g., straight channel) this must be no.</w:t>
            </w:r>
          </w:p>
        </w:tc>
        <w:tc>
          <w:tcPr>
            <w:tcW w:w="4675" w:type="dxa"/>
            <w:vMerge/>
            <w:tcBorders>
              <w:left w:val="single" w:sz="4" w:space="0" w:color="auto"/>
              <w:right w:val="single" w:sz="4" w:space="0" w:color="auto"/>
            </w:tcBorders>
            <w:vAlign w:val="center"/>
          </w:tcPr>
          <w:p w14:paraId="459CB573" w14:textId="77777777" w:rsidR="005E50AB" w:rsidRPr="004C7410" w:rsidRDefault="005E50AB" w:rsidP="00191792"/>
        </w:tc>
      </w:tr>
      <w:tr w:rsidR="005E50AB" w:rsidRPr="004C7410" w14:paraId="6DA3C5E3"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4F2090FC" w14:textId="77777777" w:rsidR="005E50AB" w:rsidRPr="004C7410" w:rsidRDefault="005E50AB" w:rsidP="005E50AB">
            <w:pPr>
              <w:rPr>
                <w:bCs/>
                <w:color w:val="FF00FF"/>
              </w:rPr>
            </w:pPr>
            <w:r w:rsidRPr="004C7410">
              <w:rPr>
                <w:bCs/>
                <w:color w:val="FF00FF"/>
              </w:rPr>
              <w:t>touches inner bend?</w:t>
            </w:r>
          </w:p>
        </w:tc>
        <w:tc>
          <w:tcPr>
            <w:tcW w:w="1890" w:type="dxa"/>
            <w:tcBorders>
              <w:top w:val="single" w:sz="4" w:space="0" w:color="auto"/>
              <w:left w:val="single" w:sz="4" w:space="0" w:color="auto"/>
              <w:bottom w:val="single" w:sz="4" w:space="0" w:color="auto"/>
              <w:right w:val="single" w:sz="4" w:space="0" w:color="auto"/>
            </w:tcBorders>
          </w:tcPr>
          <w:p w14:paraId="2F6701C5" w14:textId="77777777" w:rsidR="005E50AB" w:rsidRPr="004C7410" w:rsidRDefault="005E50AB" w:rsidP="005E50AB">
            <w:proofErr w:type="spellStart"/>
            <w:r w:rsidRPr="004C7410">
              <w:t>touch_inner</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1DBB9D76"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419488DD" w14:textId="260DA80A" w:rsidR="005E50AB" w:rsidRPr="004C7410" w:rsidRDefault="005E50AB" w:rsidP="005E50AB">
            <w:proofErr w:type="gramStart"/>
            <w:r w:rsidRPr="004C7410">
              <w:t>yes</w:t>
            </w:r>
            <w:proofErr w:type="gramEnd"/>
            <w:r w:rsidRPr="004C7410">
              <w:t xml:space="preserve"> if any key pieces of the jam contact the inner bend of the channel. If no inner bend exists</w:t>
            </w:r>
            <w:r w:rsidR="00D826E1" w:rsidRPr="004C7410">
              <w:t xml:space="preserve">, </w:t>
            </w:r>
            <w:r w:rsidRPr="004C7410">
              <w:t>this must be no.</w:t>
            </w:r>
          </w:p>
        </w:tc>
        <w:tc>
          <w:tcPr>
            <w:tcW w:w="4675" w:type="dxa"/>
            <w:vMerge/>
            <w:tcBorders>
              <w:left w:val="single" w:sz="4" w:space="0" w:color="auto"/>
              <w:right w:val="single" w:sz="4" w:space="0" w:color="auto"/>
            </w:tcBorders>
            <w:vAlign w:val="center"/>
          </w:tcPr>
          <w:p w14:paraId="7A536DAF" w14:textId="77777777" w:rsidR="005E50AB" w:rsidRPr="004C7410" w:rsidRDefault="005E50AB" w:rsidP="00191792"/>
        </w:tc>
      </w:tr>
      <w:tr w:rsidR="005E50AB" w:rsidRPr="004C7410" w14:paraId="0B1A2153" w14:textId="77777777" w:rsidTr="00191792">
        <w:trPr>
          <w:trHeight w:val="305"/>
        </w:trPr>
        <w:tc>
          <w:tcPr>
            <w:tcW w:w="1890" w:type="dxa"/>
            <w:tcBorders>
              <w:top w:val="single" w:sz="4" w:space="0" w:color="auto"/>
              <w:left w:val="single" w:sz="4" w:space="0" w:color="auto"/>
              <w:bottom w:val="single" w:sz="4" w:space="0" w:color="auto"/>
              <w:right w:val="single" w:sz="4" w:space="0" w:color="auto"/>
            </w:tcBorders>
            <w:noWrap/>
            <w:hideMark/>
          </w:tcPr>
          <w:p w14:paraId="3EEB8449" w14:textId="77777777" w:rsidR="005E50AB" w:rsidRPr="004C7410" w:rsidRDefault="005E50AB" w:rsidP="005E50AB">
            <w:pPr>
              <w:rPr>
                <w:bCs/>
                <w:color w:val="FF00FF"/>
              </w:rPr>
            </w:pPr>
            <w:r w:rsidRPr="004C7410">
              <w:rPr>
                <w:bCs/>
                <w:color w:val="FF00FF"/>
              </w:rPr>
              <w:t>occupies thalweg?</w:t>
            </w:r>
          </w:p>
        </w:tc>
        <w:tc>
          <w:tcPr>
            <w:tcW w:w="1890" w:type="dxa"/>
            <w:tcBorders>
              <w:top w:val="single" w:sz="4" w:space="0" w:color="auto"/>
              <w:left w:val="single" w:sz="4" w:space="0" w:color="auto"/>
              <w:bottom w:val="single" w:sz="4" w:space="0" w:color="auto"/>
              <w:right w:val="single" w:sz="4" w:space="0" w:color="auto"/>
            </w:tcBorders>
          </w:tcPr>
          <w:p w14:paraId="6C3EB0DE" w14:textId="77777777" w:rsidR="005E50AB" w:rsidRPr="004C7410" w:rsidRDefault="005E50AB" w:rsidP="005E50AB">
            <w:proofErr w:type="spellStart"/>
            <w:r w:rsidRPr="004C7410">
              <w:t>occ_thal</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3C14385F"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6EC37AF0" w14:textId="77777777" w:rsidR="005E50AB" w:rsidRPr="004C7410" w:rsidRDefault="005E50AB" w:rsidP="005E50AB">
            <w:proofErr w:type="gramStart"/>
            <w:r w:rsidRPr="004C7410">
              <w:t>yes</w:t>
            </w:r>
            <w:proofErr w:type="gramEnd"/>
            <w:r w:rsidRPr="004C7410">
              <w:t xml:space="preserve"> if any key pieces are in or above the thalweg.</w:t>
            </w:r>
          </w:p>
        </w:tc>
        <w:tc>
          <w:tcPr>
            <w:tcW w:w="4675" w:type="dxa"/>
            <w:vMerge/>
            <w:tcBorders>
              <w:left w:val="single" w:sz="4" w:space="0" w:color="auto"/>
              <w:right w:val="single" w:sz="4" w:space="0" w:color="auto"/>
            </w:tcBorders>
            <w:vAlign w:val="center"/>
          </w:tcPr>
          <w:p w14:paraId="5C502EA4" w14:textId="77777777" w:rsidR="005E50AB" w:rsidRPr="004C7410" w:rsidRDefault="005E50AB" w:rsidP="00191792"/>
        </w:tc>
      </w:tr>
      <w:tr w:rsidR="005E50AB" w:rsidRPr="004C7410" w14:paraId="3279695F"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047D152B" w14:textId="77777777" w:rsidR="005E50AB" w:rsidRPr="004C7410" w:rsidRDefault="005E50AB" w:rsidP="005E50AB">
            <w:pPr>
              <w:rPr>
                <w:bCs/>
                <w:color w:val="FF00FF"/>
              </w:rPr>
            </w:pPr>
            <w:r w:rsidRPr="004C7410">
              <w:rPr>
                <w:bCs/>
                <w:color w:val="FF00FF"/>
              </w:rPr>
              <w:t>channel spanning?</w:t>
            </w:r>
          </w:p>
        </w:tc>
        <w:tc>
          <w:tcPr>
            <w:tcW w:w="1890" w:type="dxa"/>
            <w:tcBorders>
              <w:top w:val="single" w:sz="4" w:space="0" w:color="auto"/>
              <w:left w:val="single" w:sz="4" w:space="0" w:color="auto"/>
              <w:bottom w:val="single" w:sz="4" w:space="0" w:color="auto"/>
              <w:right w:val="single" w:sz="4" w:space="0" w:color="auto"/>
            </w:tcBorders>
          </w:tcPr>
          <w:p w14:paraId="4DA1C5F2" w14:textId="77777777" w:rsidR="005E50AB" w:rsidRPr="004C7410" w:rsidRDefault="005E50AB" w:rsidP="005E50AB">
            <w:proofErr w:type="spellStart"/>
            <w:r w:rsidRPr="004C7410">
              <w:t>chan_span</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5233BF03"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2633B7B9"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key pieces or a combination of multiple key pieces together touch both channel banks</w:t>
            </w:r>
          </w:p>
        </w:tc>
        <w:tc>
          <w:tcPr>
            <w:tcW w:w="4675" w:type="dxa"/>
            <w:vMerge/>
            <w:tcBorders>
              <w:left w:val="single" w:sz="4" w:space="0" w:color="auto"/>
              <w:right w:val="single" w:sz="4" w:space="0" w:color="auto"/>
            </w:tcBorders>
            <w:vAlign w:val="center"/>
          </w:tcPr>
          <w:p w14:paraId="291C01AF" w14:textId="77777777" w:rsidR="005E50AB" w:rsidRPr="004C7410" w:rsidRDefault="005E50AB" w:rsidP="00191792">
            <w:pPr>
              <w:rPr>
                <w:rFonts w:ascii="Calibri" w:hAnsi="Calibri" w:cs="Calibri"/>
                <w:color w:val="000000"/>
              </w:rPr>
            </w:pPr>
          </w:p>
        </w:tc>
      </w:tr>
      <w:tr w:rsidR="005E50AB" w:rsidRPr="004C7410" w14:paraId="0A170A17"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042AEC82" w14:textId="269D5660" w:rsidR="005E50AB" w:rsidRPr="004C7410" w:rsidRDefault="005E50AB" w:rsidP="005E50AB">
            <w:pPr>
              <w:rPr>
                <w:bCs/>
                <w:color w:val="FF00FF"/>
              </w:rPr>
            </w:pPr>
            <w:r w:rsidRPr="004C7410">
              <w:rPr>
                <w:bCs/>
                <w:color w:val="FF00FF"/>
              </w:rPr>
              <w:t>parallel orientation?</w:t>
            </w:r>
          </w:p>
        </w:tc>
        <w:tc>
          <w:tcPr>
            <w:tcW w:w="1890" w:type="dxa"/>
            <w:tcBorders>
              <w:top w:val="single" w:sz="4" w:space="0" w:color="auto"/>
              <w:left w:val="single" w:sz="4" w:space="0" w:color="auto"/>
              <w:bottom w:val="single" w:sz="4" w:space="0" w:color="auto"/>
              <w:right w:val="single" w:sz="4" w:space="0" w:color="auto"/>
            </w:tcBorders>
          </w:tcPr>
          <w:p w14:paraId="7DBFDF3C" w14:textId="7D077611" w:rsidR="005E50AB" w:rsidRPr="004C7410" w:rsidRDefault="005E50AB" w:rsidP="005E50AB">
            <w:proofErr w:type="spellStart"/>
            <w:r w:rsidRPr="004C7410">
              <w:t>parallel_to_flow</w:t>
            </w:r>
            <w:proofErr w:type="spellEnd"/>
          </w:p>
        </w:tc>
        <w:tc>
          <w:tcPr>
            <w:tcW w:w="990" w:type="dxa"/>
            <w:tcBorders>
              <w:top w:val="single" w:sz="4" w:space="0" w:color="auto"/>
              <w:left w:val="single" w:sz="4" w:space="0" w:color="auto"/>
              <w:bottom w:val="single" w:sz="4" w:space="0" w:color="auto"/>
              <w:right w:val="single" w:sz="4" w:space="0" w:color="auto"/>
            </w:tcBorders>
          </w:tcPr>
          <w:p w14:paraId="44E400D9" w14:textId="2249582C"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tcPr>
          <w:p w14:paraId="72C85C55" w14:textId="2C043001" w:rsidR="005E50AB" w:rsidRPr="004C7410" w:rsidRDefault="005E50AB" w:rsidP="005E50AB">
            <w:proofErr w:type="gramStart"/>
            <w:r w:rsidRPr="004C7410">
              <w:t>yes</w:t>
            </w:r>
            <w:proofErr w:type="gramEnd"/>
            <w:r w:rsidRPr="004C7410">
              <w:t xml:space="preserve"> if the bulk of the jam</w:t>
            </w:r>
            <w:r w:rsidR="00D826E1" w:rsidRPr="004C7410">
              <w:t xml:space="preserve"> is</w:t>
            </w:r>
            <w:r w:rsidRPr="004C7410">
              <w:t xml:space="preserve"> longer (parallel to flow) than it is wide (perpendicular to flow)</w:t>
            </w:r>
          </w:p>
          <w:p w14:paraId="7A016F01" w14:textId="77777777" w:rsidR="005E50AB" w:rsidRPr="004C7410" w:rsidRDefault="005E50AB" w:rsidP="005E50AB">
            <w:pPr>
              <w:rPr>
                <w:rFonts w:ascii="Calibri" w:hAnsi="Calibri" w:cs="Calibri"/>
                <w:color w:val="000000"/>
              </w:rPr>
            </w:pPr>
          </w:p>
        </w:tc>
        <w:tc>
          <w:tcPr>
            <w:tcW w:w="4675" w:type="dxa"/>
            <w:vMerge/>
            <w:tcBorders>
              <w:left w:val="single" w:sz="4" w:space="0" w:color="auto"/>
              <w:bottom w:val="single" w:sz="4" w:space="0" w:color="auto"/>
              <w:right w:val="single" w:sz="4" w:space="0" w:color="auto"/>
            </w:tcBorders>
            <w:vAlign w:val="center"/>
          </w:tcPr>
          <w:p w14:paraId="240C61F7" w14:textId="77777777" w:rsidR="005E50AB" w:rsidRPr="004C7410" w:rsidRDefault="005E50AB" w:rsidP="00191792">
            <w:pPr>
              <w:rPr>
                <w:rFonts w:ascii="Calibri" w:hAnsi="Calibri" w:cs="Calibri"/>
                <w:color w:val="000000"/>
              </w:rPr>
            </w:pPr>
          </w:p>
        </w:tc>
      </w:tr>
      <w:tr w:rsidR="005E50AB" w:rsidRPr="004C7410" w14:paraId="75C4E45A"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76CC3055" w14:textId="77777777" w:rsidR="005E50AB" w:rsidRPr="004C7410" w:rsidRDefault="005E50AB" w:rsidP="005E50AB">
            <w:pPr>
              <w:rPr>
                <w:bCs/>
                <w:color w:val="FF00FF"/>
              </w:rPr>
            </w:pPr>
            <w:r w:rsidRPr="004C7410">
              <w:rPr>
                <w:bCs/>
                <w:color w:val="FF00FF"/>
              </w:rPr>
              <w:t>key pieces &gt;15 degrees?</w:t>
            </w:r>
          </w:p>
        </w:tc>
        <w:tc>
          <w:tcPr>
            <w:tcW w:w="1890" w:type="dxa"/>
            <w:tcBorders>
              <w:top w:val="single" w:sz="4" w:space="0" w:color="auto"/>
              <w:left w:val="single" w:sz="4" w:space="0" w:color="auto"/>
              <w:bottom w:val="single" w:sz="4" w:space="0" w:color="auto"/>
              <w:right w:val="single" w:sz="4" w:space="0" w:color="auto"/>
            </w:tcBorders>
          </w:tcPr>
          <w:p w14:paraId="12673062" w14:textId="77777777" w:rsidR="005E50AB" w:rsidRPr="004C7410" w:rsidRDefault="005E50AB" w:rsidP="005E50AB">
            <w:r w:rsidRPr="004C7410">
              <w:t>key_over_15_deg</w:t>
            </w:r>
          </w:p>
        </w:tc>
        <w:tc>
          <w:tcPr>
            <w:tcW w:w="990" w:type="dxa"/>
            <w:tcBorders>
              <w:top w:val="single" w:sz="4" w:space="0" w:color="auto"/>
              <w:left w:val="single" w:sz="4" w:space="0" w:color="auto"/>
              <w:bottom w:val="single" w:sz="4" w:space="0" w:color="auto"/>
              <w:right w:val="single" w:sz="4" w:space="0" w:color="auto"/>
            </w:tcBorders>
            <w:hideMark/>
          </w:tcPr>
          <w:p w14:paraId="1BB7CAB0"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tcPr>
          <w:p w14:paraId="74E7866B" w14:textId="77777777" w:rsidR="005E50AB" w:rsidRPr="004C7410" w:rsidRDefault="005E50AB" w:rsidP="005E50AB">
            <w:proofErr w:type="gramStart"/>
            <w:r w:rsidRPr="004C7410">
              <w:t>yes</w:t>
            </w:r>
            <w:proofErr w:type="gramEnd"/>
            <w:r w:rsidRPr="004C7410">
              <w:t xml:space="preserve"> if any key pieces are at an angle over ~15 degrees relative to horizontal</w:t>
            </w:r>
          </w:p>
        </w:tc>
        <w:tc>
          <w:tcPr>
            <w:tcW w:w="4675" w:type="dxa"/>
            <w:tcBorders>
              <w:top w:val="single" w:sz="4" w:space="0" w:color="auto"/>
              <w:left w:val="single" w:sz="4" w:space="0" w:color="auto"/>
              <w:bottom w:val="single" w:sz="4" w:space="0" w:color="auto"/>
              <w:right w:val="single" w:sz="4" w:space="0" w:color="auto"/>
            </w:tcBorders>
            <w:vAlign w:val="center"/>
          </w:tcPr>
          <w:p w14:paraId="711CB7D2" w14:textId="5C662EDD" w:rsidR="005E50AB" w:rsidRPr="004C7410" w:rsidRDefault="005E50AB" w:rsidP="00191792">
            <w:r w:rsidRPr="004C7410">
              <w:t>Provides a threshold estimate of the rate of key pieces submergence (and buoying) during high flows</w:t>
            </w:r>
          </w:p>
        </w:tc>
      </w:tr>
      <w:tr w:rsidR="005E50AB" w:rsidRPr="004C7410" w14:paraId="0E7F5205"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25516087" w14:textId="77777777" w:rsidR="005E50AB" w:rsidRPr="004C7410" w:rsidRDefault="005E50AB" w:rsidP="005E50AB">
            <w:pPr>
              <w:rPr>
                <w:bCs/>
                <w:color w:val="385623" w:themeColor="accent6" w:themeShade="80"/>
              </w:rPr>
            </w:pPr>
            <w:r w:rsidRPr="004C7410">
              <w:rPr>
                <w:bCs/>
                <w:color w:val="385623" w:themeColor="accent6" w:themeShade="80"/>
              </w:rPr>
              <w:t>obstruction index (1-3)</w:t>
            </w:r>
          </w:p>
        </w:tc>
        <w:tc>
          <w:tcPr>
            <w:tcW w:w="1890" w:type="dxa"/>
            <w:tcBorders>
              <w:top w:val="single" w:sz="4" w:space="0" w:color="auto"/>
              <w:left w:val="single" w:sz="4" w:space="0" w:color="auto"/>
              <w:bottom w:val="single" w:sz="4" w:space="0" w:color="auto"/>
              <w:right w:val="single" w:sz="4" w:space="0" w:color="auto"/>
            </w:tcBorders>
          </w:tcPr>
          <w:p w14:paraId="3DF0EF0A" w14:textId="77777777" w:rsidR="005E50AB" w:rsidRPr="004C7410" w:rsidRDefault="005E50AB" w:rsidP="005E50AB">
            <w:proofErr w:type="spellStart"/>
            <w:r w:rsidRPr="004C7410">
              <w:t>obstruct_index</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5F0F1DDC" w14:textId="77777777" w:rsidR="005E50AB" w:rsidRPr="004C7410" w:rsidRDefault="005E50AB" w:rsidP="005E50AB">
            <w:r w:rsidRPr="004C7410">
              <w:t>1-3</w:t>
            </w:r>
          </w:p>
        </w:tc>
        <w:tc>
          <w:tcPr>
            <w:tcW w:w="4675" w:type="dxa"/>
            <w:tcBorders>
              <w:top w:val="single" w:sz="4" w:space="0" w:color="auto"/>
              <w:left w:val="single" w:sz="4" w:space="0" w:color="auto"/>
              <w:bottom w:val="single" w:sz="4" w:space="0" w:color="auto"/>
              <w:right w:val="single" w:sz="4" w:space="0" w:color="auto"/>
            </w:tcBorders>
            <w:hideMark/>
          </w:tcPr>
          <w:p w14:paraId="61F968D8" w14:textId="77777777" w:rsidR="005E50AB" w:rsidRPr="004C7410" w:rsidRDefault="005E50AB" w:rsidP="005E50AB">
            <w:pPr>
              <w:rPr>
                <w:rFonts w:ascii="Calibri" w:hAnsi="Calibri" w:cs="Calibri"/>
                <w:color w:val="000000"/>
              </w:rPr>
            </w:pPr>
            <w:r w:rsidRPr="004C7410">
              <w:rPr>
                <w:rFonts w:ascii="Calibri" w:hAnsi="Calibri" w:cs="Calibri"/>
                <w:b/>
                <w:bCs/>
                <w:color w:val="000000"/>
              </w:rPr>
              <w:t xml:space="preserve">3: </w:t>
            </w:r>
            <w:r w:rsidRPr="004C7410">
              <w:rPr>
                <w:rFonts w:ascii="Calibri" w:hAnsi="Calibri" w:cs="Calibri"/>
                <w:color w:val="000000"/>
              </w:rPr>
              <w:t xml:space="preserve">Can't see light coming through most of the jam. Creates backwater and flow through jam is heavily obstructed. Estimated porosity &lt;25%. </w:t>
            </w:r>
            <w:r w:rsidRPr="004C7410">
              <w:rPr>
                <w:rFonts w:ascii="Calibri" w:hAnsi="Calibri" w:cs="Calibri"/>
                <w:b/>
                <w:bCs/>
                <w:color w:val="000000"/>
              </w:rPr>
              <w:t>2:</w:t>
            </w:r>
            <w:r w:rsidRPr="004C7410">
              <w:rPr>
                <w:rFonts w:ascii="Calibri" w:hAnsi="Calibri" w:cs="Calibri"/>
                <w:color w:val="000000"/>
              </w:rPr>
              <w:t xml:space="preserve"> Can see light coming through the jam, but you may not be able to see through the jam in all spots. Flow likely interacts with wood but still flows through. Noticeable change in water surface elevation from upstream to downstream side of jam. Estimated porosity 25-75%. </w:t>
            </w:r>
            <w:r w:rsidRPr="004C7410">
              <w:rPr>
                <w:rFonts w:ascii="Calibri" w:hAnsi="Calibri" w:cs="Calibri"/>
                <w:b/>
                <w:bCs/>
                <w:color w:val="000000"/>
              </w:rPr>
              <w:t>1:</w:t>
            </w:r>
            <w:r w:rsidRPr="004C7410">
              <w:rPr>
                <w:rFonts w:ascii="Calibri" w:hAnsi="Calibri" w:cs="Calibri"/>
                <w:color w:val="000000"/>
              </w:rPr>
              <w:t xml:space="preserve"> Can see through most parts of the jam. Water flows freely (or would flow freely at high flow) through jam. Large voids. Estimated porosity &gt;75%.</w:t>
            </w:r>
          </w:p>
          <w:p w14:paraId="38382433" w14:textId="77777777" w:rsidR="005E50AB" w:rsidRPr="004C7410" w:rsidRDefault="005E50AB" w:rsidP="005E50AB">
            <w:pPr>
              <w:rPr>
                <w:rFonts w:ascii="Calibri" w:hAnsi="Calibri" w:cs="Calibri"/>
                <w:color w:val="000000"/>
              </w:rPr>
            </w:pPr>
            <w:r w:rsidRPr="004C7410">
              <w:rPr>
                <w:rFonts w:ascii="Calibri" w:hAnsi="Calibri" w:cs="Calibri"/>
                <w:noProof/>
                <w:color w:val="000000"/>
              </w:rPr>
              <w:lastRenderedPageBreak/>
              <w:drawing>
                <wp:inline distT="0" distB="0" distL="0" distR="0" wp14:anchorId="7FD359BD" wp14:editId="6A269607">
                  <wp:extent cx="2743200" cy="2426886"/>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97589" cy="2475004"/>
                          </a:xfrm>
                          <a:prstGeom prst="rect">
                            <a:avLst/>
                          </a:prstGeom>
                          <a:noFill/>
                        </pic:spPr>
                      </pic:pic>
                    </a:graphicData>
                  </a:graphic>
                </wp:inline>
              </w:drawing>
            </w:r>
          </w:p>
          <w:p w14:paraId="5CD18A6C" w14:textId="77777777" w:rsidR="005E50AB" w:rsidRPr="004C7410" w:rsidRDefault="005E50AB" w:rsidP="005E50AB">
            <w:pPr>
              <w:rPr>
                <w:rFonts w:ascii="Calibri" w:hAnsi="Calibri" w:cs="Calibri"/>
                <w:color w:val="000000"/>
              </w:rPr>
            </w:pPr>
          </w:p>
          <w:p w14:paraId="6DB83F87" w14:textId="77777777" w:rsidR="005E50AB" w:rsidRPr="004C7410" w:rsidRDefault="005E50AB" w:rsidP="005E50AB">
            <w:pPr>
              <w:rPr>
                <w:rFonts w:ascii="Calibri" w:hAnsi="Calibri" w:cs="Calibri"/>
                <w:color w:val="000000"/>
              </w:rPr>
            </w:pPr>
          </w:p>
        </w:tc>
        <w:tc>
          <w:tcPr>
            <w:tcW w:w="4675" w:type="dxa"/>
            <w:tcBorders>
              <w:top w:val="single" w:sz="4" w:space="0" w:color="auto"/>
              <w:left w:val="single" w:sz="4" w:space="0" w:color="auto"/>
              <w:bottom w:val="single" w:sz="4" w:space="0" w:color="auto"/>
              <w:right w:val="single" w:sz="4" w:space="0" w:color="auto"/>
            </w:tcBorders>
            <w:vAlign w:val="center"/>
          </w:tcPr>
          <w:p w14:paraId="506A0644" w14:textId="56692354" w:rsidR="005E50AB" w:rsidRPr="004C7410" w:rsidRDefault="005E50AB" w:rsidP="00191792">
            <w:pPr>
              <w:rPr>
                <w:rFonts w:ascii="Calibri" w:hAnsi="Calibri" w:cs="Calibri"/>
                <w:bCs/>
                <w:color w:val="000000"/>
              </w:rPr>
            </w:pPr>
            <w:r w:rsidRPr="004C7410">
              <w:rPr>
                <w:rFonts w:ascii="Calibri" w:hAnsi="Calibri" w:cs="Calibri"/>
                <w:bCs/>
                <w:color w:val="000000"/>
              </w:rPr>
              <w:lastRenderedPageBreak/>
              <w:t>As an alternative to visual estimates of porosity (see section 3.1), describes porosity and drag force experienced by jam during high flow</w:t>
            </w:r>
          </w:p>
        </w:tc>
      </w:tr>
      <w:tr w:rsidR="005E50AB" w:rsidRPr="004C7410" w14:paraId="11AFD785"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457A5232" w14:textId="77777777" w:rsidR="005E50AB" w:rsidRPr="004C7410" w:rsidRDefault="005E50AB" w:rsidP="005E50AB">
            <w:pPr>
              <w:rPr>
                <w:bCs/>
                <w:color w:val="385623" w:themeColor="accent6" w:themeShade="80"/>
              </w:rPr>
            </w:pPr>
            <w:r w:rsidRPr="004C7410">
              <w:rPr>
                <w:bCs/>
                <w:color w:val="385623" w:themeColor="accent6" w:themeShade="80"/>
              </w:rPr>
              <w:t>morphologically impactful?</w:t>
            </w:r>
          </w:p>
        </w:tc>
        <w:tc>
          <w:tcPr>
            <w:tcW w:w="1890" w:type="dxa"/>
            <w:tcBorders>
              <w:top w:val="single" w:sz="4" w:space="0" w:color="auto"/>
              <w:left w:val="single" w:sz="4" w:space="0" w:color="auto"/>
              <w:bottom w:val="single" w:sz="4" w:space="0" w:color="auto"/>
              <w:right w:val="single" w:sz="4" w:space="0" w:color="auto"/>
            </w:tcBorders>
          </w:tcPr>
          <w:p w14:paraId="00B033D7" w14:textId="77777777" w:rsidR="005E50AB" w:rsidRPr="004C7410" w:rsidRDefault="005E50AB" w:rsidP="005E50AB">
            <w:proofErr w:type="spellStart"/>
            <w:r w:rsidRPr="004C7410">
              <w:t>morph_impact</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02C17342"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526F6EA3" w14:textId="77777777" w:rsidR="005E50AB" w:rsidRPr="004C7410" w:rsidRDefault="005E50AB" w:rsidP="005E50AB">
            <w:proofErr w:type="gramStart"/>
            <w:r w:rsidRPr="004C7410">
              <w:t>yes</w:t>
            </w:r>
            <w:proofErr w:type="gramEnd"/>
            <w:r w:rsidRPr="004C7410">
              <w:t xml:space="preserve"> if jam significantly impacted morphology around it (e.g., scour pools, bank erosion, deposited bars, sediment wedges)</w:t>
            </w:r>
          </w:p>
        </w:tc>
        <w:tc>
          <w:tcPr>
            <w:tcW w:w="4675" w:type="dxa"/>
            <w:tcBorders>
              <w:top w:val="single" w:sz="4" w:space="0" w:color="auto"/>
              <w:left w:val="single" w:sz="4" w:space="0" w:color="auto"/>
              <w:bottom w:val="single" w:sz="4" w:space="0" w:color="auto"/>
              <w:right w:val="single" w:sz="4" w:space="0" w:color="auto"/>
            </w:tcBorders>
            <w:vAlign w:val="center"/>
          </w:tcPr>
          <w:p w14:paraId="17F44961" w14:textId="1EF6358C" w:rsidR="005E50AB" w:rsidRPr="004C7410" w:rsidRDefault="005E50AB" w:rsidP="00191792">
            <w:r w:rsidRPr="004C7410">
              <w:t xml:space="preserve">Indicates </w:t>
            </w:r>
            <w:proofErr w:type="gramStart"/>
            <w:r w:rsidRPr="004C7410">
              <w:t>sufficient</w:t>
            </w:r>
            <w:proofErr w:type="gramEnd"/>
            <w:r w:rsidRPr="004C7410">
              <w:t xml:space="preserve"> stability to influence bed material sediment dynamics</w:t>
            </w:r>
          </w:p>
        </w:tc>
      </w:tr>
      <w:tr w:rsidR="005E50AB" w:rsidRPr="004C7410" w14:paraId="025459D4"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21EBD585" w14:textId="77777777" w:rsidR="005E50AB" w:rsidRPr="004C7410" w:rsidRDefault="005E50AB" w:rsidP="005E50AB">
            <w:pPr>
              <w:rPr>
                <w:bCs/>
                <w:color w:val="385623" w:themeColor="accent6" w:themeShade="80"/>
              </w:rPr>
            </w:pPr>
            <w:r w:rsidRPr="004C7410">
              <w:rPr>
                <w:bCs/>
                <w:color w:val="385623" w:themeColor="accent6" w:themeShade="80"/>
              </w:rPr>
              <w:t>buried?</w:t>
            </w:r>
          </w:p>
        </w:tc>
        <w:tc>
          <w:tcPr>
            <w:tcW w:w="1890" w:type="dxa"/>
            <w:tcBorders>
              <w:top w:val="single" w:sz="4" w:space="0" w:color="auto"/>
              <w:left w:val="single" w:sz="4" w:space="0" w:color="auto"/>
              <w:bottom w:val="single" w:sz="4" w:space="0" w:color="auto"/>
              <w:right w:val="single" w:sz="4" w:space="0" w:color="auto"/>
            </w:tcBorders>
          </w:tcPr>
          <w:p w14:paraId="6F6B1EBD" w14:textId="77777777" w:rsidR="005E50AB" w:rsidRPr="004C7410" w:rsidRDefault="005E50AB" w:rsidP="005E50AB">
            <w:r w:rsidRPr="004C7410">
              <w:t>buried</w:t>
            </w:r>
          </w:p>
        </w:tc>
        <w:tc>
          <w:tcPr>
            <w:tcW w:w="990" w:type="dxa"/>
            <w:tcBorders>
              <w:top w:val="single" w:sz="4" w:space="0" w:color="auto"/>
              <w:left w:val="single" w:sz="4" w:space="0" w:color="auto"/>
              <w:bottom w:val="single" w:sz="4" w:space="0" w:color="auto"/>
              <w:right w:val="single" w:sz="4" w:space="0" w:color="auto"/>
            </w:tcBorders>
            <w:hideMark/>
          </w:tcPr>
          <w:p w14:paraId="7B87272D"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0AF6E68E" w14:textId="0B131B9D"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key pieces</w:t>
            </w:r>
            <w:r w:rsidR="00D826E1" w:rsidRPr="004C7410">
              <w:rPr>
                <w:rFonts w:ascii="Calibri" w:hAnsi="Calibri" w:cs="Calibri"/>
                <w:color w:val="000000"/>
              </w:rPr>
              <w:t xml:space="preserve"> are</w:t>
            </w:r>
            <w:r w:rsidRPr="004C7410">
              <w:rPr>
                <w:rFonts w:ascii="Calibri" w:hAnsi="Calibri" w:cs="Calibri"/>
                <w:color w:val="000000"/>
              </w:rPr>
              <w:t xml:space="preserve"> at least partially buried by sediment</w:t>
            </w:r>
          </w:p>
        </w:tc>
        <w:tc>
          <w:tcPr>
            <w:tcW w:w="4675" w:type="dxa"/>
            <w:tcBorders>
              <w:top w:val="single" w:sz="4" w:space="0" w:color="auto"/>
              <w:left w:val="single" w:sz="4" w:space="0" w:color="auto"/>
              <w:bottom w:val="single" w:sz="4" w:space="0" w:color="auto"/>
              <w:right w:val="single" w:sz="4" w:space="0" w:color="auto"/>
            </w:tcBorders>
            <w:vAlign w:val="center"/>
          </w:tcPr>
          <w:p w14:paraId="3CF79D25" w14:textId="08BC524C" w:rsidR="005E50AB" w:rsidRPr="004C7410" w:rsidRDefault="005E50AB" w:rsidP="00191792">
            <w:pPr>
              <w:rPr>
                <w:rFonts w:ascii="Calibri" w:hAnsi="Calibri" w:cs="Calibri"/>
                <w:color w:val="000000"/>
              </w:rPr>
            </w:pPr>
            <w:r w:rsidRPr="004C7410">
              <w:t xml:space="preserve">Buried key pieces are likely more stable than those resting on the bed </w:t>
            </w:r>
            <w:r w:rsidRPr="004C7410">
              <w:fldChar w:fldCharType="begin" w:fldLock="1"/>
            </w:r>
            <w:r w:rsidRPr="004C7410">
              <w:instrText>ADDIN CSL_CITATION {"citationItems":[{"id":"ITEM-1","itemData":{"DOI":"10.1029/2009WR008772","ISBN":"0043-1397","ISSN":"00431397","abstract":"Natural pieces of wood provide a variety of ecosystem functions in streams including habitat, organic matter retention, increased hyporheic exchange and transient storage, and enhanced hydraulic and geomorphic heterogeneity. Wood mobilization is a critical process in determining the residence time of wood. We documented the characteristics and locations of 865 natural wood pieces (&gt;0.05 m in diameter for a portion &gt;1 m in length) in nine streams along the north shore of Lake Superior in Minnesota. We determined the locations of the pieces again after an overbank stormflow event to determine the factors that influenced mobilization of stationary wood pieces in natural streams. Seven of 11 potential predictor variables were identified with multiple logistic regression as significant to mobilization: burial, effective depth, ratio of piece length to effective stream width (length ratio), bracing, rootwad presence, downstream force ratio, and draft ratio. The final model (P &lt; 0.001, r2 = 0.39) indicated that wood mobilization under natural conditions is a complex function of both mechanical factors (burial, length ratio, bracing, rootwad presence, draft ratio) and hydraulic factors (effective depth, downstream force ratio). If stable pieces are a goal for stream management then features such as partial burial, low effective depth, high length relative to channel width, bracing against other objects (e.g., stream banks, trees, rocks, or larger wood pieces), and rootwads are desirable. Using the model equation from this study, stewards of natural resources can better manage in‐stream wood for the benefit of stream ecosystems.","author":[{"dropping-particle":"","family":"Merten","given":"Eric","non-dropping-particle":"","parse-names":false,"suffix":""},{"dropping-particle":"","family":"Finlay","given":"Jacques","non-dropping-particle":"","parse-names":false,"suffix":""},{"dropping-particle":"","family":"Johnson","given":"Lucinda","non-dropping-particle":"","parse-names":false,"suffix":""},{"dropping-particle":"","family":"Newman","given":"Raymond","non-dropping-particle":"","parse-names":false,"suffix":""},{"dropping-particle":"","family":"Stefan","given":"Heinz","non-dropping-particle":"","parse-names":false,"suffix":""},{"dropping-particle":"","family":"Vondracek","given":"Bruce","non-dropping-particle":"","parse-names":false,"suffix":""}],"container-title":"Water Resources Research","id":"ITEM-1","issued":{"date-parts":[["2010"]]},"page":"1-13","title":"Factors influencing wood mobilization in streams","type":"article-journal","volume":"46"},"uris":["http://www.mendeley.com/documents/?uuid=b9b50d33-6f93-486c-86fb-9017cc857a1b"]},{"id":"ITEM-2","itemData":{"ISBN":"0022-1201","ISSN":"00221201","abstract":"Several western states mandate the removal o.f logging debris from streams in order to prevent accumu- lations impassable to anadromous fish. Monitoring a small western Washington stream revealed large changes in chan- nel structure during the first high flow after cleaning. Nearly 60 percent of the monitored pieces of debris moved during this storm, channel cross sections were substan- tially altered by movement of stored sediment, and the number, area, and volume of pools decreased. The degree of channel rearrangement was greater than in a comparable undisturbed stream. Subsequent storms caused much less debris movement and channel change than the first high flow, even though some of the later flows were of greater magnitude. An interim guide to stream cleaning is pre- cribed. physical","author":[{"dropping-particle":"","family":"Bilby","given":"Robert E","non-dropping-particle":"","parse-names":false,"suffix":""}],"container-title":"Journal of Forestry","id":"ITEM-2","issue":"October","issued":{"date-parts":[["1984"]]},"note":"wood removal destabilized a stream, leading to a negative feedback on wood load","page":"609-613","title":"Removal of Woody Debris May Affect Stream Channel Stability","type":"article-journal"},"uris":["http://www.mendeley.com/documents/?uuid=2d45f326-1a0f-4ac6-84ac-fc160504b495"]}],"mendeley":{"formattedCitation":"(Bilby, 1984; E. Merten et al., 2010)","manualFormatting":"(Bilby, 1984; Merten et al., 2010)","plainTextFormattedCitation":"(Bilby, 1984; E. Merten et al., 2010)","previouslyFormattedCitation":"(Bilby, 1984; E. Merten et al., 2010)"},"properties":{"noteIndex":0},"schema":"https://github.com/citation-style-language/schema/raw/master/csl-citation.json"}</w:instrText>
            </w:r>
            <w:r w:rsidRPr="004C7410">
              <w:fldChar w:fldCharType="separate"/>
            </w:r>
            <w:r w:rsidRPr="004C7410">
              <w:rPr>
                <w:noProof/>
              </w:rPr>
              <w:t>(Bilby, 1984; Merten et al., 2010)</w:t>
            </w:r>
            <w:r w:rsidRPr="004C7410">
              <w:fldChar w:fldCharType="end"/>
            </w:r>
          </w:p>
        </w:tc>
      </w:tr>
      <w:tr w:rsidR="005E50AB" w:rsidRPr="004C7410" w14:paraId="61C3E18F"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7906D522" w14:textId="77777777" w:rsidR="005E50AB" w:rsidRPr="004C7410" w:rsidRDefault="005E50AB" w:rsidP="005E50AB">
            <w:pPr>
              <w:rPr>
                <w:bCs/>
                <w:color w:val="385623" w:themeColor="accent6" w:themeShade="80"/>
              </w:rPr>
            </w:pPr>
            <w:r w:rsidRPr="004C7410">
              <w:rPr>
                <w:bCs/>
                <w:color w:val="385623" w:themeColor="accent6" w:themeShade="80"/>
              </w:rPr>
              <w:t>key pieces above bankfull?</w:t>
            </w:r>
          </w:p>
        </w:tc>
        <w:tc>
          <w:tcPr>
            <w:tcW w:w="1890" w:type="dxa"/>
            <w:tcBorders>
              <w:top w:val="single" w:sz="4" w:space="0" w:color="auto"/>
              <w:left w:val="single" w:sz="4" w:space="0" w:color="auto"/>
              <w:bottom w:val="single" w:sz="4" w:space="0" w:color="auto"/>
              <w:right w:val="single" w:sz="4" w:space="0" w:color="auto"/>
            </w:tcBorders>
          </w:tcPr>
          <w:p w14:paraId="162B5F42" w14:textId="77777777" w:rsidR="005E50AB" w:rsidRPr="004C7410" w:rsidRDefault="005E50AB" w:rsidP="005E50AB">
            <w:proofErr w:type="spellStart"/>
            <w:r w:rsidRPr="004C7410">
              <w:t>key_above_bf</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18F232BB"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1E90FBEA" w14:textId="3E0263F0"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key pieces extend above bankfull depth. If jam touches floodplain surface, this must be yes.</w:t>
            </w:r>
          </w:p>
        </w:tc>
        <w:tc>
          <w:tcPr>
            <w:tcW w:w="4675" w:type="dxa"/>
            <w:tcBorders>
              <w:top w:val="single" w:sz="4" w:space="0" w:color="auto"/>
              <w:left w:val="single" w:sz="4" w:space="0" w:color="auto"/>
              <w:bottom w:val="single" w:sz="4" w:space="0" w:color="auto"/>
              <w:right w:val="single" w:sz="4" w:space="0" w:color="auto"/>
            </w:tcBorders>
            <w:vAlign w:val="center"/>
          </w:tcPr>
          <w:p w14:paraId="3B1CFA87" w14:textId="45D3C409" w:rsidR="005E50AB" w:rsidRPr="004C7410" w:rsidRDefault="005E50AB" w:rsidP="00191792">
            <w:pPr>
              <w:rPr>
                <w:rFonts w:ascii="Calibri" w:hAnsi="Calibri" w:cs="Calibri"/>
                <w:color w:val="000000"/>
              </w:rPr>
            </w:pPr>
            <w:r w:rsidRPr="004C7410">
              <w:rPr>
                <w:rFonts w:ascii="Calibri" w:hAnsi="Calibri" w:cs="Calibri"/>
                <w:color w:val="000000"/>
              </w:rPr>
              <w:t>If above bankfull depth, key pieces are less likely to float at bankfull flow.</w:t>
            </w:r>
          </w:p>
        </w:tc>
      </w:tr>
      <w:tr w:rsidR="005E50AB" w:rsidRPr="004C7410" w14:paraId="4C34E959"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32B126F5" w14:textId="77777777" w:rsidR="005E50AB" w:rsidRPr="004C7410" w:rsidRDefault="005E50AB" w:rsidP="005E50AB">
            <w:pPr>
              <w:rPr>
                <w:bCs/>
                <w:color w:val="385623" w:themeColor="accent6" w:themeShade="80"/>
              </w:rPr>
            </w:pPr>
            <w:r w:rsidRPr="004C7410">
              <w:rPr>
                <w:bCs/>
                <w:color w:val="385623" w:themeColor="accent6" w:themeShade="80"/>
              </w:rPr>
              <w:t>fines?</w:t>
            </w:r>
          </w:p>
        </w:tc>
        <w:tc>
          <w:tcPr>
            <w:tcW w:w="1890" w:type="dxa"/>
            <w:tcBorders>
              <w:top w:val="single" w:sz="4" w:space="0" w:color="auto"/>
              <w:left w:val="single" w:sz="4" w:space="0" w:color="auto"/>
              <w:bottom w:val="single" w:sz="4" w:space="0" w:color="auto"/>
              <w:right w:val="single" w:sz="4" w:space="0" w:color="auto"/>
            </w:tcBorders>
          </w:tcPr>
          <w:p w14:paraId="51305015" w14:textId="77777777" w:rsidR="005E50AB" w:rsidRPr="004C7410" w:rsidRDefault="005E50AB" w:rsidP="005E50AB">
            <w:r w:rsidRPr="004C7410">
              <w:t>fines</w:t>
            </w:r>
          </w:p>
        </w:tc>
        <w:tc>
          <w:tcPr>
            <w:tcW w:w="990" w:type="dxa"/>
            <w:tcBorders>
              <w:top w:val="single" w:sz="4" w:space="0" w:color="auto"/>
              <w:left w:val="single" w:sz="4" w:space="0" w:color="auto"/>
              <w:bottom w:val="single" w:sz="4" w:space="0" w:color="auto"/>
              <w:right w:val="single" w:sz="4" w:space="0" w:color="auto"/>
            </w:tcBorders>
            <w:hideMark/>
          </w:tcPr>
          <w:p w14:paraId="457D0F9E"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69CD0001" w14:textId="77777777" w:rsidR="005E50AB" w:rsidRPr="004C7410" w:rsidRDefault="005E50AB" w:rsidP="005E50AB">
            <w:proofErr w:type="gramStart"/>
            <w:r w:rsidRPr="004C7410">
              <w:t>yes</w:t>
            </w:r>
            <w:proofErr w:type="gramEnd"/>
            <w:r w:rsidRPr="004C7410">
              <w:t xml:space="preserve"> if there are fine pieces of wood or sediment visible on/in the jam</w:t>
            </w:r>
          </w:p>
        </w:tc>
        <w:tc>
          <w:tcPr>
            <w:tcW w:w="4675" w:type="dxa"/>
            <w:tcBorders>
              <w:top w:val="single" w:sz="4" w:space="0" w:color="auto"/>
              <w:left w:val="single" w:sz="4" w:space="0" w:color="auto"/>
              <w:bottom w:val="single" w:sz="4" w:space="0" w:color="auto"/>
              <w:right w:val="single" w:sz="4" w:space="0" w:color="auto"/>
            </w:tcBorders>
            <w:vAlign w:val="center"/>
          </w:tcPr>
          <w:p w14:paraId="78861DDF" w14:textId="1E7D2AD7" w:rsidR="005E50AB" w:rsidRPr="004C7410" w:rsidRDefault="005E50AB" w:rsidP="00191792">
            <w:r w:rsidRPr="004C7410">
              <w:rPr>
                <w:rFonts w:ascii="Calibri" w:hAnsi="Calibri" w:cs="Calibri"/>
                <w:color w:val="000000"/>
              </w:rPr>
              <w:t>Indicates jam has withstood flows of stage at least as high as highest fine material deposited atop jam</w:t>
            </w:r>
          </w:p>
        </w:tc>
      </w:tr>
      <w:tr w:rsidR="005E50AB" w:rsidRPr="004C7410" w14:paraId="4E6DBD60"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24E8E68E" w14:textId="77777777" w:rsidR="005E50AB" w:rsidRPr="004C7410" w:rsidRDefault="005E50AB" w:rsidP="005E50AB">
            <w:pPr>
              <w:rPr>
                <w:bCs/>
                <w:color w:val="385623" w:themeColor="accent6" w:themeShade="80"/>
              </w:rPr>
            </w:pPr>
            <w:r w:rsidRPr="004C7410">
              <w:rPr>
                <w:bCs/>
                <w:color w:val="385623" w:themeColor="accent6" w:themeShade="80"/>
              </w:rPr>
              <w:t>pinned?</w:t>
            </w:r>
          </w:p>
        </w:tc>
        <w:tc>
          <w:tcPr>
            <w:tcW w:w="1890" w:type="dxa"/>
            <w:tcBorders>
              <w:top w:val="single" w:sz="4" w:space="0" w:color="auto"/>
              <w:left w:val="single" w:sz="4" w:space="0" w:color="auto"/>
              <w:bottom w:val="single" w:sz="4" w:space="0" w:color="auto"/>
              <w:right w:val="single" w:sz="4" w:space="0" w:color="auto"/>
            </w:tcBorders>
          </w:tcPr>
          <w:p w14:paraId="15E1ACA8" w14:textId="77777777" w:rsidR="005E50AB" w:rsidRPr="004C7410" w:rsidRDefault="005E50AB" w:rsidP="005E50AB">
            <w:r w:rsidRPr="004C7410">
              <w:t>pinned</w:t>
            </w:r>
          </w:p>
        </w:tc>
        <w:tc>
          <w:tcPr>
            <w:tcW w:w="990" w:type="dxa"/>
            <w:tcBorders>
              <w:top w:val="single" w:sz="4" w:space="0" w:color="auto"/>
              <w:left w:val="single" w:sz="4" w:space="0" w:color="auto"/>
              <w:bottom w:val="single" w:sz="4" w:space="0" w:color="auto"/>
              <w:right w:val="single" w:sz="4" w:space="0" w:color="auto"/>
            </w:tcBorders>
            <w:hideMark/>
          </w:tcPr>
          <w:p w14:paraId="0DA95F0F"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35B07481" w14:textId="51C2ECC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key pieces are pinned on a relatively immobile object (e.g., large boulders, live and non-sapling trees, mid-channel bars that have been stabilized by vegetation, bridge piers, etc.)</w:t>
            </w:r>
          </w:p>
          <w:p w14:paraId="4D72393A" w14:textId="77777777" w:rsidR="005E50AB" w:rsidRPr="004C7410" w:rsidRDefault="005E50AB" w:rsidP="005E50AB">
            <w:r w:rsidRPr="004C7410">
              <w:rPr>
                <w:noProof/>
              </w:rPr>
              <w:lastRenderedPageBreak/>
              <w:drawing>
                <wp:anchor distT="0" distB="0" distL="114300" distR="114300" simplePos="0" relativeHeight="251668480" behindDoc="0" locked="0" layoutInCell="1" allowOverlap="1" wp14:anchorId="655679CF" wp14:editId="418BF049">
                  <wp:simplePos x="0" y="0"/>
                  <wp:positionH relativeFrom="column">
                    <wp:posOffset>845185</wp:posOffset>
                  </wp:positionH>
                  <wp:positionV relativeFrom="paragraph">
                    <wp:posOffset>38735</wp:posOffset>
                  </wp:positionV>
                  <wp:extent cx="1571625" cy="1052830"/>
                  <wp:effectExtent l="0" t="0" r="9525" b="0"/>
                  <wp:wrapThrough wrapText="bothSides">
                    <wp:wrapPolygon edited="0">
                      <wp:start x="20160" y="0"/>
                      <wp:lineTo x="0" y="5081"/>
                      <wp:lineTo x="0" y="6253"/>
                      <wp:lineTo x="8640" y="7035"/>
                      <wp:lineTo x="8640" y="8598"/>
                      <wp:lineTo x="11520" y="12507"/>
                      <wp:lineTo x="10473" y="15242"/>
                      <wp:lineTo x="10735" y="17197"/>
                      <wp:lineTo x="12044" y="18760"/>
                      <wp:lineTo x="4189" y="19932"/>
                      <wp:lineTo x="0" y="20714"/>
                      <wp:lineTo x="0" y="21105"/>
                      <wp:lineTo x="9164" y="21105"/>
                      <wp:lineTo x="10996" y="21105"/>
                      <wp:lineTo x="20160" y="19151"/>
                      <wp:lineTo x="21469" y="18760"/>
                      <wp:lineTo x="21469" y="14852"/>
                      <wp:lineTo x="19113" y="12507"/>
                      <wp:lineTo x="14400" y="6253"/>
                      <wp:lineTo x="21469" y="782"/>
                      <wp:lineTo x="21469" y="0"/>
                      <wp:lineTo x="2016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71625" cy="10528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75" w:type="dxa"/>
            <w:vMerge w:val="restart"/>
            <w:tcBorders>
              <w:top w:val="single" w:sz="4" w:space="0" w:color="auto"/>
              <w:left w:val="single" w:sz="4" w:space="0" w:color="auto"/>
              <w:right w:val="single" w:sz="4" w:space="0" w:color="auto"/>
            </w:tcBorders>
            <w:vAlign w:val="center"/>
          </w:tcPr>
          <w:p w14:paraId="320A4109" w14:textId="42A97D8C" w:rsidR="005E50AB" w:rsidRPr="004C7410" w:rsidRDefault="005E50AB" w:rsidP="00191792">
            <w:pPr>
              <w:rPr>
                <w:rFonts w:ascii="Calibri" w:hAnsi="Calibri" w:cs="Calibri"/>
                <w:color w:val="000000"/>
              </w:rPr>
            </w:pPr>
            <w:r w:rsidRPr="004C7410">
              <w:rPr>
                <w:rFonts w:ascii="Calibri" w:hAnsi="Calibri" w:cs="Calibri"/>
                <w:color w:val="000000"/>
              </w:rPr>
              <w:lastRenderedPageBreak/>
              <w:t xml:space="preserve">Pinning (or anchoring, bracing) stabilizes key pieces during high flows </w:t>
            </w:r>
            <w:r w:rsidRPr="004C7410">
              <w:fldChar w:fldCharType="begin" w:fldLock="1"/>
            </w:r>
            <w:r w:rsidRPr="004C7410">
              <w:instrText>ADDIN CSL_CITATION {"citationItems":[{"id":"ITEM-1","itemData":{"DOI":"10.1029/2009WR008772","ISBN":"0043-1397","ISSN":"00431397","abstract":"Natural pieces of wood provide a variety of ecosystem functions in streams including habitat, organic matter retention, increased hyporheic exchange and transient storage, and enhanced hydraulic and geomorphic heterogeneity. Wood mobilization is a critical process in determining the residence time of wood. We documented the characteristics and locations of 865 natural wood pieces (&gt;0.05 m in diameter for a portion &gt;1 m in length) in nine streams along the north shore of Lake Superior in Minnesota. We determined the locations of the pieces again after an overbank stormflow event to determine the factors that influenced mobilization of stationary wood pieces in natural streams. Seven of 11 potential predictor variables were identified with multiple logistic regression as significant to mobilization: burial, effective depth, ratio of piece length to effective stream width (length ratio), bracing, rootwad presence, downstream force ratio, and draft ratio. The final model (P &lt; 0.001, r2 = 0.39) indicated that wood mobilization under natural conditions is a complex function of both mechanical factors (burial, length ratio, bracing, rootwad presence, draft ratio) and hydraulic factors (effective depth, downstream force ratio). If stable pieces are a goal for stream management then features such as partial burial, low effective depth, high length relative to channel width, bracing against other objects (e.g., stream banks, trees, rocks, or larger wood pieces), and rootwads are desirable. Using the model equation from this study, stewards of natural resources can better manage in‐stream wood for the benefit of stream ecosystems.","author":[{"dropping-particle":"","family":"Merten","given":"Eric","non-dropping-particle":"","parse-names":false,"suffix":""},{"dropping-particle":"","family":"Finlay","given":"Jacques","non-dropping-particle":"","parse-names":false,"suffix":""},{"dropping-particle":"","family":"Johnson","given":"Lucinda","non-dropping-particle":"","parse-names":false,"suffix":""},{"dropping-particle":"","family":"Newman","given":"Raymond","non-dropping-particle":"","parse-names":false,"suffix":""},{"dropping-particle":"","family":"Stefan","given":"Heinz","non-dropping-particle":"","parse-names":false,"suffix":""},{"dropping-particle":"","family":"Vondracek","given":"Bruce","non-dropping-particle":"","parse-names":false,"suffix":""}],"container-title":"Water Resources Research","id":"ITEM-1","issued":{"date-parts":[["2010"]]},"page":"1-13","title":"Factors influencing wood mobilization in streams","type":"article-journal","volume":"46"},"uris":["http://www.mendeley.com/documents/?uuid=b9b50d33-6f93-486c-86fb-9017cc857a1b"]}],"mendeley":{"formattedCitation":"(E. Merten et al., 2010)","manualFormatting":"(Merten et al., 2010)","plainTextFormattedCitation":"(E. Merten et al., 2010)","previouslyFormattedCitation":"(E. Merten et al., 2010)"},"properties":{"noteIndex":0},"schema":"https://github.com/citation-style-language/schema/raw/master/csl-citation.json"}</w:instrText>
            </w:r>
            <w:r w:rsidRPr="004C7410">
              <w:fldChar w:fldCharType="separate"/>
            </w:r>
            <w:r w:rsidRPr="004C7410">
              <w:rPr>
                <w:noProof/>
              </w:rPr>
              <w:t>(Merten et al., 2010)</w:t>
            </w:r>
            <w:r w:rsidRPr="004C7410">
              <w:fldChar w:fldCharType="end"/>
            </w:r>
            <w:r w:rsidRPr="004C7410">
              <w:t>, especially if key pieces cannot float over pinning object at bankfull flow.</w:t>
            </w:r>
          </w:p>
        </w:tc>
      </w:tr>
      <w:tr w:rsidR="005E50AB" w:rsidRPr="004C7410" w14:paraId="49EB745E"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6306F42C" w14:textId="77777777" w:rsidR="005E50AB" w:rsidRPr="004C7410" w:rsidRDefault="005E50AB" w:rsidP="005E50AB">
            <w:pPr>
              <w:rPr>
                <w:bCs/>
                <w:color w:val="385623" w:themeColor="accent6" w:themeShade="80"/>
              </w:rPr>
            </w:pPr>
            <w:r w:rsidRPr="004C7410">
              <w:rPr>
                <w:bCs/>
                <w:color w:val="385623" w:themeColor="accent6" w:themeShade="80"/>
              </w:rPr>
              <w:t>pinning object above bankfull?</w:t>
            </w:r>
          </w:p>
        </w:tc>
        <w:tc>
          <w:tcPr>
            <w:tcW w:w="1890" w:type="dxa"/>
            <w:tcBorders>
              <w:top w:val="single" w:sz="4" w:space="0" w:color="auto"/>
              <w:left w:val="single" w:sz="4" w:space="0" w:color="auto"/>
              <w:bottom w:val="single" w:sz="4" w:space="0" w:color="auto"/>
              <w:right w:val="single" w:sz="4" w:space="0" w:color="auto"/>
            </w:tcBorders>
          </w:tcPr>
          <w:p w14:paraId="1CD23632" w14:textId="77777777" w:rsidR="005E50AB" w:rsidRPr="004C7410" w:rsidRDefault="005E50AB" w:rsidP="005E50AB">
            <w:proofErr w:type="spellStart"/>
            <w:r w:rsidRPr="004C7410">
              <w:t>pin_obj_above_bf</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4775D975"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0F242750"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the object the jam is pinned on extends above bankfull depth. If jam is not pinned, this must be no.</w:t>
            </w:r>
          </w:p>
        </w:tc>
        <w:tc>
          <w:tcPr>
            <w:tcW w:w="4675" w:type="dxa"/>
            <w:vMerge/>
            <w:tcBorders>
              <w:left w:val="single" w:sz="4" w:space="0" w:color="auto"/>
              <w:bottom w:val="single" w:sz="4" w:space="0" w:color="auto"/>
              <w:right w:val="single" w:sz="4" w:space="0" w:color="auto"/>
            </w:tcBorders>
            <w:vAlign w:val="center"/>
          </w:tcPr>
          <w:p w14:paraId="7904D850" w14:textId="77777777" w:rsidR="005E50AB" w:rsidRPr="004C7410" w:rsidRDefault="005E50AB" w:rsidP="00191792">
            <w:pPr>
              <w:rPr>
                <w:rFonts w:ascii="Calibri" w:hAnsi="Calibri" w:cs="Calibri"/>
                <w:color w:val="000000"/>
              </w:rPr>
            </w:pPr>
          </w:p>
        </w:tc>
      </w:tr>
      <w:tr w:rsidR="005E50AB" w:rsidRPr="004C7410" w14:paraId="0FC96D10"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68DC0500" w14:textId="77777777" w:rsidR="005E50AB" w:rsidRPr="004C7410" w:rsidRDefault="005E50AB" w:rsidP="005E50AB">
            <w:pPr>
              <w:rPr>
                <w:bCs/>
                <w:color w:val="385623" w:themeColor="accent6" w:themeShade="80"/>
              </w:rPr>
            </w:pPr>
            <w:r w:rsidRPr="004C7410">
              <w:rPr>
                <w:bCs/>
                <w:color w:val="385623" w:themeColor="accent6" w:themeShade="80"/>
              </w:rPr>
              <w:t>decay class</w:t>
            </w:r>
          </w:p>
        </w:tc>
        <w:tc>
          <w:tcPr>
            <w:tcW w:w="1890" w:type="dxa"/>
            <w:tcBorders>
              <w:top w:val="single" w:sz="4" w:space="0" w:color="auto"/>
              <w:left w:val="single" w:sz="4" w:space="0" w:color="auto"/>
              <w:bottom w:val="single" w:sz="4" w:space="0" w:color="auto"/>
              <w:right w:val="single" w:sz="4" w:space="0" w:color="auto"/>
            </w:tcBorders>
          </w:tcPr>
          <w:p w14:paraId="5BB8BC72" w14:textId="77777777" w:rsidR="005E50AB" w:rsidRPr="004C7410" w:rsidRDefault="005E50AB" w:rsidP="005E50AB">
            <w:pPr>
              <w:rPr>
                <w:rFonts w:ascii="Calibri" w:hAnsi="Calibri" w:cs="Calibri"/>
                <w:color w:val="000000"/>
              </w:rPr>
            </w:pPr>
            <w:proofErr w:type="spellStart"/>
            <w:r w:rsidRPr="004C7410">
              <w:rPr>
                <w:rFonts w:ascii="Calibri" w:hAnsi="Calibri" w:cs="Calibri"/>
                <w:color w:val="000000"/>
              </w:rPr>
              <w:t>decay_class</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59224D62" w14:textId="77777777" w:rsidR="005E50AB" w:rsidRPr="004C7410" w:rsidRDefault="005E50AB" w:rsidP="005E50AB">
            <w:r w:rsidRPr="004C7410">
              <w:t>1-5</w:t>
            </w:r>
          </w:p>
        </w:tc>
        <w:tc>
          <w:tcPr>
            <w:tcW w:w="4675" w:type="dxa"/>
            <w:tcBorders>
              <w:top w:val="single" w:sz="4" w:space="0" w:color="auto"/>
              <w:left w:val="single" w:sz="4" w:space="0" w:color="auto"/>
              <w:bottom w:val="single" w:sz="4" w:space="0" w:color="auto"/>
              <w:right w:val="single" w:sz="4" w:space="0" w:color="auto"/>
            </w:tcBorders>
            <w:hideMark/>
          </w:tcPr>
          <w:p w14:paraId="13FF9EFE" w14:textId="1F51F477" w:rsidR="005E50AB" w:rsidRPr="004C7410" w:rsidRDefault="005E50AB" w:rsidP="005E50AB">
            <w:pPr>
              <w:rPr>
                <w:rFonts w:ascii="Calibri" w:hAnsi="Calibri" w:cs="Calibri"/>
                <w:color w:val="000000"/>
              </w:rPr>
            </w:pPr>
            <w:r w:rsidRPr="004C7410">
              <w:rPr>
                <w:rFonts w:ascii="Calibri" w:hAnsi="Calibri" w:cs="Calibri"/>
                <w:color w:val="000000"/>
              </w:rPr>
              <w:t xml:space="preserve">Scale paraphrased from Harmon et al. </w:t>
            </w:r>
            <w:r w:rsidRPr="004C7410">
              <w:rPr>
                <w:rFonts w:ascii="Calibri" w:hAnsi="Calibri" w:cs="Calibri"/>
                <w:color w:val="000000"/>
              </w:rPr>
              <w:fldChar w:fldCharType="begin" w:fldLock="1"/>
            </w:r>
            <w:r w:rsidRPr="004C7410">
              <w:rPr>
                <w:rFonts w:ascii="Calibri" w:hAnsi="Calibri" w:cs="Calibri"/>
                <w:color w:val="000000"/>
              </w:rPr>
              <w:instrText>ADDIN CSL_CITATION {"citationItems":[{"id":"ITEM-1","itemData":{"abstract":"Woody detritus or dead wood is an important part of forest ecosystems and has now become a routine facet of forest monitoring and inventory. Biomass and carbon estimates of dead wood depend on knowledge of species- and decay class- specifi c density or density reduction factors. While some progress has been made in determining these parameters for dead and downed trees (DD), there are very few estimates of these key parameters for standing dead trees (SD). In this study we evaluated indicators of decay to relate subjective SD and DD decay classifi cations then compared SD and DD density and density reduction factors by decay class for a total of 19 tree species at nine sites in the United States and Russia. A set of preliminary decay reduction factors for SD trees by species and decay class was developed for tree species inventoried by the U.S. Department of Agriculture’s Forest Inventory and Analysis (FIA) program. Results indicate that SD density declined with decay class for all examined species. For six of the examined species, SD tree density could be assumed equal to that of DD tree density. The most common situation (13 species) was for SD density to be higher than for DD density. The likely cause of these differences was the drier microenvironment of SD which slows decomposition relative to that of DD. By applying these results, a new set of SD density reduction factors was developed for 260 species inventoried by FIA in forests of the United States. Comparison of biomass estimates using this study’s proposed SD density reduction factors with existing SD volume estimates based solely on undecayed wood density indicated a possible biomass overestimate of 16.5 percent for Minnesota. Given the size of the potential biases involved and the uncertainty associated with decay reduction factors developed in this study, additional work to develop a multispecies SD decay class system and further empirical sampling of SD tree density is recommended.","author":[{"dropping-particle":"","family":"Harmon","given":"Mark E","non-dropping-particle":"","parse-names":false,"suffix":""},{"dropping-particle":"","family":"Woodall","given":"Christopher W","non-dropping-particle":"","parse-names":false,"suffix":""},{"dropping-particle":"","family":"Sexton","given":"Jay","non-dropping-particle":"","parse-names":false,"suffix":""}],"container-title":"Research Paper NRS-15","id":"ITEM-1","issued":{"date-parts":[["2011"]]},"number-of-pages":"40","title":"Standing and Downed Dead Tree Wood Density Reduction Factors : A Comparison Across Decay Classes and Tree Species","type":"report"},"suppress-author":1,"uris":["http://www.mendeley.com/documents/?uuid=dd052747-f2f7-412f-878d-3b6c3d78f039"]}],"mendeley":{"formattedCitation":"(2011)","plainTextFormattedCitation":"(2011)","previouslyFormattedCitation":"(2011)"},"properties":{"noteIndex":0},"schema":"https://github.com/citation-style-language/schema/raw/master/csl-citation.json"}</w:instrText>
            </w:r>
            <w:r w:rsidRPr="004C7410">
              <w:rPr>
                <w:rFonts w:ascii="Calibri" w:hAnsi="Calibri" w:cs="Calibri"/>
                <w:color w:val="000000"/>
              </w:rPr>
              <w:fldChar w:fldCharType="separate"/>
            </w:r>
            <w:r w:rsidRPr="004C7410">
              <w:rPr>
                <w:rFonts w:ascii="Calibri" w:hAnsi="Calibri" w:cs="Calibri"/>
                <w:noProof/>
                <w:color w:val="000000"/>
              </w:rPr>
              <w:t>(2011)</w:t>
            </w:r>
            <w:r w:rsidRPr="004C7410">
              <w:rPr>
                <w:rFonts w:ascii="Calibri" w:hAnsi="Calibri" w:cs="Calibri"/>
                <w:color w:val="000000"/>
              </w:rPr>
              <w:fldChar w:fldCharType="end"/>
            </w:r>
            <w:r w:rsidRPr="004C7410">
              <w:rPr>
                <w:rFonts w:ascii="Calibri" w:hAnsi="Calibri" w:cs="Calibri"/>
                <w:color w:val="000000"/>
              </w:rPr>
              <w:t xml:space="preserve"> to describe key pieces. Most jams in rivers will be category 1-3, although some floodplain jams could be more decayed.</w:t>
            </w:r>
          </w:p>
          <w:p w14:paraId="50832973" w14:textId="77777777" w:rsidR="005E50AB" w:rsidRPr="004C7410" w:rsidRDefault="005E50AB" w:rsidP="005E50AB">
            <w:pPr>
              <w:rPr>
                <w:rFonts w:ascii="Calibri" w:hAnsi="Calibri" w:cs="Calibri"/>
                <w:color w:val="000000"/>
              </w:rPr>
            </w:pPr>
            <w:r w:rsidRPr="004C7410">
              <w:rPr>
                <w:rFonts w:ascii="Calibri" w:hAnsi="Calibri" w:cs="Calibri"/>
                <w:color w:val="000000"/>
              </w:rPr>
              <w:t>1: Sound, freshly fallen, intact logs with no rot, fine twigs attached with tight bark. 2: Sound log sapwood partly soft but can’t be pulled apart by hand, many fine twigs are gone and remaining fine twigs have peeling bark. 3: Heartwood is still sound with piece supporting its own weight, sapwood can be pulled apart by hand or is missing, wood color is reddish-brown or original color, only branch stubs are remaining which cannot be pulled out of log. 4: Heartwood is rotten with piece unable to support own weight, a metal pin can be pushed into heartwood, branch stubs can be pulled out. 5: There is no remaining structural integrity to the piece with a lack of circular shape as rot spreads out across ground, rotten texture is soft and can become powder when dry, wood color is red-brown to dark brown</w:t>
            </w:r>
          </w:p>
        </w:tc>
        <w:tc>
          <w:tcPr>
            <w:tcW w:w="4675" w:type="dxa"/>
            <w:tcBorders>
              <w:top w:val="single" w:sz="4" w:space="0" w:color="auto"/>
              <w:left w:val="single" w:sz="4" w:space="0" w:color="auto"/>
              <w:bottom w:val="single" w:sz="4" w:space="0" w:color="auto"/>
              <w:right w:val="single" w:sz="4" w:space="0" w:color="auto"/>
            </w:tcBorders>
            <w:vAlign w:val="center"/>
          </w:tcPr>
          <w:p w14:paraId="52D9FCF0" w14:textId="18F46DA0" w:rsidR="005E50AB" w:rsidRPr="004C7410" w:rsidRDefault="005E50AB" w:rsidP="00191792">
            <w:pPr>
              <w:rPr>
                <w:rFonts w:ascii="Calibri" w:hAnsi="Calibri" w:cs="Calibri"/>
                <w:color w:val="000000"/>
              </w:rPr>
            </w:pPr>
            <w:r w:rsidRPr="004C7410">
              <w:rPr>
                <w:rFonts w:ascii="Calibri" w:hAnsi="Calibri" w:cs="Calibri"/>
                <w:color w:val="000000"/>
              </w:rPr>
              <w:t xml:space="preserve">Indicates key piece resistance to breakage and density, which may impact stability </w:t>
            </w:r>
            <w:r w:rsidRPr="004C7410">
              <w:fldChar w:fldCharType="begin" w:fldLock="1"/>
            </w:r>
            <w:r w:rsidRPr="004C7410">
              <w:instrText>ADDIN CSL_CITATION {"citationItems":[{"id":"ITEM-1","itemData":{"DOI":"10.1029/2007WR006522","ISBN":"0043-1397","ISSN":"00431397","PMID":"10162","abstract":"An 11-year monitoring study begun in 1996 evaluates wood mobility in five Colorado Rocky Mountain streams. Each channel reach is 40–70 m in length. Initial surveys included channel dimensions and arrangement of each piece of wood. Annual resurveys focused on wood arrangement and persistence. Average diameter of 15 cm and length of 3.2 m varied little among sites. Average yearly mobility ranged from 16% to 23%. Average residence time was 3.4 years. Wood load correlates positively with valley width and channel gradient, and negatively with relative substrate submergence and mean annual peak discharge. Survival analysis revealed that individual piece residence time was controlled by a nondimensional piece length and peak unit stream power during the year of removal. Residence time increases as piece length relative to channel width decreases, which could be explained by a greater integration of the flow field for longer pieces. Mobility of individual pieces of wood is controlled primarily by piece characteristics (length, diameter, type). Likelihood of mobility is smallest for buried pieces. The brevity of residence time relative to studies from other regions likely results from relatively low wood loads in these channels after timber harvesting cleared both instream and riparian wood supply more than a century ago. Although individual pieces of wood are exchanged, wood load and the location of individual logjams remain relatively constant.","author":[{"dropping-particle":"","family":"Wohl","given":"Ellen","non-dropping-particle":"","parse-names":false,"suffix":""},{"dropping-particle":"","family":"Goode","given":"Jaime R.","non-dropping-particle":"","parse-names":false,"suffix":""}],"container-title":"Water Resources Research","id":"ITEM-1","issue":"9","issued":{"date-parts":[["2008"]]},"page":"1-14","title":"Wood dynamics in headwater streams of the Colorado Rocky Mountains","type":"article-journal","volume":"44"},"uris":["http://www.mendeley.com/documents/?uuid=8e9cbc46-b073-438a-8f0d-290b196efbd5"]},{"id":"ITEM-2","itemData":{"DOI":"10.1002/esp.3240","ISBN":"1096-9837","ISSN":"01979337","abstract":"The transport of wood in rivers during floods is an important process that underlies differences in habitat and morphology between water courses and regions. Quantitative data are needed to properly address management objectives and balance wood budgets. In this study we use a streamside video camera to detect wood passage and measure quasi-instantaneous rates of wood transport in the Ain River, France. The objectives are to verify the procedure, describe the relation between wood transport and discharge, and construct and validate a wood budget for the reach upstream of the camera. Verification of the procedure includes tests of detection frequency, wood velocity, and piece size. A log base two transformation is proposed to classify wood by piece length. It was found that a wood transport threshold occurs at approximately two thirds of the bankfull discharge. Wood transport follows a positive linear relation with discharge up to the bankfull discharge but is both more variable and less sensitive to discharge when the floodplain is inundated. Transport rates are approximately four times higher on the rising limb of the hydrograph than on the falling limb. Wood transport estimates from a three-stage rating curve are two to 10 times higher than those from a wood budget using local and aerial surveys of upstream dynamics. Future work should address uncertainties related to wood diameter measurements, sampling length and frequency, and antecedent floods. © 2012 John Wiley &amp; Sons, Ltd.","author":[{"dropping-particle":"","family":"Macvicar","given":"Bruce","non-dropping-particle":"","parse-names":false,"suffix":""},{"dropping-particle":"","family":"Piégay","given":"Hervé","non-dropping-particle":"","parse-names":false,"suffix":""}],"container-title":"Earth Surface Processes and Landforms","id":"ITEM-2","issue":"12","issued":{"date-parts":[["2012"]]},"page":"1272-1289","title":"Implementation and validation of video monitoring for wood budgeting in a wandering piedmont river, the Ain River (France)","type":"article-journal","volume":"37"},"uris":["http://www.mendeley.com/documents/?uuid=e337319e-0d2e-49c5-be59-e63720af4ccd"]},{"id":"ITEM-3","itemData":{"DOI":"10.1016/j.geomorph.2013.02.006","ISBN":"0169-555X","ISSN":"0169555X","abstract":"Large wood pieces affect virtually every physical, chemical, and biological process in fluvial systems, including hydraulics, transport of materials, algal biomass accrual, nutrient uptake, and trophic interactions. The processes that deplete wood are thus of broad importance to stream ecosystems. We assessed the relative contributions for breakage-induced mobilization (where pieces are more prone to transport as a result of breakage into shorter parts) and gradual biochemical decay to wood depletion rates in a field study on 12 northern Minnesota, USA, streams. Wood pieces &gt; 0.05. m in diameter for a portion &gt; 1. m in length were individually tagged (n= 651), measured, and remeasured a year later. Pieces showed significant reductions in density and branching complexity (i.e., branches and twigs) and 22% of pieces broke (i.e., lost 10% or more of length). Processes related to breakage and decay were examined using Bayesian structural equation modeling and multiple regression. Breakage was more likely for pieces that were thin in diameter, long, deeply submerged, braced, buried, and traveled long distances. Pieces lost more density if they were initially dense, traveled a long distance, were not deeply submerged, lacked bark, were thin in diameter, were steeply pitched, were long, and were not buried. Pieces lost more branching complexity if they were complex with little gap between them and the streambed. Actual mass losses related to breakage and decay were 7.3% and 1.9% (respectively), both less than the 36% observed for total fluvial export. In contrast to the associations of breakage and decay with structural properties of the wood pieces and their position, hydraulic and geomorphic variables (stream power, slope, velocity, width) had little effect. © 2013 Elsevier B.V.","author":[{"dropping-particle":"","family":"Merten","given":"Eric C.","non-dropping-particle":"","parse-names":false,"suffix":""},{"dropping-particle":"","family":"Vaz","given":"Pedro G.","non-dropping-particle":"","parse-names":false,"suffix":""},{"dropping-particle":"","family":"Decker-Fritz","given":"Jo A.","non-dropping-particle":"","parse-names":false,"suffix":""},{"dropping-particle":"","family":"Finlay","given":"Jacques C.","non-dropping-particle":"","parse-names":false,"suffix":""},{"dropping-particle":"","family":"Stefan","given":"Heinz G.","non-dropping-particle":"","parse-names":false,"suffix":""}],"container-title":"Geomorphology","id":"ITEM-3","issued":{"date-parts":[["2013"]]},"page":"40-47","publisher":"Elsevier B.V.","title":"Relative importance of breakage and decay as processes depleting large wood from streams","type":"article-journal","volume":"190"},"uris":["http://www.mendeley.com/documents/?uuid=580c53bd-7ef1-48e8-a55a-bf8e82f0c1f0"]}],"mendeley":{"formattedCitation":"(Macvicar &amp; Piégay, 2012; E. C. Merten et al., 2013; Wohl &amp; Goode, 2008)","manualFormatting":"(Macvicar &amp; Piégay, 2012; Merten et al., 2013; Wohl &amp; Goode, 2008)","plainTextFormattedCitation":"(Macvicar &amp; Piégay, 2012; E. C. Merten et al., 2013; Wohl &amp; Goode, 2008)","previouslyFormattedCitation":"(Macvicar &amp; Piégay, 2012; E. C. Merten et al., 2013; Wohl &amp; Goode, 2008)"},"properties":{"noteIndex":0},"schema":"https://github.com/citation-style-language/schema/raw/master/csl-citation.json"}</w:instrText>
            </w:r>
            <w:r w:rsidRPr="004C7410">
              <w:fldChar w:fldCharType="separate"/>
            </w:r>
            <w:r w:rsidRPr="004C7410">
              <w:rPr>
                <w:noProof/>
              </w:rPr>
              <w:t>(Macvicar &amp; Piégay, 2012; Merten et al., 2013; Wohl &amp; Goode, 2008)</w:t>
            </w:r>
            <w:r w:rsidRPr="004C7410">
              <w:fldChar w:fldCharType="end"/>
            </w:r>
          </w:p>
        </w:tc>
      </w:tr>
      <w:tr w:rsidR="005E50AB" w:rsidRPr="004C7410" w14:paraId="1E0E6EFC"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3D69CB8A" w14:textId="77777777" w:rsidR="005E50AB" w:rsidRPr="004C7410" w:rsidRDefault="005E50AB" w:rsidP="005E50AB">
            <w:pPr>
              <w:rPr>
                <w:bCs/>
                <w:color w:val="385623" w:themeColor="accent6" w:themeShade="80"/>
              </w:rPr>
            </w:pPr>
            <w:r w:rsidRPr="004C7410">
              <w:rPr>
                <w:bCs/>
                <w:color w:val="385623" w:themeColor="accent6" w:themeShade="80"/>
              </w:rPr>
              <w:t>in situ?</w:t>
            </w:r>
          </w:p>
        </w:tc>
        <w:tc>
          <w:tcPr>
            <w:tcW w:w="1890" w:type="dxa"/>
            <w:tcBorders>
              <w:top w:val="single" w:sz="4" w:space="0" w:color="auto"/>
              <w:left w:val="single" w:sz="4" w:space="0" w:color="auto"/>
              <w:bottom w:val="single" w:sz="4" w:space="0" w:color="auto"/>
              <w:right w:val="single" w:sz="4" w:space="0" w:color="auto"/>
            </w:tcBorders>
          </w:tcPr>
          <w:p w14:paraId="1EB246F9" w14:textId="77777777" w:rsidR="005E50AB" w:rsidRPr="004C7410" w:rsidRDefault="005E50AB" w:rsidP="005E50AB">
            <w:pPr>
              <w:rPr>
                <w:rFonts w:ascii="Calibri" w:hAnsi="Calibri" w:cs="Calibri"/>
                <w:color w:val="000000"/>
              </w:rPr>
            </w:pPr>
            <w:proofErr w:type="spellStart"/>
            <w:r w:rsidRPr="004C7410">
              <w:rPr>
                <w:rFonts w:ascii="Calibri" w:hAnsi="Calibri" w:cs="Calibri"/>
                <w:color w:val="000000"/>
              </w:rPr>
              <w:t>in_situ</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38599021"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5EFB1B60"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of the key pieces of the jam are sourced from the banks directly adjacent to the jam</w:t>
            </w:r>
          </w:p>
        </w:tc>
        <w:tc>
          <w:tcPr>
            <w:tcW w:w="4675" w:type="dxa"/>
            <w:tcBorders>
              <w:top w:val="single" w:sz="4" w:space="0" w:color="auto"/>
              <w:left w:val="single" w:sz="4" w:space="0" w:color="auto"/>
              <w:bottom w:val="single" w:sz="4" w:space="0" w:color="auto"/>
              <w:right w:val="single" w:sz="4" w:space="0" w:color="auto"/>
            </w:tcBorders>
            <w:vAlign w:val="center"/>
          </w:tcPr>
          <w:p w14:paraId="62562676" w14:textId="5D6D175F" w:rsidR="005E50AB" w:rsidRPr="004C7410" w:rsidRDefault="005E50AB" w:rsidP="00191792">
            <w:pPr>
              <w:rPr>
                <w:rFonts w:ascii="Calibri" w:hAnsi="Calibri" w:cs="Calibri"/>
                <w:color w:val="000000"/>
              </w:rPr>
            </w:pPr>
            <w:r w:rsidRPr="004C7410">
              <w:rPr>
                <w:rFonts w:ascii="Calibri" w:hAnsi="Calibri" w:cs="Calibri"/>
                <w:i/>
                <w:color w:val="000000"/>
              </w:rPr>
              <w:t>In situ</w:t>
            </w:r>
            <w:r w:rsidRPr="004C7410">
              <w:rPr>
                <w:rFonts w:ascii="Calibri" w:hAnsi="Calibri" w:cs="Calibri"/>
                <w:color w:val="000000"/>
              </w:rPr>
              <w:t xml:space="preserve"> key pieces may be anchored to bank material, increasing resistance to mobilization</w:t>
            </w:r>
          </w:p>
        </w:tc>
      </w:tr>
      <w:tr w:rsidR="005E50AB" w:rsidRPr="004C7410" w14:paraId="4FF8C21D"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2AC48587" w14:textId="77777777" w:rsidR="005E50AB" w:rsidRPr="004C7410" w:rsidRDefault="005E50AB" w:rsidP="005E50AB">
            <w:pPr>
              <w:rPr>
                <w:bCs/>
                <w:color w:val="385623" w:themeColor="accent6" w:themeShade="80"/>
              </w:rPr>
            </w:pPr>
            <w:r w:rsidRPr="004C7410">
              <w:rPr>
                <w:bCs/>
                <w:color w:val="385623" w:themeColor="accent6" w:themeShade="80"/>
              </w:rPr>
              <w:lastRenderedPageBreak/>
              <w:t xml:space="preserve">rootwads? </w:t>
            </w:r>
          </w:p>
        </w:tc>
        <w:tc>
          <w:tcPr>
            <w:tcW w:w="1890" w:type="dxa"/>
            <w:tcBorders>
              <w:top w:val="single" w:sz="4" w:space="0" w:color="auto"/>
              <w:left w:val="single" w:sz="4" w:space="0" w:color="auto"/>
              <w:bottom w:val="single" w:sz="4" w:space="0" w:color="auto"/>
              <w:right w:val="single" w:sz="4" w:space="0" w:color="auto"/>
            </w:tcBorders>
          </w:tcPr>
          <w:p w14:paraId="50434690" w14:textId="77777777" w:rsidR="005E50AB" w:rsidRPr="004C7410" w:rsidRDefault="005E50AB" w:rsidP="005E50AB">
            <w:r w:rsidRPr="004C7410">
              <w:t>rootwads</w:t>
            </w:r>
          </w:p>
        </w:tc>
        <w:tc>
          <w:tcPr>
            <w:tcW w:w="990" w:type="dxa"/>
            <w:tcBorders>
              <w:top w:val="single" w:sz="4" w:space="0" w:color="auto"/>
              <w:left w:val="single" w:sz="4" w:space="0" w:color="auto"/>
              <w:bottom w:val="single" w:sz="4" w:space="0" w:color="auto"/>
              <w:right w:val="single" w:sz="4" w:space="0" w:color="auto"/>
            </w:tcBorders>
            <w:hideMark/>
          </w:tcPr>
          <w:p w14:paraId="3FF6D6D5"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7B9C7F05"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rootwads are attached to any pieces in the jam</w:t>
            </w:r>
          </w:p>
        </w:tc>
        <w:tc>
          <w:tcPr>
            <w:tcW w:w="4675" w:type="dxa"/>
            <w:vMerge w:val="restart"/>
            <w:tcBorders>
              <w:top w:val="single" w:sz="4" w:space="0" w:color="auto"/>
              <w:left w:val="single" w:sz="4" w:space="0" w:color="auto"/>
              <w:right w:val="single" w:sz="4" w:space="0" w:color="auto"/>
            </w:tcBorders>
            <w:vAlign w:val="center"/>
          </w:tcPr>
          <w:p w14:paraId="3DC1D442" w14:textId="74D9D314" w:rsidR="005E50AB" w:rsidRPr="004C7410" w:rsidRDefault="005E50AB" w:rsidP="00191792">
            <w:pPr>
              <w:rPr>
                <w:rFonts w:ascii="Calibri" w:hAnsi="Calibri" w:cs="Calibri"/>
                <w:color w:val="000000"/>
              </w:rPr>
            </w:pPr>
            <w:r w:rsidRPr="004C7410">
              <w:rPr>
                <w:rFonts w:ascii="Calibri" w:hAnsi="Calibri" w:cs="Calibri"/>
                <w:color w:val="000000"/>
              </w:rPr>
              <w:t>Indicates potentially higher complexity</w:t>
            </w:r>
            <w:r w:rsidR="00191792" w:rsidRPr="004C7410">
              <w:rPr>
                <w:rFonts w:ascii="Calibri" w:hAnsi="Calibri" w:cs="Calibri"/>
                <w:color w:val="000000"/>
              </w:rPr>
              <w:t xml:space="preserve"> </w:t>
            </w:r>
            <w:r w:rsidR="00191792" w:rsidRPr="004C7410">
              <w:fldChar w:fldCharType="begin" w:fldLock="1"/>
            </w:r>
            <w:r w:rsidR="00191792" w:rsidRPr="004C7410">
              <w:instrText>ADDIN CSL_CITATION {"citationItems":[{"id":"ITEM-1","itemData":{"ISBN":"1096-9837","ISSN":"01979337","PMID":"15790","abstract":"The influence of woody debris on channel morphology and aquatic habitat has been recognized for many years. Unlike sediment, however, little is known about how wood moves through river systems. We examined some dynamics of wood transport in streams through a series of flume experiments and observed three distinct wood transport regimes: uncongested, congested and semi-congested. During uncongested transport, logs move without piece-to-piece interactions and generally occupy less than 10 per cent of the channel area. In congested transport, the logs move together as a single mass and occupy more than 33 per cent of the channel area. Semi-congested transport is intermediate between these two transport regimes. The type of transport regime was most sensitive to changes in a dimensionless input rate, defined as the ratio of log volume delivered to the channel per second (Qlog) to discharge (Qw); this ratio varied between 0015 for uncongested transport and 020 for congested transport. Depositional fabrics within stable log jams varied by transport type, with deposits derived from uncongested and semi-congested transport regimes having a higher proportion of pieces oriented normal to flow than those derived from congested transport. Because wood input rates are higher and channel dimensions decrease relative to piece size in low-order channels, we expect congested transport will be more common in low-order streams while uncongested transport will dominate higher-order streams. Single flotation models can be used to model the stability of individual pieces, especially in higher-order channels, but are insufficient for modelling the more complex interactions that occur in lower-order streams.","author":[{"dropping-particle":"","family":"Braudrick","given":"Christian A","non-dropping-particle":"","parse-names":false,"suffix":""},{"dropping-particle":"","family":"Grant","given":"Gordon E","non-dropping-particle":"","parse-names":false,"suffix":""},{"dropping-particle":"","family":"Ishikawa","given":"Yoshiharu","non-dropping-particle":"","parse-names":false,"suffix":""},{"dropping-particle":"","family":"Ikeda","given":"Hiroshi","non-dropping-particle":"","parse-names":false,"suffix":""}],"container-title":"Earth Surface Processes and Landforms","id":"ITEM-1","issued":{"date-parts":[["1997"]]},"page":"669-683","title":"Dynamics of Wood Transport in Streams: A Flume Experiment","type":"article-journal","volume":"22"},"uris":["http://www.mendeley.com/documents/?uuid=ba7ce591-5b96-47a0-bbd1-198f2f5f2731"]},{"id":"ITEM-2","itemData":{"DOI":"10.1029/2009WR008772","ISBN":"0043-1397","ISSN":"00431397","abstract":"Natural pieces of wood provide a variety of ecosystem functions in streams including habitat, organic matter retention, increased hyporheic exchange and transient storage, and enhanced hydraulic and geomorphic heterogeneity. Wood mobilization is a critical process in determining the residence time of wood. We documented the characteristics and locations of 865 natural wood pieces (&gt;0.05 m in diameter for a portion &gt;1 m in length) in nine streams along the north shore of Lake Superior in Minnesota. We determined the locations of the pieces again after an overbank stormflow event to determine the factors that influenced mobilization of stationary wood pieces in natural streams. Seven of 11 potential predictor variables were identified with multiple logistic regression as significant to mobilization: burial, effective depth, ratio of piece length to effective stream width (length ratio), bracing, rootwad presence, downstream force ratio, and draft ratio. The final model (P &lt; 0.001, r2 = 0.39) indicated that wood mobilization under natural conditions is a complex function of both mechanical factors (burial, length ratio, bracing, rootwad presence, draft ratio) and hydraulic factors (effective depth, downstream force ratio). If stable pieces are a goal for stream management then features such as partial burial, low effective depth, high length relative to channel width, bracing against other objects (e.g., stream banks, trees, rocks, or larger wood pieces), and rootwads are desirable. Using the model equation from this study, stewards of natural resources can better manage in‐stream wood for the benefit of stream ecosystems.","author":[{"dropping-particle":"","family":"Merten","given":"Eric","non-dropping-particle":"","parse-names":false,"suffix":""},{"dropping-particle":"","family":"Finlay","given":"Jacques","non-dropping-particle":"","parse-names":false,"suffix":""},{"dropping-particle":"","family":"Johnson","given":"Lucinda","non-dropping-particle":"","parse-names":false,"suffix":""},{"dropping-particle":"","family":"Newman","given":"Raymond","non-dropping-particle":"","parse-names":false,"suffix":""},{"dropping-particle":"","family":"Stefan","given":"Heinz","non-dropping-particle":"","parse-names":false,"suffix":""},{"dropping-particle":"","family":"Vondracek","given":"Bruce","non-dropping-particle":"","parse-names":false,"suffix":""}],"container-title":"Water Resources Research","id":"ITEM-2","issued":{"date-parts":[["2010"]]},"page":"1-13","title":"Factors influencing wood mobilization in streams","type":"article-journal","volume":"46"},"uris":["http://www.mendeley.com/documents/?uuid=b9b50d33-6f93-486c-86fb-9017cc857a1b"]},{"id":"ITEM-3","itemData":{"DOI":"10.1002/ 2015WR017446","author":[{"dropping-particle":"","family":"Davidson","given":"S. L.","non-dropping-particle":"","parse-names":false,"suffix":""},{"dropping-particle":"","family":"MacKenzie","given":"L. G.","non-dropping-particle":"","parse-names":false,"suffix":""},{"dropping-particle":"","family":"Eaton","given":"B. C.","non-dropping-particle":"","parse-names":false,"suffix":""}],"container-title":"Water Resources Research","id":"ITEM-3","issued":{"date-parts":[["2015"]]},"page":"10065–10077","title":"Large wood transport and jam formation in a series of flume experiments","type":"article-journal","volume":"51"},"uris":["http://www.mendeley.com/documents/?uuid=ec0bb936-c874-47a8-805e-ffc4489a51b0"]}],"mendeley":{"formattedCitation":"(Braudrick et al., 1997; Davidson et al., 2015; E. Merten et al., 2010)","manualFormatting":"(Braudrick et al., 1997; Davidson et al., 2015; Merten et al., 2010)","plainTextFormattedCitation":"(Braudrick et al., 1997; Davidson et al., 2015; E. Merten et al., 2010)","previouslyFormattedCitation":"(Braudrick et al., 1997; Davidson et al., 2015; E. Merten et al., 2010)"},"properties":{"noteIndex":0},"schema":"https://github.com/citation-style-language/schema/raw/master/csl-citation.json"}</w:instrText>
            </w:r>
            <w:r w:rsidR="00191792" w:rsidRPr="004C7410">
              <w:fldChar w:fldCharType="separate"/>
            </w:r>
            <w:r w:rsidR="00191792" w:rsidRPr="004C7410">
              <w:rPr>
                <w:noProof/>
              </w:rPr>
              <w:t>(Braudrick et al., 1997; Davidson et al., 2015; Merten et al., 2010)</w:t>
            </w:r>
            <w:r w:rsidR="00191792" w:rsidRPr="004C7410">
              <w:fldChar w:fldCharType="end"/>
            </w:r>
            <w:r w:rsidR="00191792" w:rsidRPr="004C7410">
              <w:rPr>
                <w:rFonts w:ascii="Calibri" w:hAnsi="Calibri" w:cs="Calibri"/>
                <w:color w:val="000000"/>
              </w:rPr>
              <w:t xml:space="preserve"> </w:t>
            </w:r>
            <w:r w:rsidR="00191792" w:rsidRPr="004C7410">
              <w:t xml:space="preserve">and potential interaction with relatively stable living vegetation </w:t>
            </w:r>
            <w:r w:rsidR="00191792" w:rsidRPr="004C7410">
              <w:fldChar w:fldCharType="begin" w:fldLock="1"/>
            </w:r>
            <w:r w:rsidR="00191792" w:rsidRPr="004C7410">
              <w:instrText>ADDIN CSL_CITATION {"citationItems":[{"id":"ITEM-1","itemData":{"DOI":"10.1016/j.jaridenv.2013.10.017","ISBN":"0140-1963","ISSN":"01401963","abstract":"Woody debris jams (WDJs) and the rate of wood fall into the channel were observed along an ~18km study reach of ephemeral Fowlers Creek. Fifty-five WDJs were recorded, including nearly 700 key large wood pieces. WDJs obstructed on average 31% of the channel width (maximum 98%), and had a mean projected area facing the flow of 9.7m2. Abundance of WDJs is low in comparison with some humid forested streams, but channel obstruction is significant, owing to the many in-channel trees capable of supporting tall, stable jams of up to 3.3m height, and the lack of wood decay in the arid conditions. The rate of wood recruitment to the channel was judged by tallying the debris that has accumulated through 6 months of no-flow conditions. Coarse wood recruitment averaged 1 piece/100m/a or ~0.03m3/100m/a. Again, this is low in comparison with forested catchments, but is comparable to the bottom end of the range of published recruitment rates. WDJ occurrence and hydro-geomorphic significance vary with position along Fowlers Creek, which exhibits channel contraction arising from transmission loss. The link between woody debris and channel form and process in this ephemeral stream is discussed. © 2013 Elsevier Ltd.","author":[{"dropping-particle":"","family":"Dunkerley","given":"David","non-dropping-particle":"","parse-names":false,"suffix":""}],"container-title":"Journal of Arid Environments","id":"ITEM-1","issued":{"date-parts":[["2014"]]},"page":"40-49","publisher":"Elsevier Ltd","title":"Nature and hydro-geomorphic roles of trees and woody debris in a dryland ephemeral stream: Fowlers Creek, arid western New South Wales, Australia","type":"article-journal","volume":"102"},"uris":["http://www.mendeley.com/documents/?uuid=23873214-e64f-4ed3-b204-c3f6d200f7f1"]}],"mendeley":{"formattedCitation":"(Dunkerley, 2014)","plainTextFormattedCitation":"(Dunkerley, 2014)","previouslyFormattedCitation":"(Dunkerley, 2014)"},"properties":{"noteIndex":0},"schema":"https://github.com/citation-style-language/schema/raw/master/csl-citation.json"}</w:instrText>
            </w:r>
            <w:r w:rsidR="00191792" w:rsidRPr="004C7410">
              <w:fldChar w:fldCharType="separate"/>
            </w:r>
            <w:r w:rsidR="00191792" w:rsidRPr="004C7410">
              <w:rPr>
                <w:noProof/>
              </w:rPr>
              <w:t>(Dunkerley, 2014)</w:t>
            </w:r>
            <w:r w:rsidR="00191792" w:rsidRPr="004C7410">
              <w:fldChar w:fldCharType="end"/>
            </w:r>
            <w:r w:rsidR="00191792" w:rsidRPr="004C7410">
              <w:t xml:space="preserve">, both of </w:t>
            </w:r>
            <w:r w:rsidR="00191792" w:rsidRPr="004C7410">
              <w:rPr>
                <w:rFonts w:ascii="Calibri" w:hAnsi="Calibri" w:cs="Calibri"/>
                <w:color w:val="000000"/>
              </w:rPr>
              <w:t>which can increase stability</w:t>
            </w:r>
          </w:p>
        </w:tc>
      </w:tr>
      <w:tr w:rsidR="005E50AB" w:rsidRPr="004C7410" w14:paraId="427FC646"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153BC015" w14:textId="77777777" w:rsidR="005E50AB" w:rsidRPr="004C7410" w:rsidRDefault="005E50AB" w:rsidP="005E50AB">
            <w:pPr>
              <w:rPr>
                <w:bCs/>
                <w:color w:val="385623" w:themeColor="accent6" w:themeShade="80"/>
              </w:rPr>
            </w:pPr>
            <w:r w:rsidRPr="004C7410">
              <w:rPr>
                <w:bCs/>
                <w:color w:val="385623" w:themeColor="accent6" w:themeShade="80"/>
              </w:rPr>
              <w:t>live wood?</w:t>
            </w:r>
          </w:p>
        </w:tc>
        <w:tc>
          <w:tcPr>
            <w:tcW w:w="1890" w:type="dxa"/>
            <w:tcBorders>
              <w:top w:val="single" w:sz="4" w:space="0" w:color="auto"/>
              <w:left w:val="single" w:sz="4" w:space="0" w:color="auto"/>
              <w:bottom w:val="single" w:sz="4" w:space="0" w:color="auto"/>
              <w:right w:val="single" w:sz="4" w:space="0" w:color="auto"/>
            </w:tcBorders>
          </w:tcPr>
          <w:p w14:paraId="3044AE89" w14:textId="77777777" w:rsidR="005E50AB" w:rsidRPr="004C7410" w:rsidRDefault="005E50AB" w:rsidP="005E50AB">
            <w:proofErr w:type="spellStart"/>
            <w:r w:rsidRPr="004C7410">
              <w:t>live_wood</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55E88D7E"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5588FECD" w14:textId="0AF51891"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live woody vegetation is growing on or </w:t>
            </w:r>
            <w:r w:rsidR="00D826E1" w:rsidRPr="004C7410">
              <w:rPr>
                <w:rFonts w:ascii="Calibri" w:hAnsi="Calibri" w:cs="Calibri"/>
                <w:color w:val="000000"/>
              </w:rPr>
              <w:t>proximal to</w:t>
            </w:r>
            <w:r w:rsidRPr="004C7410">
              <w:rPr>
                <w:rFonts w:ascii="Calibri" w:hAnsi="Calibri" w:cs="Calibri"/>
                <w:color w:val="000000"/>
              </w:rPr>
              <w:t xml:space="preserve"> the jam</w:t>
            </w:r>
            <w:r w:rsidR="00D826E1" w:rsidRPr="004C7410">
              <w:rPr>
                <w:rFonts w:ascii="Calibri" w:hAnsi="Calibri" w:cs="Calibri"/>
                <w:color w:val="000000"/>
              </w:rPr>
              <w:t>.</w:t>
            </w:r>
          </w:p>
        </w:tc>
        <w:tc>
          <w:tcPr>
            <w:tcW w:w="4675" w:type="dxa"/>
            <w:vMerge/>
            <w:tcBorders>
              <w:left w:val="single" w:sz="4" w:space="0" w:color="auto"/>
              <w:right w:val="single" w:sz="4" w:space="0" w:color="auto"/>
            </w:tcBorders>
            <w:vAlign w:val="center"/>
          </w:tcPr>
          <w:p w14:paraId="03A3EB1F" w14:textId="77777777" w:rsidR="005E50AB" w:rsidRPr="004C7410" w:rsidRDefault="005E50AB" w:rsidP="00191792">
            <w:pPr>
              <w:rPr>
                <w:rFonts w:ascii="Calibri" w:hAnsi="Calibri" w:cs="Calibri"/>
                <w:color w:val="000000"/>
              </w:rPr>
            </w:pPr>
          </w:p>
        </w:tc>
      </w:tr>
      <w:tr w:rsidR="005E50AB" w:rsidRPr="004C7410" w14:paraId="468027AB"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hideMark/>
          </w:tcPr>
          <w:p w14:paraId="3AE6463E" w14:textId="77777777" w:rsidR="005E50AB" w:rsidRPr="004C7410" w:rsidRDefault="005E50AB" w:rsidP="005E50AB">
            <w:pPr>
              <w:rPr>
                <w:bCs/>
                <w:color w:val="385623" w:themeColor="accent6" w:themeShade="80"/>
              </w:rPr>
            </w:pPr>
            <w:r w:rsidRPr="004C7410">
              <w:rPr>
                <w:bCs/>
                <w:color w:val="385623" w:themeColor="accent6" w:themeShade="80"/>
              </w:rPr>
              <w:t>multi-trunk?</w:t>
            </w:r>
          </w:p>
        </w:tc>
        <w:tc>
          <w:tcPr>
            <w:tcW w:w="1890" w:type="dxa"/>
            <w:tcBorders>
              <w:top w:val="single" w:sz="4" w:space="0" w:color="auto"/>
              <w:left w:val="single" w:sz="4" w:space="0" w:color="auto"/>
              <w:bottom w:val="single" w:sz="4" w:space="0" w:color="auto"/>
              <w:right w:val="single" w:sz="4" w:space="0" w:color="auto"/>
            </w:tcBorders>
          </w:tcPr>
          <w:p w14:paraId="2F21980F" w14:textId="77777777" w:rsidR="005E50AB" w:rsidRPr="004C7410" w:rsidRDefault="005E50AB" w:rsidP="005E50AB">
            <w:proofErr w:type="spellStart"/>
            <w:r w:rsidRPr="004C7410">
              <w:t>multi_trunk</w:t>
            </w:r>
            <w:proofErr w:type="spellEnd"/>
          </w:p>
        </w:tc>
        <w:tc>
          <w:tcPr>
            <w:tcW w:w="990" w:type="dxa"/>
            <w:tcBorders>
              <w:top w:val="single" w:sz="4" w:space="0" w:color="auto"/>
              <w:left w:val="single" w:sz="4" w:space="0" w:color="auto"/>
              <w:bottom w:val="single" w:sz="4" w:space="0" w:color="auto"/>
              <w:right w:val="single" w:sz="4" w:space="0" w:color="auto"/>
            </w:tcBorders>
            <w:hideMark/>
          </w:tcPr>
          <w:p w14:paraId="36D341A1"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hideMark/>
          </w:tcPr>
          <w:p w14:paraId="61899095"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key pieces have multiple trunks </w:t>
            </w:r>
          </w:p>
        </w:tc>
        <w:tc>
          <w:tcPr>
            <w:tcW w:w="4675" w:type="dxa"/>
            <w:vMerge/>
            <w:tcBorders>
              <w:left w:val="single" w:sz="4" w:space="0" w:color="auto"/>
              <w:bottom w:val="single" w:sz="4" w:space="0" w:color="auto"/>
              <w:right w:val="single" w:sz="4" w:space="0" w:color="auto"/>
            </w:tcBorders>
            <w:vAlign w:val="center"/>
          </w:tcPr>
          <w:p w14:paraId="757C8ED3" w14:textId="77777777" w:rsidR="005E50AB" w:rsidRPr="004C7410" w:rsidRDefault="005E50AB" w:rsidP="00191792">
            <w:pPr>
              <w:rPr>
                <w:rFonts w:ascii="Calibri" w:hAnsi="Calibri" w:cs="Calibri"/>
                <w:color w:val="000000"/>
              </w:rPr>
            </w:pPr>
          </w:p>
        </w:tc>
      </w:tr>
      <w:tr w:rsidR="005E50AB" w:rsidRPr="004C7410" w14:paraId="5D33495A"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3D7E9E11" w14:textId="77777777" w:rsidR="005E50AB" w:rsidRPr="004C7410" w:rsidRDefault="005E50AB" w:rsidP="005E50AB">
            <w:pPr>
              <w:rPr>
                <w:bCs/>
              </w:rPr>
            </w:pPr>
            <w:r w:rsidRPr="004C7410">
              <w:rPr>
                <w:bCs/>
              </w:rPr>
              <w:t>survey picture time</w:t>
            </w:r>
          </w:p>
        </w:tc>
        <w:tc>
          <w:tcPr>
            <w:tcW w:w="1890" w:type="dxa"/>
            <w:tcBorders>
              <w:top w:val="single" w:sz="4" w:space="0" w:color="auto"/>
              <w:left w:val="single" w:sz="4" w:space="0" w:color="auto"/>
              <w:bottom w:val="single" w:sz="4" w:space="0" w:color="auto"/>
              <w:right w:val="single" w:sz="4" w:space="0" w:color="auto"/>
            </w:tcBorders>
          </w:tcPr>
          <w:p w14:paraId="3D82CEF0" w14:textId="77777777" w:rsidR="005E50AB" w:rsidRPr="004C7410" w:rsidRDefault="005E50AB" w:rsidP="005E50AB">
            <w:proofErr w:type="spellStart"/>
            <w:r w:rsidRPr="004C7410">
              <w:t>pic_time_survey</w:t>
            </w:r>
            <w:proofErr w:type="spellEnd"/>
          </w:p>
        </w:tc>
        <w:tc>
          <w:tcPr>
            <w:tcW w:w="990" w:type="dxa"/>
            <w:tcBorders>
              <w:top w:val="single" w:sz="4" w:space="0" w:color="auto"/>
              <w:left w:val="single" w:sz="4" w:space="0" w:color="auto"/>
              <w:bottom w:val="single" w:sz="4" w:space="0" w:color="auto"/>
              <w:right w:val="single" w:sz="4" w:space="0" w:color="auto"/>
            </w:tcBorders>
          </w:tcPr>
          <w:p w14:paraId="5E49A214" w14:textId="77777777" w:rsidR="005E50AB" w:rsidRPr="004C7410" w:rsidRDefault="005E50AB" w:rsidP="005E50AB">
            <w:r w:rsidRPr="004C7410">
              <w:t>HH:MM</w:t>
            </w:r>
          </w:p>
        </w:tc>
        <w:tc>
          <w:tcPr>
            <w:tcW w:w="4675" w:type="dxa"/>
            <w:tcBorders>
              <w:top w:val="single" w:sz="4" w:space="0" w:color="auto"/>
              <w:left w:val="single" w:sz="4" w:space="0" w:color="auto"/>
              <w:bottom w:val="single" w:sz="4" w:space="0" w:color="auto"/>
              <w:right w:val="single" w:sz="4" w:space="0" w:color="auto"/>
            </w:tcBorders>
          </w:tcPr>
          <w:p w14:paraId="49DBD1C0" w14:textId="77777777" w:rsidR="005E50AB" w:rsidRPr="004C7410" w:rsidRDefault="005E50AB" w:rsidP="005E50AB">
            <w:pPr>
              <w:rPr>
                <w:rFonts w:ascii="Calibri" w:hAnsi="Calibri" w:cs="Calibri"/>
                <w:color w:val="000000"/>
              </w:rPr>
            </w:pPr>
            <w:r w:rsidRPr="004C7410">
              <w:rPr>
                <w:rFonts w:ascii="Calibri" w:hAnsi="Calibri" w:cs="Calibri"/>
                <w:color w:val="000000"/>
              </w:rPr>
              <w:t>used to reference photographs taken of jam for use in detecting change during resurveys</w:t>
            </w:r>
          </w:p>
        </w:tc>
        <w:tc>
          <w:tcPr>
            <w:tcW w:w="4675" w:type="dxa"/>
            <w:tcBorders>
              <w:top w:val="single" w:sz="4" w:space="0" w:color="auto"/>
              <w:left w:val="single" w:sz="4" w:space="0" w:color="auto"/>
              <w:bottom w:val="single" w:sz="4" w:space="0" w:color="auto"/>
              <w:right w:val="single" w:sz="4" w:space="0" w:color="auto"/>
            </w:tcBorders>
            <w:vAlign w:val="center"/>
          </w:tcPr>
          <w:p w14:paraId="110A8F97" w14:textId="775A382C" w:rsidR="005E50AB" w:rsidRPr="004C7410" w:rsidRDefault="005E50AB" w:rsidP="00191792">
            <w:pPr>
              <w:rPr>
                <w:rFonts w:ascii="Calibri" w:hAnsi="Calibri" w:cs="Calibri"/>
                <w:color w:val="000000"/>
              </w:rPr>
            </w:pPr>
          </w:p>
        </w:tc>
      </w:tr>
      <w:tr w:rsidR="005E50AB" w:rsidRPr="004C7410" w14:paraId="044F7F4F"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1391F610" w14:textId="77777777" w:rsidR="005E50AB" w:rsidRPr="004C7410" w:rsidRDefault="005E50AB" w:rsidP="005E50AB">
            <w:pPr>
              <w:rPr>
                <w:bCs/>
              </w:rPr>
            </w:pPr>
            <w:r w:rsidRPr="004C7410">
              <w:rPr>
                <w:bCs/>
              </w:rPr>
              <w:t>date of survey</w:t>
            </w:r>
          </w:p>
        </w:tc>
        <w:tc>
          <w:tcPr>
            <w:tcW w:w="1890" w:type="dxa"/>
            <w:tcBorders>
              <w:top w:val="single" w:sz="4" w:space="0" w:color="auto"/>
              <w:left w:val="single" w:sz="4" w:space="0" w:color="auto"/>
              <w:bottom w:val="single" w:sz="4" w:space="0" w:color="auto"/>
              <w:right w:val="single" w:sz="4" w:space="0" w:color="auto"/>
            </w:tcBorders>
          </w:tcPr>
          <w:p w14:paraId="61997AA9" w14:textId="77777777" w:rsidR="005E50AB" w:rsidRPr="004C7410" w:rsidRDefault="005E50AB" w:rsidP="005E50AB">
            <w:proofErr w:type="spellStart"/>
            <w:r w:rsidRPr="004C7410">
              <w:t>date_survey</w:t>
            </w:r>
            <w:proofErr w:type="spellEnd"/>
          </w:p>
        </w:tc>
        <w:tc>
          <w:tcPr>
            <w:tcW w:w="990" w:type="dxa"/>
            <w:tcBorders>
              <w:top w:val="single" w:sz="4" w:space="0" w:color="auto"/>
              <w:left w:val="single" w:sz="4" w:space="0" w:color="auto"/>
              <w:bottom w:val="single" w:sz="4" w:space="0" w:color="auto"/>
              <w:right w:val="single" w:sz="4" w:space="0" w:color="auto"/>
            </w:tcBorders>
          </w:tcPr>
          <w:p w14:paraId="58037DBC" w14:textId="77777777" w:rsidR="005E50AB" w:rsidRPr="004C7410" w:rsidRDefault="005E50AB" w:rsidP="005E50AB">
            <w:r w:rsidRPr="004C7410">
              <w:t>YYYY/MM</w:t>
            </w:r>
          </w:p>
          <w:p w14:paraId="18FB750F" w14:textId="77777777" w:rsidR="005E50AB" w:rsidRPr="004C7410" w:rsidRDefault="005E50AB" w:rsidP="005E50AB">
            <w:r w:rsidRPr="004C7410">
              <w:t>/DD</w:t>
            </w:r>
          </w:p>
        </w:tc>
        <w:tc>
          <w:tcPr>
            <w:tcW w:w="4675" w:type="dxa"/>
            <w:tcBorders>
              <w:top w:val="single" w:sz="4" w:space="0" w:color="auto"/>
              <w:left w:val="single" w:sz="4" w:space="0" w:color="auto"/>
              <w:bottom w:val="single" w:sz="4" w:space="0" w:color="auto"/>
              <w:right w:val="single" w:sz="4" w:space="0" w:color="auto"/>
            </w:tcBorders>
          </w:tcPr>
          <w:p w14:paraId="01C6792D" w14:textId="77777777" w:rsidR="005E50AB" w:rsidRPr="004C7410" w:rsidRDefault="005E50AB" w:rsidP="005E50AB">
            <w:pPr>
              <w:rPr>
                <w:rFonts w:ascii="Calibri" w:hAnsi="Calibri" w:cs="Calibri"/>
                <w:color w:val="000000"/>
              </w:rPr>
            </w:pPr>
            <w:r w:rsidRPr="004C7410">
              <w:rPr>
                <w:rFonts w:ascii="Calibri" w:hAnsi="Calibri" w:cs="Calibri"/>
                <w:color w:val="000000"/>
              </w:rPr>
              <w:t>used to put resurvey data in temporal context, if resurvey data is provided</w:t>
            </w:r>
          </w:p>
        </w:tc>
        <w:tc>
          <w:tcPr>
            <w:tcW w:w="4675" w:type="dxa"/>
            <w:tcBorders>
              <w:top w:val="single" w:sz="4" w:space="0" w:color="auto"/>
              <w:left w:val="single" w:sz="4" w:space="0" w:color="auto"/>
              <w:bottom w:val="single" w:sz="4" w:space="0" w:color="auto"/>
              <w:right w:val="single" w:sz="4" w:space="0" w:color="auto"/>
            </w:tcBorders>
            <w:vAlign w:val="center"/>
          </w:tcPr>
          <w:p w14:paraId="362353B8" w14:textId="77777777" w:rsidR="005E50AB" w:rsidRPr="004C7410" w:rsidRDefault="005E50AB" w:rsidP="00191792">
            <w:pPr>
              <w:rPr>
                <w:rFonts w:ascii="Calibri" w:hAnsi="Calibri" w:cs="Calibri"/>
                <w:color w:val="000000"/>
              </w:rPr>
            </w:pPr>
          </w:p>
        </w:tc>
      </w:tr>
      <w:tr w:rsidR="005E50AB" w:rsidRPr="004C7410" w14:paraId="685E207D"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78D3AC6C" w14:textId="77777777" w:rsidR="005E50AB" w:rsidRPr="004C7410" w:rsidRDefault="005E50AB" w:rsidP="005E50AB">
            <w:pPr>
              <w:rPr>
                <w:bCs/>
              </w:rPr>
            </w:pPr>
            <w:r w:rsidRPr="004C7410">
              <w:rPr>
                <w:bCs/>
              </w:rPr>
              <w:t>survey notes</w:t>
            </w:r>
          </w:p>
        </w:tc>
        <w:tc>
          <w:tcPr>
            <w:tcW w:w="1890" w:type="dxa"/>
            <w:tcBorders>
              <w:top w:val="single" w:sz="4" w:space="0" w:color="auto"/>
              <w:left w:val="single" w:sz="4" w:space="0" w:color="auto"/>
              <w:bottom w:val="single" w:sz="4" w:space="0" w:color="auto"/>
              <w:right w:val="single" w:sz="4" w:space="0" w:color="auto"/>
            </w:tcBorders>
          </w:tcPr>
          <w:p w14:paraId="6B8AAA4F" w14:textId="77777777" w:rsidR="005E50AB" w:rsidRPr="004C7410" w:rsidRDefault="005E50AB" w:rsidP="005E50AB">
            <w:proofErr w:type="spellStart"/>
            <w:r w:rsidRPr="004C7410">
              <w:t>notes_survey</w:t>
            </w:r>
            <w:proofErr w:type="spellEnd"/>
          </w:p>
        </w:tc>
        <w:tc>
          <w:tcPr>
            <w:tcW w:w="990" w:type="dxa"/>
            <w:tcBorders>
              <w:top w:val="single" w:sz="4" w:space="0" w:color="auto"/>
              <w:left w:val="single" w:sz="4" w:space="0" w:color="auto"/>
              <w:bottom w:val="single" w:sz="4" w:space="0" w:color="auto"/>
              <w:right w:val="single" w:sz="4" w:space="0" w:color="auto"/>
            </w:tcBorders>
          </w:tcPr>
          <w:p w14:paraId="41B49B4D" w14:textId="77777777" w:rsidR="005E50AB" w:rsidRPr="004C7410" w:rsidRDefault="005E50AB" w:rsidP="005E50AB"/>
        </w:tc>
        <w:tc>
          <w:tcPr>
            <w:tcW w:w="4675" w:type="dxa"/>
            <w:tcBorders>
              <w:top w:val="single" w:sz="4" w:space="0" w:color="auto"/>
              <w:left w:val="single" w:sz="4" w:space="0" w:color="auto"/>
              <w:bottom w:val="single" w:sz="4" w:space="0" w:color="auto"/>
              <w:right w:val="single" w:sz="4" w:space="0" w:color="auto"/>
            </w:tcBorders>
          </w:tcPr>
          <w:p w14:paraId="48B6A387" w14:textId="77777777" w:rsidR="005E50AB" w:rsidRPr="004C7410" w:rsidRDefault="005E50AB" w:rsidP="005E50AB">
            <w:pPr>
              <w:rPr>
                <w:rFonts w:ascii="Calibri" w:hAnsi="Calibri" w:cs="Calibri"/>
                <w:color w:val="000000"/>
              </w:rPr>
            </w:pPr>
            <w:r w:rsidRPr="004C7410">
              <w:rPr>
                <w:rFonts w:ascii="Calibri" w:hAnsi="Calibri" w:cs="Calibri"/>
                <w:color w:val="000000"/>
              </w:rPr>
              <w:t>used to provide additional context for jam characteristics</w:t>
            </w:r>
          </w:p>
        </w:tc>
        <w:tc>
          <w:tcPr>
            <w:tcW w:w="4675" w:type="dxa"/>
            <w:tcBorders>
              <w:top w:val="single" w:sz="4" w:space="0" w:color="auto"/>
              <w:left w:val="single" w:sz="4" w:space="0" w:color="auto"/>
              <w:bottom w:val="single" w:sz="4" w:space="0" w:color="auto"/>
              <w:right w:val="single" w:sz="4" w:space="0" w:color="auto"/>
            </w:tcBorders>
            <w:vAlign w:val="center"/>
          </w:tcPr>
          <w:p w14:paraId="21AC419E" w14:textId="78A1EEFC" w:rsidR="005E50AB" w:rsidRPr="004C7410" w:rsidRDefault="005E50AB" w:rsidP="00191792">
            <w:pPr>
              <w:rPr>
                <w:rFonts w:ascii="Calibri" w:hAnsi="Calibri" w:cs="Calibri"/>
                <w:color w:val="000000"/>
              </w:rPr>
            </w:pPr>
          </w:p>
        </w:tc>
      </w:tr>
      <w:tr w:rsidR="005E50AB" w:rsidRPr="004C7410" w14:paraId="31AC6B94"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7E11504B" w14:textId="77777777" w:rsidR="005E50AB" w:rsidRPr="004C7410" w:rsidRDefault="005E50AB" w:rsidP="005E50AB">
            <w:pPr>
              <w:rPr>
                <w:bCs/>
              </w:rPr>
            </w:pPr>
            <w:r w:rsidRPr="004C7410">
              <w:rPr>
                <w:bCs/>
              </w:rPr>
              <w:t>recharacterization needed</w:t>
            </w:r>
          </w:p>
        </w:tc>
        <w:tc>
          <w:tcPr>
            <w:tcW w:w="1890" w:type="dxa"/>
            <w:tcBorders>
              <w:top w:val="single" w:sz="4" w:space="0" w:color="auto"/>
              <w:left w:val="single" w:sz="4" w:space="0" w:color="auto"/>
              <w:bottom w:val="single" w:sz="4" w:space="0" w:color="auto"/>
              <w:right w:val="single" w:sz="4" w:space="0" w:color="auto"/>
            </w:tcBorders>
          </w:tcPr>
          <w:p w14:paraId="79425B3B" w14:textId="77777777" w:rsidR="005E50AB" w:rsidRPr="004C7410" w:rsidRDefault="005E50AB" w:rsidP="005E50AB">
            <w:proofErr w:type="spellStart"/>
            <w:r w:rsidRPr="004C7410">
              <w:t>recharacterization_needed</w:t>
            </w:r>
            <w:proofErr w:type="spellEnd"/>
          </w:p>
        </w:tc>
        <w:tc>
          <w:tcPr>
            <w:tcW w:w="990" w:type="dxa"/>
            <w:tcBorders>
              <w:top w:val="single" w:sz="4" w:space="0" w:color="auto"/>
              <w:left w:val="single" w:sz="4" w:space="0" w:color="auto"/>
              <w:bottom w:val="single" w:sz="4" w:space="0" w:color="auto"/>
              <w:right w:val="single" w:sz="4" w:space="0" w:color="auto"/>
            </w:tcBorders>
          </w:tcPr>
          <w:p w14:paraId="01B2EEBB" w14:textId="77777777" w:rsidR="005E50AB" w:rsidRPr="004C7410" w:rsidRDefault="005E50AB" w:rsidP="005E50AB">
            <w:r w:rsidRPr="004C7410">
              <w:t>y, n</w:t>
            </w:r>
          </w:p>
        </w:tc>
        <w:tc>
          <w:tcPr>
            <w:tcW w:w="4675" w:type="dxa"/>
            <w:tcBorders>
              <w:top w:val="single" w:sz="4" w:space="0" w:color="auto"/>
              <w:left w:val="single" w:sz="4" w:space="0" w:color="auto"/>
              <w:bottom w:val="single" w:sz="4" w:space="0" w:color="auto"/>
              <w:right w:val="single" w:sz="4" w:space="0" w:color="auto"/>
            </w:tcBorders>
          </w:tcPr>
          <w:p w14:paraId="487D3EFF" w14:textId="77777777" w:rsidR="005E50AB" w:rsidRPr="004C7410" w:rsidRDefault="005E50AB" w:rsidP="005E50AB">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any of the above variables (including channel dimensions) have changed since the initial survey </w:t>
            </w:r>
          </w:p>
        </w:tc>
        <w:tc>
          <w:tcPr>
            <w:tcW w:w="4675" w:type="dxa"/>
            <w:tcBorders>
              <w:top w:val="single" w:sz="4" w:space="0" w:color="auto"/>
              <w:left w:val="single" w:sz="4" w:space="0" w:color="auto"/>
              <w:bottom w:val="single" w:sz="4" w:space="0" w:color="auto"/>
              <w:right w:val="single" w:sz="4" w:space="0" w:color="auto"/>
            </w:tcBorders>
            <w:vAlign w:val="center"/>
          </w:tcPr>
          <w:p w14:paraId="07E685EC" w14:textId="005B962E" w:rsidR="005E50AB" w:rsidRPr="004C7410" w:rsidRDefault="005E50AB" w:rsidP="00191792">
            <w:pPr>
              <w:rPr>
                <w:rFonts w:ascii="Calibri" w:hAnsi="Calibri" w:cs="Calibri"/>
                <w:color w:val="000000"/>
              </w:rPr>
            </w:pPr>
          </w:p>
        </w:tc>
      </w:tr>
      <w:tr w:rsidR="00191792" w:rsidRPr="004C7410" w14:paraId="3CA452D4"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3EA7D320" w14:textId="77777777" w:rsidR="00191792" w:rsidRPr="004C7410" w:rsidRDefault="00191792" w:rsidP="00191792">
            <w:pPr>
              <w:rPr>
                <w:bCs/>
              </w:rPr>
            </w:pPr>
            <w:r w:rsidRPr="004C7410">
              <w:rPr>
                <w:bCs/>
              </w:rPr>
              <w:t>resurvey picture time</w:t>
            </w:r>
          </w:p>
        </w:tc>
        <w:tc>
          <w:tcPr>
            <w:tcW w:w="1890" w:type="dxa"/>
            <w:tcBorders>
              <w:top w:val="single" w:sz="4" w:space="0" w:color="auto"/>
              <w:left w:val="single" w:sz="4" w:space="0" w:color="auto"/>
              <w:bottom w:val="single" w:sz="4" w:space="0" w:color="auto"/>
              <w:right w:val="single" w:sz="4" w:space="0" w:color="auto"/>
            </w:tcBorders>
          </w:tcPr>
          <w:p w14:paraId="475B3B9B" w14:textId="77777777" w:rsidR="00191792" w:rsidRPr="004C7410" w:rsidRDefault="00191792" w:rsidP="00191792">
            <w:proofErr w:type="spellStart"/>
            <w:r w:rsidRPr="004C7410">
              <w:t>pic_time_resurvey</w:t>
            </w:r>
            <w:proofErr w:type="spellEnd"/>
          </w:p>
        </w:tc>
        <w:tc>
          <w:tcPr>
            <w:tcW w:w="990" w:type="dxa"/>
            <w:tcBorders>
              <w:top w:val="single" w:sz="4" w:space="0" w:color="auto"/>
              <w:left w:val="single" w:sz="4" w:space="0" w:color="auto"/>
              <w:bottom w:val="single" w:sz="4" w:space="0" w:color="auto"/>
              <w:right w:val="single" w:sz="4" w:space="0" w:color="auto"/>
            </w:tcBorders>
          </w:tcPr>
          <w:p w14:paraId="120A8001" w14:textId="77777777" w:rsidR="00191792" w:rsidRPr="004C7410" w:rsidRDefault="00191792" w:rsidP="00191792">
            <w:r w:rsidRPr="004C7410">
              <w:t>HH:MM</w:t>
            </w:r>
          </w:p>
        </w:tc>
        <w:tc>
          <w:tcPr>
            <w:tcW w:w="4675" w:type="dxa"/>
            <w:tcBorders>
              <w:top w:val="single" w:sz="4" w:space="0" w:color="auto"/>
              <w:left w:val="single" w:sz="4" w:space="0" w:color="auto"/>
              <w:bottom w:val="single" w:sz="4" w:space="0" w:color="auto"/>
              <w:right w:val="single" w:sz="4" w:space="0" w:color="auto"/>
            </w:tcBorders>
          </w:tcPr>
          <w:p w14:paraId="37DD5FE9" w14:textId="77777777" w:rsidR="00191792" w:rsidRPr="004C7410" w:rsidRDefault="00191792" w:rsidP="00191792">
            <w:pPr>
              <w:rPr>
                <w:rFonts w:ascii="Calibri" w:hAnsi="Calibri" w:cs="Calibri"/>
                <w:color w:val="000000"/>
              </w:rPr>
            </w:pPr>
            <w:r w:rsidRPr="004C7410">
              <w:rPr>
                <w:rFonts w:ascii="Calibri" w:hAnsi="Calibri" w:cs="Calibri"/>
                <w:color w:val="000000"/>
              </w:rPr>
              <w:t>used to reference photographs taken of jam for use in detecting change during resurveys</w:t>
            </w:r>
          </w:p>
        </w:tc>
        <w:tc>
          <w:tcPr>
            <w:tcW w:w="4675" w:type="dxa"/>
            <w:tcBorders>
              <w:top w:val="single" w:sz="4" w:space="0" w:color="auto"/>
              <w:left w:val="single" w:sz="4" w:space="0" w:color="auto"/>
              <w:bottom w:val="single" w:sz="4" w:space="0" w:color="auto"/>
              <w:right w:val="single" w:sz="4" w:space="0" w:color="auto"/>
            </w:tcBorders>
            <w:vAlign w:val="center"/>
          </w:tcPr>
          <w:p w14:paraId="42B5344D" w14:textId="5B29EF49" w:rsidR="00191792" w:rsidRPr="004C7410" w:rsidRDefault="00191792" w:rsidP="00191792">
            <w:pPr>
              <w:rPr>
                <w:rFonts w:ascii="Calibri" w:hAnsi="Calibri" w:cs="Calibri"/>
                <w:color w:val="000000"/>
              </w:rPr>
            </w:pPr>
          </w:p>
        </w:tc>
      </w:tr>
      <w:tr w:rsidR="00191792" w:rsidRPr="004C7410" w14:paraId="57966D09"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070A553A" w14:textId="77777777" w:rsidR="00191792" w:rsidRPr="004C7410" w:rsidRDefault="00191792" w:rsidP="00191792">
            <w:pPr>
              <w:rPr>
                <w:bCs/>
              </w:rPr>
            </w:pPr>
            <w:r w:rsidRPr="004C7410">
              <w:rPr>
                <w:bCs/>
              </w:rPr>
              <w:t>date of resurvey</w:t>
            </w:r>
          </w:p>
        </w:tc>
        <w:tc>
          <w:tcPr>
            <w:tcW w:w="1890" w:type="dxa"/>
            <w:tcBorders>
              <w:top w:val="single" w:sz="4" w:space="0" w:color="auto"/>
              <w:left w:val="single" w:sz="4" w:space="0" w:color="auto"/>
              <w:bottom w:val="single" w:sz="4" w:space="0" w:color="auto"/>
              <w:right w:val="single" w:sz="4" w:space="0" w:color="auto"/>
            </w:tcBorders>
          </w:tcPr>
          <w:p w14:paraId="32744D1D" w14:textId="77777777" w:rsidR="00191792" w:rsidRPr="004C7410" w:rsidRDefault="00191792" w:rsidP="00191792">
            <w:proofErr w:type="spellStart"/>
            <w:r w:rsidRPr="004C7410">
              <w:t>date_resurvey</w:t>
            </w:r>
            <w:proofErr w:type="spellEnd"/>
          </w:p>
        </w:tc>
        <w:tc>
          <w:tcPr>
            <w:tcW w:w="990" w:type="dxa"/>
            <w:tcBorders>
              <w:top w:val="single" w:sz="4" w:space="0" w:color="auto"/>
              <w:left w:val="single" w:sz="4" w:space="0" w:color="auto"/>
              <w:bottom w:val="single" w:sz="4" w:space="0" w:color="auto"/>
              <w:right w:val="single" w:sz="4" w:space="0" w:color="auto"/>
            </w:tcBorders>
          </w:tcPr>
          <w:p w14:paraId="32BF3078" w14:textId="77777777" w:rsidR="00191792" w:rsidRPr="004C7410" w:rsidRDefault="00191792" w:rsidP="00191792">
            <w:r w:rsidRPr="004C7410">
              <w:t>YYYY/MM</w:t>
            </w:r>
          </w:p>
          <w:p w14:paraId="6BB34AC0" w14:textId="77777777" w:rsidR="00191792" w:rsidRPr="004C7410" w:rsidRDefault="00191792" w:rsidP="00191792">
            <w:r w:rsidRPr="004C7410">
              <w:t>/DD</w:t>
            </w:r>
          </w:p>
        </w:tc>
        <w:tc>
          <w:tcPr>
            <w:tcW w:w="4675" w:type="dxa"/>
            <w:tcBorders>
              <w:top w:val="single" w:sz="4" w:space="0" w:color="auto"/>
              <w:left w:val="single" w:sz="4" w:space="0" w:color="auto"/>
              <w:bottom w:val="single" w:sz="4" w:space="0" w:color="auto"/>
              <w:right w:val="single" w:sz="4" w:space="0" w:color="auto"/>
            </w:tcBorders>
          </w:tcPr>
          <w:p w14:paraId="58479BD0" w14:textId="77777777" w:rsidR="00191792" w:rsidRPr="004C7410" w:rsidRDefault="00191792" w:rsidP="00191792">
            <w:pPr>
              <w:rPr>
                <w:rFonts w:ascii="Calibri" w:hAnsi="Calibri" w:cs="Calibri"/>
                <w:color w:val="000000"/>
              </w:rPr>
            </w:pPr>
            <w:r w:rsidRPr="004C7410">
              <w:rPr>
                <w:rFonts w:ascii="Calibri" w:hAnsi="Calibri" w:cs="Calibri"/>
                <w:color w:val="000000"/>
              </w:rPr>
              <w:t>used to put resurvey data in context, if resurvey data is provided</w:t>
            </w:r>
          </w:p>
        </w:tc>
        <w:tc>
          <w:tcPr>
            <w:tcW w:w="4675" w:type="dxa"/>
            <w:tcBorders>
              <w:top w:val="single" w:sz="4" w:space="0" w:color="auto"/>
              <w:left w:val="single" w:sz="4" w:space="0" w:color="auto"/>
              <w:bottom w:val="single" w:sz="4" w:space="0" w:color="auto"/>
              <w:right w:val="single" w:sz="4" w:space="0" w:color="auto"/>
            </w:tcBorders>
            <w:vAlign w:val="center"/>
          </w:tcPr>
          <w:p w14:paraId="4E316256" w14:textId="77777777" w:rsidR="00191792" w:rsidRPr="004C7410" w:rsidRDefault="00191792" w:rsidP="00191792">
            <w:pPr>
              <w:rPr>
                <w:rFonts w:ascii="Calibri" w:hAnsi="Calibri" w:cs="Calibri"/>
                <w:color w:val="000000"/>
              </w:rPr>
            </w:pPr>
          </w:p>
        </w:tc>
      </w:tr>
      <w:tr w:rsidR="00191792" w:rsidRPr="004C7410" w14:paraId="38EB868E"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40E1CC69" w14:textId="77777777" w:rsidR="00191792" w:rsidRPr="004C7410" w:rsidRDefault="00191792" w:rsidP="00191792">
            <w:pPr>
              <w:rPr>
                <w:bCs/>
              </w:rPr>
            </w:pPr>
            <w:r w:rsidRPr="004C7410">
              <w:rPr>
                <w:bCs/>
              </w:rPr>
              <w:t>resurvey notes</w:t>
            </w:r>
          </w:p>
        </w:tc>
        <w:tc>
          <w:tcPr>
            <w:tcW w:w="1890" w:type="dxa"/>
            <w:tcBorders>
              <w:top w:val="single" w:sz="4" w:space="0" w:color="auto"/>
              <w:left w:val="single" w:sz="4" w:space="0" w:color="auto"/>
              <w:bottom w:val="single" w:sz="4" w:space="0" w:color="auto"/>
              <w:right w:val="single" w:sz="4" w:space="0" w:color="auto"/>
            </w:tcBorders>
          </w:tcPr>
          <w:p w14:paraId="316B9F54" w14:textId="77777777" w:rsidR="00191792" w:rsidRPr="004C7410" w:rsidRDefault="00191792" w:rsidP="00191792">
            <w:proofErr w:type="spellStart"/>
            <w:r w:rsidRPr="004C7410">
              <w:t>notes_resurvey</w:t>
            </w:r>
            <w:proofErr w:type="spellEnd"/>
          </w:p>
        </w:tc>
        <w:tc>
          <w:tcPr>
            <w:tcW w:w="990" w:type="dxa"/>
            <w:tcBorders>
              <w:top w:val="single" w:sz="4" w:space="0" w:color="auto"/>
              <w:left w:val="single" w:sz="4" w:space="0" w:color="auto"/>
              <w:bottom w:val="single" w:sz="4" w:space="0" w:color="auto"/>
              <w:right w:val="single" w:sz="4" w:space="0" w:color="auto"/>
            </w:tcBorders>
          </w:tcPr>
          <w:p w14:paraId="08CC226D" w14:textId="77777777" w:rsidR="00191792" w:rsidRPr="004C7410" w:rsidRDefault="00191792" w:rsidP="00191792"/>
        </w:tc>
        <w:tc>
          <w:tcPr>
            <w:tcW w:w="4675" w:type="dxa"/>
            <w:tcBorders>
              <w:top w:val="single" w:sz="4" w:space="0" w:color="auto"/>
              <w:left w:val="single" w:sz="4" w:space="0" w:color="auto"/>
              <w:bottom w:val="single" w:sz="4" w:space="0" w:color="auto"/>
              <w:right w:val="single" w:sz="4" w:space="0" w:color="auto"/>
            </w:tcBorders>
          </w:tcPr>
          <w:p w14:paraId="1A5158F6" w14:textId="7C76AFDF" w:rsidR="00191792" w:rsidRPr="004C7410" w:rsidRDefault="00191792" w:rsidP="00191792">
            <w:pPr>
              <w:rPr>
                <w:rFonts w:ascii="Calibri" w:hAnsi="Calibri" w:cs="Calibri"/>
                <w:color w:val="000000"/>
              </w:rPr>
            </w:pPr>
            <w:r w:rsidRPr="004C7410">
              <w:rPr>
                <w:rFonts w:ascii="Calibri" w:hAnsi="Calibri" w:cs="Calibri"/>
                <w:color w:val="000000"/>
              </w:rPr>
              <w:t xml:space="preserve">used to record change while in the field and provide </w:t>
            </w:r>
            <w:r w:rsidR="00D826E1" w:rsidRPr="004C7410">
              <w:rPr>
                <w:rFonts w:ascii="Calibri" w:hAnsi="Calibri" w:cs="Calibri"/>
                <w:color w:val="000000"/>
              </w:rPr>
              <w:t>contextual</w:t>
            </w:r>
            <w:r w:rsidRPr="004C7410">
              <w:rPr>
                <w:rFonts w:ascii="Calibri" w:hAnsi="Calibri" w:cs="Calibri"/>
                <w:color w:val="000000"/>
              </w:rPr>
              <w:t xml:space="preserve"> </w:t>
            </w:r>
            <w:r w:rsidR="00D826E1" w:rsidRPr="004C7410">
              <w:rPr>
                <w:rFonts w:ascii="Calibri" w:hAnsi="Calibri" w:cs="Calibri"/>
                <w:color w:val="000000"/>
              </w:rPr>
              <w:t>details</w:t>
            </w:r>
            <w:r w:rsidRPr="004C7410">
              <w:rPr>
                <w:rFonts w:ascii="Calibri" w:hAnsi="Calibri" w:cs="Calibri"/>
                <w:color w:val="000000"/>
              </w:rPr>
              <w:t xml:space="preserve"> (e.g., which logs were lost, how channel morphology may have changed, etc.)</w:t>
            </w:r>
          </w:p>
        </w:tc>
        <w:tc>
          <w:tcPr>
            <w:tcW w:w="4675" w:type="dxa"/>
            <w:tcBorders>
              <w:top w:val="single" w:sz="4" w:space="0" w:color="auto"/>
              <w:left w:val="single" w:sz="4" w:space="0" w:color="auto"/>
              <w:bottom w:val="single" w:sz="4" w:space="0" w:color="auto"/>
              <w:right w:val="single" w:sz="4" w:space="0" w:color="auto"/>
            </w:tcBorders>
            <w:vAlign w:val="center"/>
          </w:tcPr>
          <w:p w14:paraId="3DCE9309" w14:textId="77777777" w:rsidR="00191792" w:rsidRPr="004C7410" w:rsidRDefault="00191792" w:rsidP="00191792">
            <w:pPr>
              <w:rPr>
                <w:rFonts w:ascii="Calibri" w:hAnsi="Calibri" w:cs="Calibri"/>
                <w:color w:val="000000"/>
              </w:rPr>
            </w:pPr>
          </w:p>
        </w:tc>
      </w:tr>
      <w:tr w:rsidR="00191792" w:rsidRPr="004C7410" w14:paraId="0C75AC69"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3E95B799" w14:textId="77777777" w:rsidR="00191792" w:rsidRPr="004C7410" w:rsidRDefault="00191792" w:rsidP="00191792">
            <w:pPr>
              <w:rPr>
                <w:bCs/>
              </w:rPr>
            </w:pPr>
            <w:r w:rsidRPr="004C7410">
              <w:rPr>
                <w:bCs/>
              </w:rPr>
              <w:t>qualitative magnitude of high flow</w:t>
            </w:r>
          </w:p>
        </w:tc>
        <w:tc>
          <w:tcPr>
            <w:tcW w:w="1890" w:type="dxa"/>
            <w:tcBorders>
              <w:top w:val="single" w:sz="4" w:space="0" w:color="auto"/>
              <w:left w:val="single" w:sz="4" w:space="0" w:color="auto"/>
              <w:bottom w:val="single" w:sz="4" w:space="0" w:color="auto"/>
              <w:right w:val="single" w:sz="4" w:space="0" w:color="auto"/>
            </w:tcBorders>
          </w:tcPr>
          <w:p w14:paraId="10B14366" w14:textId="77777777" w:rsidR="00191792" w:rsidRPr="004C7410" w:rsidRDefault="00191792" w:rsidP="00191792">
            <w:proofErr w:type="spellStart"/>
            <w:r w:rsidRPr="004C7410">
              <w:t>qual_mag_high_flow</w:t>
            </w:r>
            <w:proofErr w:type="spellEnd"/>
          </w:p>
        </w:tc>
        <w:tc>
          <w:tcPr>
            <w:tcW w:w="990" w:type="dxa"/>
            <w:tcBorders>
              <w:top w:val="single" w:sz="4" w:space="0" w:color="auto"/>
              <w:left w:val="single" w:sz="4" w:space="0" w:color="auto"/>
              <w:bottom w:val="single" w:sz="4" w:space="0" w:color="auto"/>
              <w:right w:val="single" w:sz="4" w:space="0" w:color="auto"/>
            </w:tcBorders>
          </w:tcPr>
          <w:p w14:paraId="7B735939" w14:textId="77777777" w:rsidR="00191792" w:rsidRPr="004C7410" w:rsidRDefault="00191792" w:rsidP="00191792">
            <w:r w:rsidRPr="004C7410">
              <w:t>below, near, or above bankfull</w:t>
            </w:r>
          </w:p>
        </w:tc>
        <w:tc>
          <w:tcPr>
            <w:tcW w:w="4675" w:type="dxa"/>
            <w:tcBorders>
              <w:top w:val="single" w:sz="4" w:space="0" w:color="auto"/>
              <w:left w:val="single" w:sz="4" w:space="0" w:color="auto"/>
              <w:bottom w:val="single" w:sz="4" w:space="0" w:color="auto"/>
              <w:right w:val="single" w:sz="4" w:space="0" w:color="auto"/>
            </w:tcBorders>
          </w:tcPr>
          <w:p w14:paraId="1332D041" w14:textId="77777777" w:rsidR="00191792" w:rsidRPr="004C7410" w:rsidRDefault="00191792" w:rsidP="00191792">
            <w:pPr>
              <w:rPr>
                <w:rFonts w:ascii="Calibri" w:hAnsi="Calibri" w:cs="Calibri"/>
                <w:color w:val="000000"/>
              </w:rPr>
            </w:pPr>
            <w:r w:rsidRPr="004C7410">
              <w:rPr>
                <w:rFonts w:ascii="Calibri" w:hAnsi="Calibri" w:cs="Calibri"/>
                <w:color w:val="000000"/>
              </w:rPr>
              <w:t>estimate of the qualitative magnitude of high flow using geomorphic and vegetation markers of recent peak flows (or gage data if available)</w:t>
            </w:r>
          </w:p>
        </w:tc>
        <w:tc>
          <w:tcPr>
            <w:tcW w:w="4675" w:type="dxa"/>
            <w:tcBorders>
              <w:top w:val="single" w:sz="4" w:space="0" w:color="auto"/>
              <w:left w:val="single" w:sz="4" w:space="0" w:color="auto"/>
              <w:bottom w:val="single" w:sz="4" w:space="0" w:color="auto"/>
              <w:right w:val="single" w:sz="4" w:space="0" w:color="auto"/>
            </w:tcBorders>
            <w:vAlign w:val="center"/>
          </w:tcPr>
          <w:p w14:paraId="1F6BFA7F" w14:textId="1D04B81C" w:rsidR="00191792" w:rsidRPr="004C7410" w:rsidRDefault="00191792" w:rsidP="00191792">
            <w:pPr>
              <w:rPr>
                <w:rFonts w:ascii="Calibri" w:hAnsi="Calibri" w:cs="Calibri"/>
                <w:color w:val="000000"/>
              </w:rPr>
            </w:pPr>
            <w:r w:rsidRPr="004C7410">
              <w:rPr>
                <w:rFonts w:ascii="Calibri" w:hAnsi="Calibri" w:cs="Calibri"/>
                <w:color w:val="000000"/>
              </w:rPr>
              <w:t xml:space="preserve">Predictions are given for each category of this variable, as bankfull flow acts as a mobility threshold (section 3.2; </w:t>
            </w:r>
            <w:r w:rsidRPr="004C7410">
              <w:rPr>
                <w:rFonts w:ascii="Calibri" w:hAnsi="Calibri" w:cs="Calibri"/>
                <w:color w:val="000000"/>
              </w:rPr>
              <w:fldChar w:fldCharType="begin" w:fldLock="1"/>
            </w:r>
            <w:r w:rsidR="000B4D97" w:rsidRPr="004C7410">
              <w:rPr>
                <w:rFonts w:ascii="Calibri" w:hAnsi="Calibri" w:cs="Calibri"/>
                <w:color w:val="000000"/>
              </w:rPr>
              <w:instrText>ADDIN CSL_CITATION {"citationItems":[{"id":"ITEM-1","itemData":{"DOI":"10.1016/j.geomorph.2016.08.026","ISSN":"0169555X","abstract":"To effectively manage wood in rivers, we need a better understanding of wood mobility within river networks. Here, we review primarily field-based (and some numerical) studies of wood transport. We distinguish small, medium, large, and great rivers based on wood piece dimensions relative to channel and flow dimensions and dominant controls on wood transport. We suggest further identification and designation of wood transport regimes as a useful way to characterize spatial-temporal network heterogeneity and to conceptualize the primary controls on wood mobility in diverse river segments. We draw analogies between wood and bedload transport, including distinguishing Eulerian and Lagrangian approaches, exploring transport capacity, and quantifying thresholds of wood mobility. We identify mobility envelopes for remobilization of wood with relation to increasing peak discharges, stream size, and dimensionless log lengths. Wood transport in natural channels exhibits high spatial and temporal variability, with discontinuities along the channel network at bankfull flow and when log lengths equal channel widths. Although median mobilization rates increase with increasing channel size, maximum mobilization rates are greatest in medium-sized channels. Most wood is transported during relatively infrequent high flows, but flows under bankfull can transport up to 30% of stored wood. We use conceptual models of dynamic equilibrium of wood in storage and of spiralling wood transport paths through drainage networks, as well as a metaphor of traffic on a road, to explore discontinuous wood movement through a river network. The primary limitations to describing wood transport are inappropriate time scales of observation and lack of sufficient data on mobility from diverse rivers. Improving models of wood flux requires better characterization of average step lengths within the lifetime travel path of a piece of wood. We suggest that future studies focus on: (i) continuous or high-frequency monitoring of wood mobility; (ii) monitoring changes in wood storage; (iii) using wood characteristics to fingerprint wood sources; (iv) quantifying volumes of wood buried within river corridors; (v) obtaining existing or new data from unconventional sources, such as citizen science initiatives, and (vi) creating online interactive data platforms to facilitate data synthesis.","author":[{"dropping-particle":"","family":"Kramer","given":"Natalie","non-dropping-particle":"","parse-names":false,"suffix":""},{"dropping-particle":"","family":"Wohl","given":"Ellen","non-dropping-particle":"","parse-names":false,"suffix":""}],"container-title":"Geomorphology","id":"ITEM-1","issued":{"date-parts":[["2016"]]},"page":"74-97","publisher":"Elsevier B.V.","title":"Rules of the road: A qualitative and quantitative synthesis of large wood transport through drainage networks","type":"article-journal","volume":"279"},"uris":["http://www.mendeley.com/documents/?uuid=d19b7bc6-345c-4b56-a714-32e99311c66f"]}],"mendeley":{"formattedCitation":"(Kramer &amp; Wohl, 2016)","manualFormatting":"Kramer &amp; Wohl, 2016)","plainTextFormattedCitation":"(Kramer &amp; Wohl, 2016)","previouslyFormattedCitation":"(Kramer &amp; Wohl, 2016)"},"properties":{"noteIndex":0},"schema":"https://github.com/citation-style-language/schema/raw/master/csl-citation.json"}</w:instrText>
            </w:r>
            <w:r w:rsidRPr="004C7410">
              <w:rPr>
                <w:rFonts w:ascii="Calibri" w:hAnsi="Calibri" w:cs="Calibri"/>
                <w:color w:val="000000"/>
              </w:rPr>
              <w:fldChar w:fldCharType="separate"/>
            </w:r>
            <w:r w:rsidRPr="004C7410">
              <w:rPr>
                <w:rFonts w:ascii="Calibri" w:hAnsi="Calibri" w:cs="Calibri"/>
                <w:noProof/>
                <w:color w:val="000000"/>
              </w:rPr>
              <w:t>Kramer &amp; Wohl, 2016)</w:t>
            </w:r>
            <w:r w:rsidRPr="004C7410">
              <w:rPr>
                <w:rFonts w:ascii="Calibri" w:hAnsi="Calibri" w:cs="Calibri"/>
                <w:color w:val="000000"/>
              </w:rPr>
              <w:fldChar w:fldCharType="end"/>
            </w:r>
          </w:p>
        </w:tc>
      </w:tr>
      <w:tr w:rsidR="00191792" w:rsidRPr="004C7410" w14:paraId="2F3EEC23"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1963FC8F" w14:textId="77777777" w:rsidR="00191792" w:rsidRPr="004C7410" w:rsidRDefault="00191792" w:rsidP="00191792">
            <w:pPr>
              <w:rPr>
                <w:bCs/>
              </w:rPr>
            </w:pPr>
            <w:r w:rsidRPr="004C7410">
              <w:rPr>
                <w:bCs/>
              </w:rPr>
              <w:t>quantitative magnitude of high flow</w:t>
            </w:r>
          </w:p>
        </w:tc>
        <w:tc>
          <w:tcPr>
            <w:tcW w:w="1890" w:type="dxa"/>
            <w:tcBorders>
              <w:top w:val="single" w:sz="4" w:space="0" w:color="auto"/>
              <w:left w:val="single" w:sz="4" w:space="0" w:color="auto"/>
              <w:bottom w:val="single" w:sz="4" w:space="0" w:color="auto"/>
              <w:right w:val="single" w:sz="4" w:space="0" w:color="auto"/>
            </w:tcBorders>
          </w:tcPr>
          <w:p w14:paraId="2BDCA735" w14:textId="77777777" w:rsidR="00191792" w:rsidRPr="004C7410" w:rsidRDefault="00191792" w:rsidP="00191792">
            <w:pPr>
              <w:rPr>
                <w:rFonts w:ascii="Calibri" w:hAnsi="Calibri" w:cs="Calibri"/>
                <w:color w:val="000000"/>
              </w:rPr>
            </w:pPr>
            <w:proofErr w:type="spellStart"/>
            <w:r w:rsidRPr="004C7410">
              <w:rPr>
                <w:rFonts w:ascii="Calibri" w:hAnsi="Calibri" w:cs="Calibri"/>
                <w:color w:val="000000"/>
              </w:rPr>
              <w:t>quant_mag_high_flow</w:t>
            </w:r>
            <w:proofErr w:type="spellEnd"/>
          </w:p>
        </w:tc>
        <w:tc>
          <w:tcPr>
            <w:tcW w:w="990" w:type="dxa"/>
            <w:tcBorders>
              <w:top w:val="single" w:sz="4" w:space="0" w:color="auto"/>
              <w:left w:val="single" w:sz="4" w:space="0" w:color="auto"/>
              <w:bottom w:val="single" w:sz="4" w:space="0" w:color="auto"/>
              <w:right w:val="single" w:sz="4" w:space="0" w:color="auto"/>
            </w:tcBorders>
          </w:tcPr>
          <w:p w14:paraId="4B076B01" w14:textId="77777777" w:rsidR="00191792" w:rsidRPr="004C7410" w:rsidRDefault="00191792" w:rsidP="00191792">
            <w:proofErr w:type="spellStart"/>
            <w:r w:rsidRPr="004C7410">
              <w:t>cms</w:t>
            </w:r>
            <w:proofErr w:type="spellEnd"/>
          </w:p>
        </w:tc>
        <w:tc>
          <w:tcPr>
            <w:tcW w:w="4675" w:type="dxa"/>
            <w:tcBorders>
              <w:top w:val="single" w:sz="4" w:space="0" w:color="auto"/>
              <w:left w:val="single" w:sz="4" w:space="0" w:color="auto"/>
              <w:bottom w:val="single" w:sz="4" w:space="0" w:color="auto"/>
              <w:right w:val="single" w:sz="4" w:space="0" w:color="auto"/>
            </w:tcBorders>
          </w:tcPr>
          <w:p w14:paraId="76A0DB87" w14:textId="77777777" w:rsidR="00191792" w:rsidRPr="004C7410" w:rsidRDefault="00191792" w:rsidP="00191792">
            <w:pPr>
              <w:rPr>
                <w:rFonts w:ascii="Calibri" w:hAnsi="Calibri" w:cs="Calibri"/>
                <w:color w:val="000000"/>
              </w:rPr>
            </w:pPr>
            <w:r w:rsidRPr="004C7410">
              <w:rPr>
                <w:rFonts w:ascii="Calibri" w:hAnsi="Calibri" w:cs="Calibri"/>
                <w:color w:val="000000"/>
              </w:rPr>
              <w:t>optional: the quantitative magnitude of high flow can be estimated from nearby flow gage data during the period between surveys</w:t>
            </w:r>
          </w:p>
        </w:tc>
        <w:tc>
          <w:tcPr>
            <w:tcW w:w="4675" w:type="dxa"/>
            <w:tcBorders>
              <w:top w:val="single" w:sz="4" w:space="0" w:color="auto"/>
              <w:left w:val="single" w:sz="4" w:space="0" w:color="auto"/>
              <w:bottom w:val="single" w:sz="4" w:space="0" w:color="auto"/>
              <w:right w:val="single" w:sz="4" w:space="0" w:color="auto"/>
            </w:tcBorders>
            <w:vAlign w:val="center"/>
          </w:tcPr>
          <w:p w14:paraId="1412C5E7" w14:textId="77777777" w:rsidR="00191792" w:rsidRPr="004C7410" w:rsidRDefault="00191792" w:rsidP="00191792">
            <w:pPr>
              <w:rPr>
                <w:rFonts w:ascii="Calibri" w:hAnsi="Calibri" w:cs="Calibri"/>
                <w:color w:val="000000"/>
              </w:rPr>
            </w:pPr>
          </w:p>
        </w:tc>
      </w:tr>
      <w:tr w:rsidR="00191792" w:rsidRPr="004C7410" w14:paraId="7BEBC82F"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1BF5BD8E" w14:textId="77777777" w:rsidR="00191792" w:rsidRPr="004C7410" w:rsidRDefault="00191792" w:rsidP="00191792">
            <w:pPr>
              <w:rPr>
                <w:bCs/>
              </w:rPr>
            </w:pPr>
            <w:r w:rsidRPr="004C7410">
              <w:rPr>
                <w:bCs/>
              </w:rPr>
              <w:t>mobilized?</w:t>
            </w:r>
          </w:p>
        </w:tc>
        <w:tc>
          <w:tcPr>
            <w:tcW w:w="1890" w:type="dxa"/>
            <w:tcBorders>
              <w:top w:val="single" w:sz="4" w:space="0" w:color="auto"/>
              <w:left w:val="single" w:sz="4" w:space="0" w:color="auto"/>
              <w:bottom w:val="single" w:sz="4" w:space="0" w:color="auto"/>
              <w:right w:val="single" w:sz="4" w:space="0" w:color="auto"/>
            </w:tcBorders>
          </w:tcPr>
          <w:p w14:paraId="3D75A4F6" w14:textId="77777777" w:rsidR="00191792" w:rsidRPr="004C7410" w:rsidRDefault="00191792" w:rsidP="00191792">
            <w:r w:rsidRPr="004C7410">
              <w:t>mobilized</w:t>
            </w:r>
          </w:p>
        </w:tc>
        <w:tc>
          <w:tcPr>
            <w:tcW w:w="990" w:type="dxa"/>
            <w:tcBorders>
              <w:top w:val="single" w:sz="4" w:space="0" w:color="auto"/>
              <w:left w:val="single" w:sz="4" w:space="0" w:color="auto"/>
              <w:bottom w:val="single" w:sz="4" w:space="0" w:color="auto"/>
              <w:right w:val="single" w:sz="4" w:space="0" w:color="auto"/>
            </w:tcBorders>
          </w:tcPr>
          <w:p w14:paraId="654649EE" w14:textId="77777777" w:rsidR="00191792" w:rsidRPr="004C7410" w:rsidRDefault="00191792" w:rsidP="00191792">
            <w:r w:rsidRPr="004C7410">
              <w:t>y, n</w:t>
            </w:r>
          </w:p>
        </w:tc>
        <w:tc>
          <w:tcPr>
            <w:tcW w:w="4675" w:type="dxa"/>
            <w:tcBorders>
              <w:top w:val="single" w:sz="4" w:space="0" w:color="auto"/>
              <w:left w:val="single" w:sz="4" w:space="0" w:color="auto"/>
              <w:bottom w:val="single" w:sz="4" w:space="0" w:color="auto"/>
              <w:right w:val="single" w:sz="4" w:space="0" w:color="auto"/>
            </w:tcBorders>
          </w:tcPr>
          <w:p w14:paraId="548F2420" w14:textId="77777777" w:rsidR="00191792" w:rsidRPr="004C7410" w:rsidRDefault="00191792" w:rsidP="00191792">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upon resurvey, wood jam is found to be either no longer a jam (lost enough pieces to be </w:t>
            </w:r>
            <w:r w:rsidRPr="004C7410">
              <w:rPr>
                <w:rFonts w:ascii="Calibri" w:hAnsi="Calibri" w:cs="Calibri"/>
                <w:color w:val="000000"/>
              </w:rPr>
              <w:lastRenderedPageBreak/>
              <w:t>less than 3 pieces touching) or completely gone from its initial position</w:t>
            </w:r>
          </w:p>
        </w:tc>
        <w:tc>
          <w:tcPr>
            <w:tcW w:w="4675" w:type="dxa"/>
            <w:vMerge w:val="restart"/>
            <w:tcBorders>
              <w:top w:val="single" w:sz="4" w:space="0" w:color="auto"/>
              <w:left w:val="single" w:sz="4" w:space="0" w:color="auto"/>
              <w:right w:val="single" w:sz="4" w:space="0" w:color="auto"/>
            </w:tcBorders>
            <w:vAlign w:val="center"/>
          </w:tcPr>
          <w:p w14:paraId="1269B259" w14:textId="69259D4C" w:rsidR="00191792" w:rsidRPr="004C7410" w:rsidRDefault="00191792" w:rsidP="00191792">
            <w:pPr>
              <w:rPr>
                <w:rFonts w:ascii="Calibri" w:hAnsi="Calibri" w:cs="Calibri"/>
                <w:color w:val="000000"/>
              </w:rPr>
            </w:pPr>
            <w:r w:rsidRPr="004C7410">
              <w:rPr>
                <w:rFonts w:ascii="Calibri" w:hAnsi="Calibri" w:cs="Calibri"/>
                <w:color w:val="000000"/>
              </w:rPr>
              <w:lastRenderedPageBreak/>
              <w:t>Describes potential changes a wood jam can experience during a high flow</w:t>
            </w:r>
          </w:p>
        </w:tc>
      </w:tr>
      <w:tr w:rsidR="00191792" w:rsidRPr="004C7410" w14:paraId="7D3B1881"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1F6BBAB2" w14:textId="77777777" w:rsidR="00191792" w:rsidRPr="004C7410" w:rsidRDefault="00191792" w:rsidP="00191792">
            <w:pPr>
              <w:rPr>
                <w:bCs/>
              </w:rPr>
            </w:pPr>
            <w:r w:rsidRPr="004C7410">
              <w:rPr>
                <w:bCs/>
              </w:rPr>
              <w:t>lost wood?</w:t>
            </w:r>
          </w:p>
        </w:tc>
        <w:tc>
          <w:tcPr>
            <w:tcW w:w="1890" w:type="dxa"/>
            <w:tcBorders>
              <w:top w:val="single" w:sz="4" w:space="0" w:color="auto"/>
              <w:left w:val="single" w:sz="4" w:space="0" w:color="auto"/>
              <w:bottom w:val="single" w:sz="4" w:space="0" w:color="auto"/>
              <w:right w:val="single" w:sz="4" w:space="0" w:color="auto"/>
            </w:tcBorders>
          </w:tcPr>
          <w:p w14:paraId="02E60FD1" w14:textId="77777777" w:rsidR="00191792" w:rsidRPr="004C7410" w:rsidRDefault="00191792" w:rsidP="00191792">
            <w:proofErr w:type="spellStart"/>
            <w:r w:rsidRPr="004C7410">
              <w:t>lost_wood</w:t>
            </w:r>
            <w:proofErr w:type="spellEnd"/>
          </w:p>
        </w:tc>
        <w:tc>
          <w:tcPr>
            <w:tcW w:w="990" w:type="dxa"/>
            <w:tcBorders>
              <w:top w:val="single" w:sz="4" w:space="0" w:color="auto"/>
              <w:left w:val="single" w:sz="4" w:space="0" w:color="auto"/>
              <w:bottom w:val="single" w:sz="4" w:space="0" w:color="auto"/>
              <w:right w:val="single" w:sz="4" w:space="0" w:color="auto"/>
            </w:tcBorders>
          </w:tcPr>
          <w:p w14:paraId="4EF96D89" w14:textId="77777777" w:rsidR="00191792" w:rsidRPr="004C7410" w:rsidRDefault="00191792" w:rsidP="00191792">
            <w:r w:rsidRPr="004C7410">
              <w:t>y, n</w:t>
            </w:r>
          </w:p>
        </w:tc>
        <w:tc>
          <w:tcPr>
            <w:tcW w:w="4675" w:type="dxa"/>
            <w:tcBorders>
              <w:top w:val="single" w:sz="4" w:space="0" w:color="auto"/>
              <w:left w:val="single" w:sz="4" w:space="0" w:color="auto"/>
              <w:bottom w:val="single" w:sz="4" w:space="0" w:color="auto"/>
              <w:right w:val="single" w:sz="4" w:space="0" w:color="auto"/>
            </w:tcBorders>
          </w:tcPr>
          <w:p w14:paraId="51EC0BD8" w14:textId="77777777" w:rsidR="00191792" w:rsidRPr="004C7410" w:rsidRDefault="00191792" w:rsidP="00191792">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large wood pieces observed in the initial survey are unable to be located in the resurvey</w:t>
            </w:r>
          </w:p>
        </w:tc>
        <w:tc>
          <w:tcPr>
            <w:tcW w:w="4675" w:type="dxa"/>
            <w:vMerge/>
            <w:tcBorders>
              <w:left w:val="single" w:sz="4" w:space="0" w:color="auto"/>
              <w:right w:val="single" w:sz="4" w:space="0" w:color="auto"/>
            </w:tcBorders>
            <w:vAlign w:val="center"/>
          </w:tcPr>
          <w:p w14:paraId="678F3D9A" w14:textId="77777777" w:rsidR="00191792" w:rsidRPr="004C7410" w:rsidRDefault="00191792" w:rsidP="00191792">
            <w:pPr>
              <w:rPr>
                <w:rFonts w:ascii="Calibri" w:hAnsi="Calibri" w:cs="Calibri"/>
                <w:color w:val="000000"/>
              </w:rPr>
            </w:pPr>
          </w:p>
        </w:tc>
      </w:tr>
      <w:tr w:rsidR="00191792" w:rsidRPr="004C7410" w14:paraId="01098CAC"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5F280BB7" w14:textId="77777777" w:rsidR="00191792" w:rsidRPr="004C7410" w:rsidRDefault="00191792" w:rsidP="00191792">
            <w:pPr>
              <w:rPr>
                <w:bCs/>
              </w:rPr>
            </w:pPr>
            <w:r w:rsidRPr="004C7410">
              <w:rPr>
                <w:bCs/>
              </w:rPr>
              <w:t>accumulated wood?</w:t>
            </w:r>
          </w:p>
        </w:tc>
        <w:tc>
          <w:tcPr>
            <w:tcW w:w="1890" w:type="dxa"/>
            <w:tcBorders>
              <w:top w:val="single" w:sz="4" w:space="0" w:color="auto"/>
              <w:left w:val="single" w:sz="4" w:space="0" w:color="auto"/>
              <w:bottom w:val="single" w:sz="4" w:space="0" w:color="auto"/>
              <w:right w:val="single" w:sz="4" w:space="0" w:color="auto"/>
            </w:tcBorders>
          </w:tcPr>
          <w:p w14:paraId="1E565941" w14:textId="77777777" w:rsidR="00191792" w:rsidRPr="004C7410" w:rsidRDefault="00191792" w:rsidP="00191792">
            <w:r w:rsidRPr="004C7410">
              <w:t>accumulated</w:t>
            </w:r>
          </w:p>
        </w:tc>
        <w:tc>
          <w:tcPr>
            <w:tcW w:w="990" w:type="dxa"/>
            <w:tcBorders>
              <w:top w:val="single" w:sz="4" w:space="0" w:color="auto"/>
              <w:left w:val="single" w:sz="4" w:space="0" w:color="auto"/>
              <w:bottom w:val="single" w:sz="4" w:space="0" w:color="auto"/>
              <w:right w:val="single" w:sz="4" w:space="0" w:color="auto"/>
            </w:tcBorders>
          </w:tcPr>
          <w:p w14:paraId="71AACA0F" w14:textId="77777777" w:rsidR="00191792" w:rsidRPr="004C7410" w:rsidRDefault="00191792" w:rsidP="00191792">
            <w:r w:rsidRPr="004C7410">
              <w:t>y, n</w:t>
            </w:r>
          </w:p>
        </w:tc>
        <w:tc>
          <w:tcPr>
            <w:tcW w:w="4675" w:type="dxa"/>
            <w:tcBorders>
              <w:top w:val="single" w:sz="4" w:space="0" w:color="auto"/>
              <w:left w:val="single" w:sz="4" w:space="0" w:color="auto"/>
              <w:bottom w:val="single" w:sz="4" w:space="0" w:color="auto"/>
              <w:right w:val="single" w:sz="4" w:space="0" w:color="auto"/>
            </w:tcBorders>
          </w:tcPr>
          <w:p w14:paraId="40168B2C" w14:textId="65036625" w:rsidR="00191792" w:rsidRPr="004C7410" w:rsidRDefault="00191792" w:rsidP="00191792">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new large wood pieces are observed in the resurvey that were not present </w:t>
            </w:r>
            <w:r w:rsidR="00D826E1" w:rsidRPr="004C7410">
              <w:rPr>
                <w:rFonts w:ascii="Calibri" w:hAnsi="Calibri" w:cs="Calibri"/>
                <w:color w:val="000000"/>
              </w:rPr>
              <w:t>during</w:t>
            </w:r>
            <w:r w:rsidRPr="004C7410">
              <w:rPr>
                <w:rFonts w:ascii="Calibri" w:hAnsi="Calibri" w:cs="Calibri"/>
                <w:color w:val="000000"/>
              </w:rPr>
              <w:t xml:space="preserve"> the initial survey</w:t>
            </w:r>
          </w:p>
        </w:tc>
        <w:tc>
          <w:tcPr>
            <w:tcW w:w="4675" w:type="dxa"/>
            <w:vMerge/>
            <w:tcBorders>
              <w:left w:val="single" w:sz="4" w:space="0" w:color="auto"/>
              <w:right w:val="single" w:sz="4" w:space="0" w:color="auto"/>
            </w:tcBorders>
            <w:vAlign w:val="center"/>
          </w:tcPr>
          <w:p w14:paraId="3BE5FC37" w14:textId="77777777" w:rsidR="00191792" w:rsidRPr="004C7410" w:rsidRDefault="00191792" w:rsidP="00191792">
            <w:pPr>
              <w:rPr>
                <w:rFonts w:ascii="Calibri" w:hAnsi="Calibri" w:cs="Calibri"/>
                <w:color w:val="000000"/>
              </w:rPr>
            </w:pPr>
          </w:p>
        </w:tc>
      </w:tr>
      <w:tr w:rsidR="00191792" w:rsidRPr="004C7410" w14:paraId="7788A732"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666648EC" w14:textId="77777777" w:rsidR="00191792" w:rsidRPr="004C7410" w:rsidRDefault="00191792" w:rsidP="00191792">
            <w:pPr>
              <w:rPr>
                <w:bCs/>
              </w:rPr>
            </w:pPr>
            <w:r w:rsidRPr="004C7410">
              <w:rPr>
                <w:bCs/>
              </w:rPr>
              <w:t>contracted?</w:t>
            </w:r>
          </w:p>
        </w:tc>
        <w:tc>
          <w:tcPr>
            <w:tcW w:w="1890" w:type="dxa"/>
            <w:tcBorders>
              <w:top w:val="single" w:sz="4" w:space="0" w:color="auto"/>
              <w:left w:val="single" w:sz="4" w:space="0" w:color="auto"/>
              <w:bottom w:val="single" w:sz="4" w:space="0" w:color="auto"/>
              <w:right w:val="single" w:sz="4" w:space="0" w:color="auto"/>
            </w:tcBorders>
          </w:tcPr>
          <w:p w14:paraId="7D08668A" w14:textId="77777777" w:rsidR="00191792" w:rsidRPr="004C7410" w:rsidRDefault="00191792" w:rsidP="00191792">
            <w:r w:rsidRPr="004C7410">
              <w:t>contracted</w:t>
            </w:r>
          </w:p>
        </w:tc>
        <w:tc>
          <w:tcPr>
            <w:tcW w:w="990" w:type="dxa"/>
            <w:tcBorders>
              <w:top w:val="single" w:sz="4" w:space="0" w:color="auto"/>
              <w:left w:val="single" w:sz="4" w:space="0" w:color="auto"/>
              <w:bottom w:val="single" w:sz="4" w:space="0" w:color="auto"/>
              <w:right w:val="single" w:sz="4" w:space="0" w:color="auto"/>
            </w:tcBorders>
          </w:tcPr>
          <w:p w14:paraId="4652BB83" w14:textId="77777777" w:rsidR="00191792" w:rsidRPr="004C7410" w:rsidRDefault="00191792" w:rsidP="00191792">
            <w:r w:rsidRPr="004C7410">
              <w:t>y, n</w:t>
            </w:r>
          </w:p>
        </w:tc>
        <w:tc>
          <w:tcPr>
            <w:tcW w:w="4675" w:type="dxa"/>
            <w:tcBorders>
              <w:top w:val="single" w:sz="4" w:space="0" w:color="auto"/>
              <w:left w:val="single" w:sz="4" w:space="0" w:color="auto"/>
              <w:bottom w:val="single" w:sz="4" w:space="0" w:color="auto"/>
              <w:right w:val="single" w:sz="4" w:space="0" w:color="auto"/>
            </w:tcBorders>
          </w:tcPr>
          <w:p w14:paraId="6EF06256" w14:textId="77777777" w:rsidR="00191792" w:rsidRPr="004C7410" w:rsidRDefault="00191792" w:rsidP="00191792">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the volume of the jam decreased apart from any loss of wood</w:t>
            </w:r>
          </w:p>
        </w:tc>
        <w:tc>
          <w:tcPr>
            <w:tcW w:w="4675" w:type="dxa"/>
            <w:vMerge/>
            <w:tcBorders>
              <w:left w:val="single" w:sz="4" w:space="0" w:color="auto"/>
              <w:right w:val="single" w:sz="4" w:space="0" w:color="auto"/>
            </w:tcBorders>
            <w:vAlign w:val="center"/>
          </w:tcPr>
          <w:p w14:paraId="16F95D9A" w14:textId="77777777" w:rsidR="00191792" w:rsidRPr="004C7410" w:rsidRDefault="00191792" w:rsidP="00191792">
            <w:pPr>
              <w:rPr>
                <w:rFonts w:ascii="Calibri" w:hAnsi="Calibri" w:cs="Calibri"/>
                <w:color w:val="000000"/>
              </w:rPr>
            </w:pPr>
          </w:p>
        </w:tc>
      </w:tr>
      <w:tr w:rsidR="00191792" w14:paraId="1B82C07D" w14:textId="77777777" w:rsidTr="00191792">
        <w:trPr>
          <w:trHeight w:val="300"/>
        </w:trPr>
        <w:tc>
          <w:tcPr>
            <w:tcW w:w="1890" w:type="dxa"/>
            <w:tcBorders>
              <w:top w:val="single" w:sz="4" w:space="0" w:color="auto"/>
              <w:left w:val="single" w:sz="4" w:space="0" w:color="auto"/>
              <w:bottom w:val="single" w:sz="4" w:space="0" w:color="auto"/>
              <w:right w:val="single" w:sz="4" w:space="0" w:color="auto"/>
            </w:tcBorders>
            <w:noWrap/>
          </w:tcPr>
          <w:p w14:paraId="50832997" w14:textId="77777777" w:rsidR="00191792" w:rsidRPr="004C7410" w:rsidRDefault="00191792" w:rsidP="00191792">
            <w:pPr>
              <w:rPr>
                <w:bCs/>
              </w:rPr>
            </w:pPr>
            <w:r w:rsidRPr="004C7410">
              <w:rPr>
                <w:bCs/>
              </w:rPr>
              <w:t>expanded?</w:t>
            </w:r>
          </w:p>
        </w:tc>
        <w:tc>
          <w:tcPr>
            <w:tcW w:w="1890" w:type="dxa"/>
            <w:tcBorders>
              <w:top w:val="single" w:sz="4" w:space="0" w:color="auto"/>
              <w:left w:val="single" w:sz="4" w:space="0" w:color="auto"/>
              <w:bottom w:val="single" w:sz="4" w:space="0" w:color="auto"/>
              <w:right w:val="single" w:sz="4" w:space="0" w:color="auto"/>
            </w:tcBorders>
          </w:tcPr>
          <w:p w14:paraId="52DF6C95" w14:textId="77777777" w:rsidR="00191792" w:rsidRPr="004C7410" w:rsidRDefault="00191792" w:rsidP="00191792">
            <w:r w:rsidRPr="004C7410">
              <w:t>expanded</w:t>
            </w:r>
          </w:p>
        </w:tc>
        <w:tc>
          <w:tcPr>
            <w:tcW w:w="990" w:type="dxa"/>
            <w:tcBorders>
              <w:top w:val="single" w:sz="4" w:space="0" w:color="auto"/>
              <w:left w:val="single" w:sz="4" w:space="0" w:color="auto"/>
              <w:bottom w:val="single" w:sz="4" w:space="0" w:color="auto"/>
              <w:right w:val="single" w:sz="4" w:space="0" w:color="auto"/>
            </w:tcBorders>
          </w:tcPr>
          <w:p w14:paraId="60556B17" w14:textId="77777777" w:rsidR="00191792" w:rsidRPr="004C7410" w:rsidRDefault="00191792" w:rsidP="00191792">
            <w:r w:rsidRPr="004C7410">
              <w:t>y, n</w:t>
            </w:r>
          </w:p>
        </w:tc>
        <w:tc>
          <w:tcPr>
            <w:tcW w:w="4675" w:type="dxa"/>
            <w:tcBorders>
              <w:top w:val="single" w:sz="4" w:space="0" w:color="auto"/>
              <w:left w:val="single" w:sz="4" w:space="0" w:color="auto"/>
              <w:bottom w:val="single" w:sz="4" w:space="0" w:color="auto"/>
              <w:right w:val="single" w:sz="4" w:space="0" w:color="auto"/>
            </w:tcBorders>
          </w:tcPr>
          <w:p w14:paraId="47FA3ED3" w14:textId="77777777" w:rsidR="00191792" w:rsidRDefault="00191792" w:rsidP="00191792">
            <w:pPr>
              <w:rPr>
                <w:rFonts w:ascii="Calibri" w:hAnsi="Calibri" w:cs="Calibri"/>
                <w:color w:val="000000"/>
              </w:rPr>
            </w:pPr>
            <w:proofErr w:type="gramStart"/>
            <w:r w:rsidRPr="004C7410">
              <w:rPr>
                <w:rFonts w:ascii="Calibri" w:hAnsi="Calibri" w:cs="Calibri"/>
                <w:color w:val="000000"/>
              </w:rPr>
              <w:t>yes</w:t>
            </w:r>
            <w:proofErr w:type="gramEnd"/>
            <w:r w:rsidRPr="004C7410">
              <w:rPr>
                <w:rFonts w:ascii="Calibri" w:hAnsi="Calibri" w:cs="Calibri"/>
                <w:color w:val="000000"/>
              </w:rPr>
              <w:t xml:space="preserve"> if the volume of the jam increased apart from any accumulation of wood</w:t>
            </w:r>
          </w:p>
        </w:tc>
        <w:tc>
          <w:tcPr>
            <w:tcW w:w="4675" w:type="dxa"/>
            <w:vMerge/>
            <w:tcBorders>
              <w:left w:val="single" w:sz="4" w:space="0" w:color="auto"/>
              <w:bottom w:val="single" w:sz="4" w:space="0" w:color="auto"/>
              <w:right w:val="single" w:sz="4" w:space="0" w:color="auto"/>
            </w:tcBorders>
            <w:vAlign w:val="center"/>
          </w:tcPr>
          <w:p w14:paraId="66490CF3" w14:textId="77777777" w:rsidR="00191792" w:rsidRDefault="00191792" w:rsidP="00191792">
            <w:pPr>
              <w:rPr>
                <w:rFonts w:ascii="Calibri" w:hAnsi="Calibri" w:cs="Calibri"/>
                <w:color w:val="000000"/>
              </w:rPr>
            </w:pPr>
          </w:p>
        </w:tc>
      </w:tr>
      <w:bookmarkEnd w:id="3"/>
    </w:tbl>
    <w:p w14:paraId="31F4FC70" w14:textId="69AB3F27" w:rsidR="00F0221F" w:rsidRPr="00C032A3" w:rsidRDefault="00F0221F" w:rsidP="00C01CB4">
      <w:pPr>
        <w:pStyle w:val="Heading1"/>
      </w:pPr>
    </w:p>
    <w:sectPr w:rsidR="00F0221F" w:rsidRPr="00C032A3" w:rsidSect="00BC1B6A">
      <w:pgSz w:w="15840" w:h="12240" w:orient="landscape"/>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A3524" w14:textId="77777777" w:rsidR="00C1405E" w:rsidRDefault="00C1405E" w:rsidP="005418B7">
      <w:pPr>
        <w:spacing w:line="240" w:lineRule="auto"/>
      </w:pPr>
      <w:r>
        <w:separator/>
      </w:r>
    </w:p>
  </w:endnote>
  <w:endnote w:type="continuationSeparator" w:id="0">
    <w:p w14:paraId="40BD76A6" w14:textId="77777777" w:rsidR="00C1405E" w:rsidRDefault="00C1405E" w:rsidP="005418B7">
      <w:pPr>
        <w:spacing w:line="240" w:lineRule="auto"/>
      </w:pPr>
      <w:r>
        <w:continuationSeparator/>
      </w:r>
    </w:p>
  </w:endnote>
  <w:endnote w:type="continuationNotice" w:id="1">
    <w:p w14:paraId="4F17A290" w14:textId="77777777" w:rsidR="00C1405E" w:rsidRDefault="00C140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73634" w14:textId="77777777" w:rsidR="00C1405E" w:rsidRDefault="00C1405E" w:rsidP="005418B7">
      <w:pPr>
        <w:spacing w:line="240" w:lineRule="auto"/>
      </w:pPr>
      <w:r>
        <w:separator/>
      </w:r>
    </w:p>
  </w:footnote>
  <w:footnote w:type="continuationSeparator" w:id="0">
    <w:p w14:paraId="17420777" w14:textId="77777777" w:rsidR="00C1405E" w:rsidRDefault="00C1405E" w:rsidP="005418B7">
      <w:pPr>
        <w:spacing w:line="240" w:lineRule="auto"/>
      </w:pPr>
      <w:r>
        <w:continuationSeparator/>
      </w:r>
    </w:p>
  </w:footnote>
  <w:footnote w:type="continuationNotice" w:id="1">
    <w:p w14:paraId="39468EDB" w14:textId="77777777" w:rsidR="00C1405E" w:rsidRDefault="00C1405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E1B12" w14:textId="604DE49C" w:rsidR="005642A0" w:rsidRDefault="005642A0" w:rsidP="005642A0">
    <w:pPr>
      <w:pStyle w:val="Header"/>
      <w:jc w:val="center"/>
    </w:pPr>
    <w:r>
      <w:t xml:space="preserve">Non-peer-reviewed preprint submitted to </w:t>
    </w:r>
    <w:proofErr w:type="spellStart"/>
    <w:r>
      <w:t>EarthArxiv</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95CEE"/>
    <w:multiLevelType w:val="hybridMultilevel"/>
    <w:tmpl w:val="D3BEB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00C7F"/>
    <w:multiLevelType w:val="hybridMultilevel"/>
    <w:tmpl w:val="2E46A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152111"/>
    <w:multiLevelType w:val="hybridMultilevel"/>
    <w:tmpl w:val="9814E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E55C2"/>
    <w:multiLevelType w:val="hybridMultilevel"/>
    <w:tmpl w:val="86B06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785541"/>
    <w:multiLevelType w:val="hybridMultilevel"/>
    <w:tmpl w:val="D220B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9D0AED"/>
    <w:multiLevelType w:val="hybridMultilevel"/>
    <w:tmpl w:val="A44C7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206E68"/>
    <w:multiLevelType w:val="hybridMultilevel"/>
    <w:tmpl w:val="2F2028FE"/>
    <w:lvl w:ilvl="0" w:tplc="A24E349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4110A6"/>
    <w:multiLevelType w:val="hybridMultilevel"/>
    <w:tmpl w:val="431020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BD1762"/>
    <w:multiLevelType w:val="hybridMultilevel"/>
    <w:tmpl w:val="9788C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8773A4"/>
    <w:multiLevelType w:val="hybridMultilevel"/>
    <w:tmpl w:val="5D863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1875C9"/>
    <w:multiLevelType w:val="hybridMultilevel"/>
    <w:tmpl w:val="4296EB3E"/>
    <w:lvl w:ilvl="0" w:tplc="31C4AE1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CC180C"/>
    <w:multiLevelType w:val="hybridMultilevel"/>
    <w:tmpl w:val="AC3613D0"/>
    <w:lvl w:ilvl="0" w:tplc="169823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062111"/>
    <w:multiLevelType w:val="multilevel"/>
    <w:tmpl w:val="D220B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E0634E2"/>
    <w:multiLevelType w:val="hybridMultilevel"/>
    <w:tmpl w:val="0964A85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36548B"/>
    <w:multiLevelType w:val="hybridMultilevel"/>
    <w:tmpl w:val="21226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9D69C9"/>
    <w:multiLevelType w:val="hybridMultilevel"/>
    <w:tmpl w:val="66D8FA68"/>
    <w:lvl w:ilvl="0" w:tplc="9EFA49C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6"/>
  </w:num>
  <w:num w:numId="4">
    <w:abstractNumId w:val="11"/>
  </w:num>
  <w:num w:numId="5">
    <w:abstractNumId w:val="15"/>
  </w:num>
  <w:num w:numId="6">
    <w:abstractNumId w:val="1"/>
  </w:num>
  <w:num w:numId="7">
    <w:abstractNumId w:val="4"/>
  </w:num>
  <w:num w:numId="8">
    <w:abstractNumId w:val="12"/>
  </w:num>
  <w:num w:numId="9">
    <w:abstractNumId w:val="3"/>
  </w:num>
  <w:num w:numId="10">
    <w:abstractNumId w:val="2"/>
  </w:num>
  <w:num w:numId="11">
    <w:abstractNumId w:val="5"/>
  </w:num>
  <w:num w:numId="12">
    <w:abstractNumId w:val="7"/>
  </w:num>
  <w:num w:numId="13">
    <w:abstractNumId w:val="13"/>
  </w:num>
  <w:num w:numId="14">
    <w:abstractNumId w:val="9"/>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D20"/>
    <w:rsid w:val="000000E6"/>
    <w:rsid w:val="0000374C"/>
    <w:rsid w:val="000059E9"/>
    <w:rsid w:val="000145AD"/>
    <w:rsid w:val="000276D5"/>
    <w:rsid w:val="00045809"/>
    <w:rsid w:val="00045BCB"/>
    <w:rsid w:val="0004635C"/>
    <w:rsid w:val="000607B8"/>
    <w:rsid w:val="0006328F"/>
    <w:rsid w:val="0007095D"/>
    <w:rsid w:val="00071B31"/>
    <w:rsid w:val="00081AF7"/>
    <w:rsid w:val="0008379F"/>
    <w:rsid w:val="0008578E"/>
    <w:rsid w:val="000871B6"/>
    <w:rsid w:val="00087CBE"/>
    <w:rsid w:val="000A22C9"/>
    <w:rsid w:val="000B4D97"/>
    <w:rsid w:val="000B7278"/>
    <w:rsid w:val="000D4662"/>
    <w:rsid w:val="000E319C"/>
    <w:rsid w:val="000E5931"/>
    <w:rsid w:val="000E6B61"/>
    <w:rsid w:val="000F1DD4"/>
    <w:rsid w:val="000F47A8"/>
    <w:rsid w:val="000F5DBC"/>
    <w:rsid w:val="001166F7"/>
    <w:rsid w:val="00121827"/>
    <w:rsid w:val="001222E6"/>
    <w:rsid w:val="001324FB"/>
    <w:rsid w:val="00137A11"/>
    <w:rsid w:val="001401A6"/>
    <w:rsid w:val="00144C9C"/>
    <w:rsid w:val="0014568C"/>
    <w:rsid w:val="0014765F"/>
    <w:rsid w:val="00156F03"/>
    <w:rsid w:val="00162C1B"/>
    <w:rsid w:val="00167FF5"/>
    <w:rsid w:val="0017202F"/>
    <w:rsid w:val="00173CD2"/>
    <w:rsid w:val="0017623C"/>
    <w:rsid w:val="00177E06"/>
    <w:rsid w:val="00191792"/>
    <w:rsid w:val="00191D62"/>
    <w:rsid w:val="001A2505"/>
    <w:rsid w:val="001A3C38"/>
    <w:rsid w:val="001A51C7"/>
    <w:rsid w:val="001B3DE5"/>
    <w:rsid w:val="001B4249"/>
    <w:rsid w:val="001B6A50"/>
    <w:rsid w:val="001B720E"/>
    <w:rsid w:val="001C05C2"/>
    <w:rsid w:val="001C1840"/>
    <w:rsid w:val="001C1AE8"/>
    <w:rsid w:val="001C36F1"/>
    <w:rsid w:val="001D36D3"/>
    <w:rsid w:val="001D393A"/>
    <w:rsid w:val="001D4597"/>
    <w:rsid w:val="001E1541"/>
    <w:rsid w:val="00200292"/>
    <w:rsid w:val="00205191"/>
    <w:rsid w:val="0020691E"/>
    <w:rsid w:val="00206964"/>
    <w:rsid w:val="002110E4"/>
    <w:rsid w:val="0021179E"/>
    <w:rsid w:val="00222BF1"/>
    <w:rsid w:val="00224ECF"/>
    <w:rsid w:val="0023193D"/>
    <w:rsid w:val="00240AA1"/>
    <w:rsid w:val="00241C1B"/>
    <w:rsid w:val="002446C8"/>
    <w:rsid w:val="00246D33"/>
    <w:rsid w:val="0026282F"/>
    <w:rsid w:val="0026406A"/>
    <w:rsid w:val="002653ED"/>
    <w:rsid w:val="00266955"/>
    <w:rsid w:val="00274855"/>
    <w:rsid w:val="00280307"/>
    <w:rsid w:val="002803D3"/>
    <w:rsid w:val="002864E0"/>
    <w:rsid w:val="002879FF"/>
    <w:rsid w:val="00287B8E"/>
    <w:rsid w:val="002939F4"/>
    <w:rsid w:val="002961A5"/>
    <w:rsid w:val="002A3BC7"/>
    <w:rsid w:val="002B3324"/>
    <w:rsid w:val="002B51AE"/>
    <w:rsid w:val="002C0D83"/>
    <w:rsid w:val="002D4698"/>
    <w:rsid w:val="002D5159"/>
    <w:rsid w:val="002E56CD"/>
    <w:rsid w:val="002E6CC1"/>
    <w:rsid w:val="00301095"/>
    <w:rsid w:val="0030492D"/>
    <w:rsid w:val="00305191"/>
    <w:rsid w:val="00324727"/>
    <w:rsid w:val="00330760"/>
    <w:rsid w:val="00330DEA"/>
    <w:rsid w:val="00343881"/>
    <w:rsid w:val="00345ED9"/>
    <w:rsid w:val="003507AF"/>
    <w:rsid w:val="00355E9F"/>
    <w:rsid w:val="003707B3"/>
    <w:rsid w:val="003711AC"/>
    <w:rsid w:val="00377399"/>
    <w:rsid w:val="00377EAA"/>
    <w:rsid w:val="0039480E"/>
    <w:rsid w:val="003A052A"/>
    <w:rsid w:val="003A2E87"/>
    <w:rsid w:val="003A4A04"/>
    <w:rsid w:val="003A4E64"/>
    <w:rsid w:val="003A55E5"/>
    <w:rsid w:val="003B3E7F"/>
    <w:rsid w:val="003B50E6"/>
    <w:rsid w:val="003D126C"/>
    <w:rsid w:val="003D43B5"/>
    <w:rsid w:val="003E63DE"/>
    <w:rsid w:val="003E79A9"/>
    <w:rsid w:val="003F4E86"/>
    <w:rsid w:val="003F79AD"/>
    <w:rsid w:val="00401CF7"/>
    <w:rsid w:val="00405BAD"/>
    <w:rsid w:val="00411BDE"/>
    <w:rsid w:val="00417603"/>
    <w:rsid w:val="00420AD0"/>
    <w:rsid w:val="0042405D"/>
    <w:rsid w:val="00424AEA"/>
    <w:rsid w:val="0042608F"/>
    <w:rsid w:val="00426DD8"/>
    <w:rsid w:val="004300B3"/>
    <w:rsid w:val="00433806"/>
    <w:rsid w:val="00436486"/>
    <w:rsid w:val="004466FC"/>
    <w:rsid w:val="004474C0"/>
    <w:rsid w:val="0044760F"/>
    <w:rsid w:val="00456727"/>
    <w:rsid w:val="004627F9"/>
    <w:rsid w:val="00462A67"/>
    <w:rsid w:val="004648B7"/>
    <w:rsid w:val="00464E54"/>
    <w:rsid w:val="00467A15"/>
    <w:rsid w:val="00470D44"/>
    <w:rsid w:val="0047337C"/>
    <w:rsid w:val="00476C38"/>
    <w:rsid w:val="00482219"/>
    <w:rsid w:val="00485A7C"/>
    <w:rsid w:val="00492335"/>
    <w:rsid w:val="004975AE"/>
    <w:rsid w:val="004A68DC"/>
    <w:rsid w:val="004B09AC"/>
    <w:rsid w:val="004C4672"/>
    <w:rsid w:val="004C7410"/>
    <w:rsid w:val="004C798E"/>
    <w:rsid w:val="004C7FFC"/>
    <w:rsid w:val="004D0622"/>
    <w:rsid w:val="004D2F40"/>
    <w:rsid w:val="004D3598"/>
    <w:rsid w:val="004D50C0"/>
    <w:rsid w:val="004E0108"/>
    <w:rsid w:val="004E0AAC"/>
    <w:rsid w:val="004E33ED"/>
    <w:rsid w:val="004F10F1"/>
    <w:rsid w:val="004F2BDA"/>
    <w:rsid w:val="0050320E"/>
    <w:rsid w:val="00507739"/>
    <w:rsid w:val="0051425A"/>
    <w:rsid w:val="0052038B"/>
    <w:rsid w:val="00525F7A"/>
    <w:rsid w:val="0053290A"/>
    <w:rsid w:val="005418B7"/>
    <w:rsid w:val="005479B9"/>
    <w:rsid w:val="00547CEA"/>
    <w:rsid w:val="00550446"/>
    <w:rsid w:val="005518D8"/>
    <w:rsid w:val="005573B7"/>
    <w:rsid w:val="005642A0"/>
    <w:rsid w:val="005656A4"/>
    <w:rsid w:val="00566905"/>
    <w:rsid w:val="005707AA"/>
    <w:rsid w:val="0057095D"/>
    <w:rsid w:val="00570F60"/>
    <w:rsid w:val="00571881"/>
    <w:rsid w:val="005731E1"/>
    <w:rsid w:val="00573C2B"/>
    <w:rsid w:val="00582A68"/>
    <w:rsid w:val="00590080"/>
    <w:rsid w:val="005A2259"/>
    <w:rsid w:val="005A3749"/>
    <w:rsid w:val="005B12A0"/>
    <w:rsid w:val="005B3566"/>
    <w:rsid w:val="005B56D4"/>
    <w:rsid w:val="005B5AFE"/>
    <w:rsid w:val="005B7DFA"/>
    <w:rsid w:val="005C0675"/>
    <w:rsid w:val="005C0C9D"/>
    <w:rsid w:val="005C296F"/>
    <w:rsid w:val="005C5B16"/>
    <w:rsid w:val="005D292C"/>
    <w:rsid w:val="005D39B0"/>
    <w:rsid w:val="005D5138"/>
    <w:rsid w:val="005D57B6"/>
    <w:rsid w:val="005D629A"/>
    <w:rsid w:val="005D7046"/>
    <w:rsid w:val="005E50AB"/>
    <w:rsid w:val="005E56FD"/>
    <w:rsid w:val="005E675E"/>
    <w:rsid w:val="005E7287"/>
    <w:rsid w:val="005E7442"/>
    <w:rsid w:val="00601AD3"/>
    <w:rsid w:val="006023A3"/>
    <w:rsid w:val="006040C7"/>
    <w:rsid w:val="00611658"/>
    <w:rsid w:val="00612D91"/>
    <w:rsid w:val="00613B45"/>
    <w:rsid w:val="006156AA"/>
    <w:rsid w:val="0063435B"/>
    <w:rsid w:val="00640A20"/>
    <w:rsid w:val="00645FD4"/>
    <w:rsid w:val="00653BB9"/>
    <w:rsid w:val="00660A23"/>
    <w:rsid w:val="00671C82"/>
    <w:rsid w:val="00692535"/>
    <w:rsid w:val="00694981"/>
    <w:rsid w:val="00696106"/>
    <w:rsid w:val="00697116"/>
    <w:rsid w:val="006A4B3D"/>
    <w:rsid w:val="006A5EE0"/>
    <w:rsid w:val="006A6E2A"/>
    <w:rsid w:val="006B052A"/>
    <w:rsid w:val="006B119D"/>
    <w:rsid w:val="006B32B1"/>
    <w:rsid w:val="006C055D"/>
    <w:rsid w:val="006C4199"/>
    <w:rsid w:val="006C618D"/>
    <w:rsid w:val="006D0055"/>
    <w:rsid w:val="006E3BAA"/>
    <w:rsid w:val="006E5EC1"/>
    <w:rsid w:val="006F079F"/>
    <w:rsid w:val="006F1FC3"/>
    <w:rsid w:val="006F4294"/>
    <w:rsid w:val="006F713A"/>
    <w:rsid w:val="007054BC"/>
    <w:rsid w:val="00717949"/>
    <w:rsid w:val="00717CEE"/>
    <w:rsid w:val="007209A0"/>
    <w:rsid w:val="00723FFA"/>
    <w:rsid w:val="007305EF"/>
    <w:rsid w:val="007419BE"/>
    <w:rsid w:val="007430D3"/>
    <w:rsid w:val="00744077"/>
    <w:rsid w:val="00744EEC"/>
    <w:rsid w:val="007459CF"/>
    <w:rsid w:val="00747EAE"/>
    <w:rsid w:val="0075154A"/>
    <w:rsid w:val="007521A6"/>
    <w:rsid w:val="00753CA7"/>
    <w:rsid w:val="00756A83"/>
    <w:rsid w:val="00761080"/>
    <w:rsid w:val="0076167F"/>
    <w:rsid w:val="0076582F"/>
    <w:rsid w:val="00771BC7"/>
    <w:rsid w:val="00772477"/>
    <w:rsid w:val="00772630"/>
    <w:rsid w:val="00772D79"/>
    <w:rsid w:val="0077457B"/>
    <w:rsid w:val="007807E2"/>
    <w:rsid w:val="00785B9E"/>
    <w:rsid w:val="00786CC6"/>
    <w:rsid w:val="007A10AF"/>
    <w:rsid w:val="007A1C87"/>
    <w:rsid w:val="007A4DF1"/>
    <w:rsid w:val="007A7AE7"/>
    <w:rsid w:val="007B146C"/>
    <w:rsid w:val="007B14DF"/>
    <w:rsid w:val="007B3FA7"/>
    <w:rsid w:val="007C71E2"/>
    <w:rsid w:val="007D1690"/>
    <w:rsid w:val="007D4DE6"/>
    <w:rsid w:val="007E236F"/>
    <w:rsid w:val="007E25B2"/>
    <w:rsid w:val="007E76C0"/>
    <w:rsid w:val="007F11A9"/>
    <w:rsid w:val="007F3F71"/>
    <w:rsid w:val="00800E2A"/>
    <w:rsid w:val="008030DA"/>
    <w:rsid w:val="00803834"/>
    <w:rsid w:val="0080680D"/>
    <w:rsid w:val="00807C60"/>
    <w:rsid w:val="00822C5B"/>
    <w:rsid w:val="008247BC"/>
    <w:rsid w:val="00824E13"/>
    <w:rsid w:val="00830FB8"/>
    <w:rsid w:val="00832A9B"/>
    <w:rsid w:val="00832F14"/>
    <w:rsid w:val="00835C9C"/>
    <w:rsid w:val="00840239"/>
    <w:rsid w:val="00846DD9"/>
    <w:rsid w:val="0084714C"/>
    <w:rsid w:val="00847F61"/>
    <w:rsid w:val="00851ABB"/>
    <w:rsid w:val="00853210"/>
    <w:rsid w:val="008613ED"/>
    <w:rsid w:val="00872FE2"/>
    <w:rsid w:val="00875934"/>
    <w:rsid w:val="008779FF"/>
    <w:rsid w:val="00880FA4"/>
    <w:rsid w:val="00882610"/>
    <w:rsid w:val="00892F93"/>
    <w:rsid w:val="008A07AE"/>
    <w:rsid w:val="008A3B68"/>
    <w:rsid w:val="008A5073"/>
    <w:rsid w:val="008A54CA"/>
    <w:rsid w:val="008B3894"/>
    <w:rsid w:val="008B636F"/>
    <w:rsid w:val="008B7D82"/>
    <w:rsid w:val="008C24DD"/>
    <w:rsid w:val="008C34BC"/>
    <w:rsid w:val="008C4F50"/>
    <w:rsid w:val="008C6E5A"/>
    <w:rsid w:val="008D2BAC"/>
    <w:rsid w:val="008E3C39"/>
    <w:rsid w:val="008E69FE"/>
    <w:rsid w:val="008F3CED"/>
    <w:rsid w:val="00910B7E"/>
    <w:rsid w:val="009111CF"/>
    <w:rsid w:val="009144EB"/>
    <w:rsid w:val="00914CF1"/>
    <w:rsid w:val="0092157E"/>
    <w:rsid w:val="00923E29"/>
    <w:rsid w:val="00926ECF"/>
    <w:rsid w:val="00937612"/>
    <w:rsid w:val="00942408"/>
    <w:rsid w:val="00945E39"/>
    <w:rsid w:val="0094761A"/>
    <w:rsid w:val="0095504C"/>
    <w:rsid w:val="0095505D"/>
    <w:rsid w:val="00964DD1"/>
    <w:rsid w:val="0097626E"/>
    <w:rsid w:val="009777C8"/>
    <w:rsid w:val="00980B55"/>
    <w:rsid w:val="00984285"/>
    <w:rsid w:val="00985148"/>
    <w:rsid w:val="0098781A"/>
    <w:rsid w:val="00993418"/>
    <w:rsid w:val="009B10FB"/>
    <w:rsid w:val="009B7C13"/>
    <w:rsid w:val="009C39B2"/>
    <w:rsid w:val="009D30E2"/>
    <w:rsid w:val="009D54AC"/>
    <w:rsid w:val="009E3A85"/>
    <w:rsid w:val="009E60C4"/>
    <w:rsid w:val="009E69B6"/>
    <w:rsid w:val="00A00F0D"/>
    <w:rsid w:val="00A12D83"/>
    <w:rsid w:val="00A14470"/>
    <w:rsid w:val="00A2308E"/>
    <w:rsid w:val="00A234EF"/>
    <w:rsid w:val="00A25B33"/>
    <w:rsid w:val="00A25EBC"/>
    <w:rsid w:val="00A26202"/>
    <w:rsid w:val="00A32FB6"/>
    <w:rsid w:val="00A41F0A"/>
    <w:rsid w:val="00A45840"/>
    <w:rsid w:val="00A45C13"/>
    <w:rsid w:val="00A51E20"/>
    <w:rsid w:val="00A53F2D"/>
    <w:rsid w:val="00A5594D"/>
    <w:rsid w:val="00A60697"/>
    <w:rsid w:val="00A63028"/>
    <w:rsid w:val="00A650CF"/>
    <w:rsid w:val="00A6549F"/>
    <w:rsid w:val="00A6585C"/>
    <w:rsid w:val="00A72877"/>
    <w:rsid w:val="00A73C5D"/>
    <w:rsid w:val="00A74600"/>
    <w:rsid w:val="00A85B35"/>
    <w:rsid w:val="00A861F2"/>
    <w:rsid w:val="00A902D1"/>
    <w:rsid w:val="00A915F4"/>
    <w:rsid w:val="00A93C35"/>
    <w:rsid w:val="00A958C8"/>
    <w:rsid w:val="00A9708A"/>
    <w:rsid w:val="00AA1813"/>
    <w:rsid w:val="00AA196E"/>
    <w:rsid w:val="00AA34EA"/>
    <w:rsid w:val="00AA6BCF"/>
    <w:rsid w:val="00AB739C"/>
    <w:rsid w:val="00AC07F6"/>
    <w:rsid w:val="00AC3557"/>
    <w:rsid w:val="00AC72FB"/>
    <w:rsid w:val="00AD477B"/>
    <w:rsid w:val="00AD6A8A"/>
    <w:rsid w:val="00AE5810"/>
    <w:rsid w:val="00AE68D7"/>
    <w:rsid w:val="00AF1AA0"/>
    <w:rsid w:val="00B03808"/>
    <w:rsid w:val="00B040C6"/>
    <w:rsid w:val="00B05F68"/>
    <w:rsid w:val="00B1036C"/>
    <w:rsid w:val="00B10774"/>
    <w:rsid w:val="00B117D0"/>
    <w:rsid w:val="00B1330C"/>
    <w:rsid w:val="00B149CA"/>
    <w:rsid w:val="00B218F4"/>
    <w:rsid w:val="00B22A6C"/>
    <w:rsid w:val="00B268D9"/>
    <w:rsid w:val="00B2752F"/>
    <w:rsid w:val="00B427FD"/>
    <w:rsid w:val="00B43B07"/>
    <w:rsid w:val="00B561EF"/>
    <w:rsid w:val="00B5769A"/>
    <w:rsid w:val="00B60D1C"/>
    <w:rsid w:val="00B62EAB"/>
    <w:rsid w:val="00B67540"/>
    <w:rsid w:val="00B72EA5"/>
    <w:rsid w:val="00B768DA"/>
    <w:rsid w:val="00B769D5"/>
    <w:rsid w:val="00B76CF8"/>
    <w:rsid w:val="00B80FC4"/>
    <w:rsid w:val="00B83E3A"/>
    <w:rsid w:val="00B91CA4"/>
    <w:rsid w:val="00B91F92"/>
    <w:rsid w:val="00B93B2B"/>
    <w:rsid w:val="00B97A31"/>
    <w:rsid w:val="00BA2954"/>
    <w:rsid w:val="00BB15D2"/>
    <w:rsid w:val="00BB1FD5"/>
    <w:rsid w:val="00BB2888"/>
    <w:rsid w:val="00BB42D1"/>
    <w:rsid w:val="00BB614C"/>
    <w:rsid w:val="00BC1B6A"/>
    <w:rsid w:val="00BD3002"/>
    <w:rsid w:val="00BD421F"/>
    <w:rsid w:val="00BE3D18"/>
    <w:rsid w:val="00BF19B2"/>
    <w:rsid w:val="00BF1B14"/>
    <w:rsid w:val="00BF63C0"/>
    <w:rsid w:val="00C01CB4"/>
    <w:rsid w:val="00C032A3"/>
    <w:rsid w:val="00C11411"/>
    <w:rsid w:val="00C1405E"/>
    <w:rsid w:val="00C14EA8"/>
    <w:rsid w:val="00C1791D"/>
    <w:rsid w:val="00C205C4"/>
    <w:rsid w:val="00C21ABF"/>
    <w:rsid w:val="00C21BB9"/>
    <w:rsid w:val="00C2475A"/>
    <w:rsid w:val="00C30B32"/>
    <w:rsid w:val="00C402B7"/>
    <w:rsid w:val="00C411CC"/>
    <w:rsid w:val="00C4256F"/>
    <w:rsid w:val="00C42DF7"/>
    <w:rsid w:val="00C454FA"/>
    <w:rsid w:val="00C505A6"/>
    <w:rsid w:val="00C50EA2"/>
    <w:rsid w:val="00C54A4D"/>
    <w:rsid w:val="00C54E29"/>
    <w:rsid w:val="00C57587"/>
    <w:rsid w:val="00C60E9F"/>
    <w:rsid w:val="00C64A1D"/>
    <w:rsid w:val="00C67394"/>
    <w:rsid w:val="00C72185"/>
    <w:rsid w:val="00C7339A"/>
    <w:rsid w:val="00C73916"/>
    <w:rsid w:val="00C75597"/>
    <w:rsid w:val="00C76406"/>
    <w:rsid w:val="00C76FA8"/>
    <w:rsid w:val="00C778D7"/>
    <w:rsid w:val="00C8208D"/>
    <w:rsid w:val="00C82124"/>
    <w:rsid w:val="00C825EB"/>
    <w:rsid w:val="00C9022A"/>
    <w:rsid w:val="00C9522C"/>
    <w:rsid w:val="00C9548A"/>
    <w:rsid w:val="00CA0FD7"/>
    <w:rsid w:val="00CA57D1"/>
    <w:rsid w:val="00CA5F8B"/>
    <w:rsid w:val="00CC1F2E"/>
    <w:rsid w:val="00CD6A56"/>
    <w:rsid w:val="00CE05D2"/>
    <w:rsid w:val="00CE2384"/>
    <w:rsid w:val="00CE3B15"/>
    <w:rsid w:val="00CF0270"/>
    <w:rsid w:val="00CF041E"/>
    <w:rsid w:val="00D02328"/>
    <w:rsid w:val="00D06DD9"/>
    <w:rsid w:val="00D06F48"/>
    <w:rsid w:val="00D1287E"/>
    <w:rsid w:val="00D37184"/>
    <w:rsid w:val="00D37319"/>
    <w:rsid w:val="00D5360A"/>
    <w:rsid w:val="00D54436"/>
    <w:rsid w:val="00D54465"/>
    <w:rsid w:val="00D569C0"/>
    <w:rsid w:val="00D707F5"/>
    <w:rsid w:val="00D71C5D"/>
    <w:rsid w:val="00D7398C"/>
    <w:rsid w:val="00D806BA"/>
    <w:rsid w:val="00D826E1"/>
    <w:rsid w:val="00D85F09"/>
    <w:rsid w:val="00D91EC1"/>
    <w:rsid w:val="00D9619D"/>
    <w:rsid w:val="00DA0AD1"/>
    <w:rsid w:val="00DA2443"/>
    <w:rsid w:val="00DA3038"/>
    <w:rsid w:val="00DB4B70"/>
    <w:rsid w:val="00DB4EFE"/>
    <w:rsid w:val="00DC2341"/>
    <w:rsid w:val="00DC4850"/>
    <w:rsid w:val="00DC4978"/>
    <w:rsid w:val="00DD02BB"/>
    <w:rsid w:val="00DD5742"/>
    <w:rsid w:val="00E02935"/>
    <w:rsid w:val="00E02B18"/>
    <w:rsid w:val="00E118FC"/>
    <w:rsid w:val="00E17107"/>
    <w:rsid w:val="00E2266B"/>
    <w:rsid w:val="00E37466"/>
    <w:rsid w:val="00E423C0"/>
    <w:rsid w:val="00E43D7E"/>
    <w:rsid w:val="00E44D34"/>
    <w:rsid w:val="00E51E4B"/>
    <w:rsid w:val="00E52559"/>
    <w:rsid w:val="00E63095"/>
    <w:rsid w:val="00E6456F"/>
    <w:rsid w:val="00E70BAB"/>
    <w:rsid w:val="00E74A82"/>
    <w:rsid w:val="00E831C1"/>
    <w:rsid w:val="00E91AD3"/>
    <w:rsid w:val="00E93A4F"/>
    <w:rsid w:val="00EB654A"/>
    <w:rsid w:val="00EB7A96"/>
    <w:rsid w:val="00EC22B3"/>
    <w:rsid w:val="00EC4468"/>
    <w:rsid w:val="00EC48B6"/>
    <w:rsid w:val="00EC5268"/>
    <w:rsid w:val="00EC717A"/>
    <w:rsid w:val="00ED12B6"/>
    <w:rsid w:val="00ED1DC7"/>
    <w:rsid w:val="00ED5B7A"/>
    <w:rsid w:val="00EE31B4"/>
    <w:rsid w:val="00EE60E8"/>
    <w:rsid w:val="00F0221F"/>
    <w:rsid w:val="00F04713"/>
    <w:rsid w:val="00F061BB"/>
    <w:rsid w:val="00F07692"/>
    <w:rsid w:val="00F07839"/>
    <w:rsid w:val="00F20AB9"/>
    <w:rsid w:val="00F31857"/>
    <w:rsid w:val="00F32592"/>
    <w:rsid w:val="00F33326"/>
    <w:rsid w:val="00F34577"/>
    <w:rsid w:val="00F4216D"/>
    <w:rsid w:val="00F46631"/>
    <w:rsid w:val="00F46F98"/>
    <w:rsid w:val="00F479E3"/>
    <w:rsid w:val="00F577A3"/>
    <w:rsid w:val="00F60792"/>
    <w:rsid w:val="00F618DD"/>
    <w:rsid w:val="00F61A57"/>
    <w:rsid w:val="00F726DE"/>
    <w:rsid w:val="00F763BE"/>
    <w:rsid w:val="00F81C84"/>
    <w:rsid w:val="00F82BAC"/>
    <w:rsid w:val="00F8439C"/>
    <w:rsid w:val="00F900E3"/>
    <w:rsid w:val="00F927FB"/>
    <w:rsid w:val="00F95102"/>
    <w:rsid w:val="00F96A88"/>
    <w:rsid w:val="00F97F9F"/>
    <w:rsid w:val="00FA4913"/>
    <w:rsid w:val="00FA4F15"/>
    <w:rsid w:val="00FA7E10"/>
    <w:rsid w:val="00FB6B7A"/>
    <w:rsid w:val="00FC1335"/>
    <w:rsid w:val="00FC33B9"/>
    <w:rsid w:val="00FC3D91"/>
    <w:rsid w:val="00FC42C4"/>
    <w:rsid w:val="00FC585E"/>
    <w:rsid w:val="00FD1D20"/>
    <w:rsid w:val="00FD3036"/>
    <w:rsid w:val="00FD5216"/>
    <w:rsid w:val="00FD5353"/>
    <w:rsid w:val="00FE2499"/>
    <w:rsid w:val="00FF3831"/>
    <w:rsid w:val="00FF509C"/>
    <w:rsid w:val="00FF62BE"/>
    <w:rsid w:val="00FF6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293DA9"/>
  <w15:docId w15:val="{B3D12ED4-4B79-492C-97FC-C6AAE5052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1B31"/>
    <w:pPr>
      <w:spacing w:after="0"/>
    </w:pPr>
  </w:style>
  <w:style w:type="paragraph" w:styleId="Heading1">
    <w:name w:val="heading 1"/>
    <w:basedOn w:val="Normal"/>
    <w:next w:val="Normal"/>
    <w:link w:val="Heading1Char"/>
    <w:uiPriority w:val="9"/>
    <w:qFormat/>
    <w:rsid w:val="005A3749"/>
    <w:pPr>
      <w:keepNext/>
      <w:keepLines/>
      <w:spacing w:line="480" w:lineRule="auto"/>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5A3749"/>
    <w:pPr>
      <w:keepNext/>
      <w:keepLines/>
      <w:spacing w:line="480" w:lineRule="auto"/>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92157E"/>
    <w:pPr>
      <w:keepNext/>
      <w:keepLines/>
      <w:spacing w:before="4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DA244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3749"/>
    <w:rPr>
      <w:rFonts w:asciiTheme="majorHAnsi" w:eastAsiaTheme="majorEastAsia" w:hAnsiTheme="majorHAnsi" w:cstheme="majorBidi"/>
      <w:sz w:val="26"/>
      <w:szCs w:val="26"/>
    </w:rPr>
  </w:style>
  <w:style w:type="paragraph" w:styleId="ListParagraph">
    <w:name w:val="List Paragraph"/>
    <w:basedOn w:val="Normal"/>
    <w:uiPriority w:val="34"/>
    <w:qFormat/>
    <w:rsid w:val="00C032A3"/>
    <w:pPr>
      <w:ind w:left="720"/>
      <w:contextualSpacing/>
    </w:pPr>
  </w:style>
  <w:style w:type="character" w:customStyle="1" w:styleId="Heading1Char">
    <w:name w:val="Heading 1 Char"/>
    <w:basedOn w:val="DefaultParagraphFont"/>
    <w:link w:val="Heading1"/>
    <w:uiPriority w:val="9"/>
    <w:rsid w:val="005A3749"/>
    <w:rPr>
      <w:rFonts w:asciiTheme="majorHAnsi" w:eastAsiaTheme="majorEastAsia" w:hAnsiTheme="majorHAnsi" w:cstheme="majorBidi"/>
      <w:sz w:val="32"/>
      <w:szCs w:val="32"/>
    </w:rPr>
  </w:style>
  <w:style w:type="character" w:styleId="CommentReference">
    <w:name w:val="annotation reference"/>
    <w:basedOn w:val="DefaultParagraphFont"/>
    <w:uiPriority w:val="99"/>
    <w:semiHidden/>
    <w:unhideWhenUsed/>
    <w:rsid w:val="003A4A04"/>
    <w:rPr>
      <w:sz w:val="16"/>
      <w:szCs w:val="16"/>
    </w:rPr>
  </w:style>
  <w:style w:type="paragraph" w:styleId="CommentText">
    <w:name w:val="annotation text"/>
    <w:basedOn w:val="Normal"/>
    <w:link w:val="CommentTextChar"/>
    <w:uiPriority w:val="99"/>
    <w:semiHidden/>
    <w:unhideWhenUsed/>
    <w:rsid w:val="003A4A04"/>
    <w:pPr>
      <w:spacing w:line="240" w:lineRule="auto"/>
    </w:pPr>
    <w:rPr>
      <w:sz w:val="20"/>
      <w:szCs w:val="20"/>
    </w:rPr>
  </w:style>
  <w:style w:type="character" w:customStyle="1" w:styleId="CommentTextChar">
    <w:name w:val="Comment Text Char"/>
    <w:basedOn w:val="DefaultParagraphFont"/>
    <w:link w:val="CommentText"/>
    <w:uiPriority w:val="99"/>
    <w:semiHidden/>
    <w:rsid w:val="003A4A04"/>
    <w:rPr>
      <w:sz w:val="20"/>
      <w:szCs w:val="20"/>
    </w:rPr>
  </w:style>
  <w:style w:type="paragraph" w:styleId="CommentSubject">
    <w:name w:val="annotation subject"/>
    <w:basedOn w:val="CommentText"/>
    <w:next w:val="CommentText"/>
    <w:link w:val="CommentSubjectChar"/>
    <w:uiPriority w:val="99"/>
    <w:semiHidden/>
    <w:unhideWhenUsed/>
    <w:rsid w:val="003A4A04"/>
    <w:rPr>
      <w:b/>
      <w:bCs/>
    </w:rPr>
  </w:style>
  <w:style w:type="character" w:customStyle="1" w:styleId="CommentSubjectChar">
    <w:name w:val="Comment Subject Char"/>
    <w:basedOn w:val="CommentTextChar"/>
    <w:link w:val="CommentSubject"/>
    <w:uiPriority w:val="99"/>
    <w:semiHidden/>
    <w:rsid w:val="003A4A04"/>
    <w:rPr>
      <w:b/>
      <w:bCs/>
      <w:sz w:val="20"/>
      <w:szCs w:val="20"/>
    </w:rPr>
  </w:style>
  <w:style w:type="paragraph" w:styleId="BalloonText">
    <w:name w:val="Balloon Text"/>
    <w:basedOn w:val="Normal"/>
    <w:link w:val="BalloonTextChar"/>
    <w:uiPriority w:val="99"/>
    <w:semiHidden/>
    <w:unhideWhenUsed/>
    <w:rsid w:val="003A4A0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A04"/>
    <w:rPr>
      <w:rFonts w:ascii="Segoe UI" w:hAnsi="Segoe UI" w:cs="Segoe UI"/>
      <w:sz w:val="18"/>
      <w:szCs w:val="18"/>
    </w:rPr>
  </w:style>
  <w:style w:type="character" w:customStyle="1" w:styleId="Heading3Char">
    <w:name w:val="Heading 3 Char"/>
    <w:basedOn w:val="DefaultParagraphFont"/>
    <w:link w:val="Heading3"/>
    <w:uiPriority w:val="9"/>
    <w:rsid w:val="0092157E"/>
    <w:rPr>
      <w:rFonts w:asciiTheme="majorHAnsi" w:eastAsiaTheme="majorEastAsia" w:hAnsiTheme="majorHAnsi" w:cstheme="majorBidi"/>
      <w:sz w:val="24"/>
      <w:szCs w:val="24"/>
    </w:rPr>
  </w:style>
  <w:style w:type="table" w:styleId="TableGrid">
    <w:name w:val="Table Grid"/>
    <w:basedOn w:val="TableNormal"/>
    <w:uiPriority w:val="39"/>
    <w:rsid w:val="005D6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5D629A"/>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DA2443"/>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A5594D"/>
    <w:rPr>
      <w:color w:val="0563C1" w:themeColor="hyperlink"/>
      <w:u w:val="single"/>
    </w:rPr>
  </w:style>
  <w:style w:type="character" w:customStyle="1" w:styleId="UnresolvedMention1">
    <w:name w:val="Unresolved Mention1"/>
    <w:basedOn w:val="DefaultParagraphFont"/>
    <w:uiPriority w:val="99"/>
    <w:semiHidden/>
    <w:unhideWhenUsed/>
    <w:rsid w:val="00A5594D"/>
    <w:rPr>
      <w:color w:val="808080"/>
      <w:shd w:val="clear" w:color="auto" w:fill="E6E6E6"/>
    </w:rPr>
  </w:style>
  <w:style w:type="paragraph" w:styleId="DocumentMap">
    <w:name w:val="Document Map"/>
    <w:basedOn w:val="Normal"/>
    <w:link w:val="DocumentMapChar"/>
    <w:uiPriority w:val="99"/>
    <w:semiHidden/>
    <w:unhideWhenUsed/>
    <w:rsid w:val="004E33ED"/>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E33ED"/>
    <w:rPr>
      <w:rFonts w:ascii="Tahoma" w:hAnsi="Tahoma" w:cs="Tahoma"/>
      <w:sz w:val="16"/>
      <w:szCs w:val="16"/>
    </w:rPr>
  </w:style>
  <w:style w:type="paragraph" w:styleId="Revision">
    <w:name w:val="Revision"/>
    <w:hidden/>
    <w:uiPriority w:val="99"/>
    <w:semiHidden/>
    <w:rsid w:val="001C1840"/>
    <w:pPr>
      <w:spacing w:after="0" w:line="240" w:lineRule="auto"/>
    </w:pPr>
  </w:style>
  <w:style w:type="character" w:customStyle="1" w:styleId="UnresolvedMention2">
    <w:name w:val="Unresolved Mention2"/>
    <w:basedOn w:val="DefaultParagraphFont"/>
    <w:uiPriority w:val="99"/>
    <w:semiHidden/>
    <w:unhideWhenUsed/>
    <w:rsid w:val="00645FD4"/>
    <w:rPr>
      <w:color w:val="808080"/>
      <w:shd w:val="clear" w:color="auto" w:fill="E6E6E6"/>
    </w:rPr>
  </w:style>
  <w:style w:type="paragraph" w:styleId="NoSpacing">
    <w:name w:val="No Spacing"/>
    <w:uiPriority w:val="1"/>
    <w:qFormat/>
    <w:rsid w:val="00E423C0"/>
    <w:pPr>
      <w:spacing w:after="0" w:line="240" w:lineRule="auto"/>
    </w:pPr>
  </w:style>
  <w:style w:type="character" w:styleId="FollowedHyperlink">
    <w:name w:val="FollowedHyperlink"/>
    <w:basedOn w:val="DefaultParagraphFont"/>
    <w:uiPriority w:val="99"/>
    <w:semiHidden/>
    <w:unhideWhenUsed/>
    <w:rsid w:val="00671C82"/>
    <w:rPr>
      <w:color w:val="954F72" w:themeColor="followedHyperlink"/>
      <w:u w:val="single"/>
    </w:rPr>
  </w:style>
  <w:style w:type="character" w:styleId="LineNumber">
    <w:name w:val="line number"/>
    <w:basedOn w:val="DefaultParagraphFont"/>
    <w:uiPriority w:val="99"/>
    <w:semiHidden/>
    <w:unhideWhenUsed/>
    <w:rsid w:val="00F4216D"/>
  </w:style>
  <w:style w:type="paragraph" w:styleId="Header">
    <w:name w:val="header"/>
    <w:basedOn w:val="Normal"/>
    <w:link w:val="HeaderChar"/>
    <w:uiPriority w:val="99"/>
    <w:unhideWhenUsed/>
    <w:rsid w:val="005418B7"/>
    <w:pPr>
      <w:tabs>
        <w:tab w:val="center" w:pos="4680"/>
        <w:tab w:val="right" w:pos="9360"/>
      </w:tabs>
      <w:spacing w:line="240" w:lineRule="auto"/>
    </w:pPr>
  </w:style>
  <w:style w:type="character" w:customStyle="1" w:styleId="HeaderChar">
    <w:name w:val="Header Char"/>
    <w:basedOn w:val="DefaultParagraphFont"/>
    <w:link w:val="Header"/>
    <w:uiPriority w:val="99"/>
    <w:rsid w:val="005418B7"/>
  </w:style>
  <w:style w:type="paragraph" w:styleId="Footer">
    <w:name w:val="footer"/>
    <w:basedOn w:val="Normal"/>
    <w:link w:val="FooterChar"/>
    <w:uiPriority w:val="99"/>
    <w:unhideWhenUsed/>
    <w:rsid w:val="005418B7"/>
    <w:pPr>
      <w:tabs>
        <w:tab w:val="center" w:pos="4680"/>
        <w:tab w:val="right" w:pos="9360"/>
      </w:tabs>
      <w:spacing w:line="240" w:lineRule="auto"/>
    </w:pPr>
  </w:style>
  <w:style w:type="character" w:customStyle="1" w:styleId="FooterChar">
    <w:name w:val="Footer Char"/>
    <w:basedOn w:val="DefaultParagraphFont"/>
    <w:link w:val="Footer"/>
    <w:uiPriority w:val="99"/>
    <w:rsid w:val="005418B7"/>
  </w:style>
  <w:style w:type="character" w:customStyle="1" w:styleId="UnresolvedMention3">
    <w:name w:val="Unresolved Mention3"/>
    <w:basedOn w:val="DefaultParagraphFont"/>
    <w:uiPriority w:val="99"/>
    <w:semiHidden/>
    <w:unhideWhenUsed/>
    <w:rsid w:val="00B268D9"/>
    <w:rPr>
      <w:color w:val="808080"/>
      <w:shd w:val="clear" w:color="auto" w:fill="E6E6E6"/>
    </w:rPr>
  </w:style>
  <w:style w:type="character" w:styleId="PlaceholderText">
    <w:name w:val="Placeholder Text"/>
    <w:basedOn w:val="DefaultParagraphFont"/>
    <w:uiPriority w:val="99"/>
    <w:semiHidden/>
    <w:rsid w:val="004627F9"/>
    <w:rPr>
      <w:color w:val="808080"/>
    </w:rPr>
  </w:style>
  <w:style w:type="character" w:styleId="UnresolvedMention">
    <w:name w:val="Unresolved Mention"/>
    <w:basedOn w:val="DefaultParagraphFont"/>
    <w:uiPriority w:val="99"/>
    <w:semiHidden/>
    <w:unhideWhenUsed/>
    <w:rsid w:val="00564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5560">
      <w:bodyDiv w:val="1"/>
      <w:marLeft w:val="0"/>
      <w:marRight w:val="0"/>
      <w:marTop w:val="0"/>
      <w:marBottom w:val="0"/>
      <w:divBdr>
        <w:top w:val="none" w:sz="0" w:space="0" w:color="auto"/>
        <w:left w:val="none" w:sz="0" w:space="0" w:color="auto"/>
        <w:bottom w:val="none" w:sz="0" w:space="0" w:color="auto"/>
        <w:right w:val="none" w:sz="0" w:space="0" w:color="auto"/>
      </w:divBdr>
    </w:div>
    <w:div w:id="24797172">
      <w:bodyDiv w:val="1"/>
      <w:marLeft w:val="0"/>
      <w:marRight w:val="0"/>
      <w:marTop w:val="0"/>
      <w:marBottom w:val="0"/>
      <w:divBdr>
        <w:top w:val="none" w:sz="0" w:space="0" w:color="auto"/>
        <w:left w:val="none" w:sz="0" w:space="0" w:color="auto"/>
        <w:bottom w:val="none" w:sz="0" w:space="0" w:color="auto"/>
        <w:right w:val="none" w:sz="0" w:space="0" w:color="auto"/>
      </w:divBdr>
    </w:div>
    <w:div w:id="34739790">
      <w:bodyDiv w:val="1"/>
      <w:marLeft w:val="0"/>
      <w:marRight w:val="0"/>
      <w:marTop w:val="0"/>
      <w:marBottom w:val="0"/>
      <w:divBdr>
        <w:top w:val="none" w:sz="0" w:space="0" w:color="auto"/>
        <w:left w:val="none" w:sz="0" w:space="0" w:color="auto"/>
        <w:bottom w:val="none" w:sz="0" w:space="0" w:color="auto"/>
        <w:right w:val="none" w:sz="0" w:space="0" w:color="auto"/>
      </w:divBdr>
    </w:div>
    <w:div w:id="36704793">
      <w:bodyDiv w:val="1"/>
      <w:marLeft w:val="0"/>
      <w:marRight w:val="0"/>
      <w:marTop w:val="0"/>
      <w:marBottom w:val="0"/>
      <w:divBdr>
        <w:top w:val="none" w:sz="0" w:space="0" w:color="auto"/>
        <w:left w:val="none" w:sz="0" w:space="0" w:color="auto"/>
        <w:bottom w:val="none" w:sz="0" w:space="0" w:color="auto"/>
        <w:right w:val="none" w:sz="0" w:space="0" w:color="auto"/>
      </w:divBdr>
      <w:divsChild>
        <w:div w:id="689842061">
          <w:marLeft w:val="0"/>
          <w:marRight w:val="0"/>
          <w:marTop w:val="0"/>
          <w:marBottom w:val="0"/>
          <w:divBdr>
            <w:top w:val="none" w:sz="0" w:space="0" w:color="auto"/>
            <w:left w:val="none" w:sz="0" w:space="0" w:color="auto"/>
            <w:bottom w:val="none" w:sz="0" w:space="0" w:color="auto"/>
            <w:right w:val="none" w:sz="0" w:space="0" w:color="auto"/>
          </w:divBdr>
        </w:div>
        <w:div w:id="1307128773">
          <w:marLeft w:val="0"/>
          <w:marRight w:val="0"/>
          <w:marTop w:val="0"/>
          <w:marBottom w:val="0"/>
          <w:divBdr>
            <w:top w:val="none" w:sz="0" w:space="0" w:color="auto"/>
            <w:left w:val="none" w:sz="0" w:space="0" w:color="auto"/>
            <w:bottom w:val="none" w:sz="0" w:space="0" w:color="auto"/>
            <w:right w:val="none" w:sz="0" w:space="0" w:color="auto"/>
          </w:divBdr>
        </w:div>
        <w:div w:id="576213053">
          <w:marLeft w:val="0"/>
          <w:marRight w:val="0"/>
          <w:marTop w:val="0"/>
          <w:marBottom w:val="0"/>
          <w:divBdr>
            <w:top w:val="none" w:sz="0" w:space="0" w:color="auto"/>
            <w:left w:val="none" w:sz="0" w:space="0" w:color="auto"/>
            <w:bottom w:val="none" w:sz="0" w:space="0" w:color="auto"/>
            <w:right w:val="none" w:sz="0" w:space="0" w:color="auto"/>
          </w:divBdr>
        </w:div>
        <w:div w:id="1497570278">
          <w:marLeft w:val="0"/>
          <w:marRight w:val="0"/>
          <w:marTop w:val="0"/>
          <w:marBottom w:val="0"/>
          <w:divBdr>
            <w:top w:val="none" w:sz="0" w:space="0" w:color="auto"/>
            <w:left w:val="none" w:sz="0" w:space="0" w:color="auto"/>
            <w:bottom w:val="none" w:sz="0" w:space="0" w:color="auto"/>
            <w:right w:val="none" w:sz="0" w:space="0" w:color="auto"/>
          </w:divBdr>
        </w:div>
        <w:div w:id="1231693945">
          <w:marLeft w:val="0"/>
          <w:marRight w:val="0"/>
          <w:marTop w:val="0"/>
          <w:marBottom w:val="0"/>
          <w:divBdr>
            <w:top w:val="none" w:sz="0" w:space="0" w:color="auto"/>
            <w:left w:val="none" w:sz="0" w:space="0" w:color="auto"/>
            <w:bottom w:val="none" w:sz="0" w:space="0" w:color="auto"/>
            <w:right w:val="none" w:sz="0" w:space="0" w:color="auto"/>
          </w:divBdr>
        </w:div>
        <w:div w:id="1155218629">
          <w:marLeft w:val="0"/>
          <w:marRight w:val="0"/>
          <w:marTop w:val="0"/>
          <w:marBottom w:val="0"/>
          <w:divBdr>
            <w:top w:val="none" w:sz="0" w:space="0" w:color="auto"/>
            <w:left w:val="none" w:sz="0" w:space="0" w:color="auto"/>
            <w:bottom w:val="none" w:sz="0" w:space="0" w:color="auto"/>
            <w:right w:val="none" w:sz="0" w:space="0" w:color="auto"/>
          </w:divBdr>
        </w:div>
        <w:div w:id="2085911091">
          <w:marLeft w:val="0"/>
          <w:marRight w:val="0"/>
          <w:marTop w:val="0"/>
          <w:marBottom w:val="0"/>
          <w:divBdr>
            <w:top w:val="none" w:sz="0" w:space="0" w:color="auto"/>
            <w:left w:val="none" w:sz="0" w:space="0" w:color="auto"/>
            <w:bottom w:val="none" w:sz="0" w:space="0" w:color="auto"/>
            <w:right w:val="none" w:sz="0" w:space="0" w:color="auto"/>
          </w:divBdr>
        </w:div>
        <w:div w:id="572743100">
          <w:marLeft w:val="0"/>
          <w:marRight w:val="0"/>
          <w:marTop w:val="0"/>
          <w:marBottom w:val="0"/>
          <w:divBdr>
            <w:top w:val="none" w:sz="0" w:space="0" w:color="auto"/>
            <w:left w:val="none" w:sz="0" w:space="0" w:color="auto"/>
            <w:bottom w:val="none" w:sz="0" w:space="0" w:color="auto"/>
            <w:right w:val="none" w:sz="0" w:space="0" w:color="auto"/>
          </w:divBdr>
        </w:div>
        <w:div w:id="422800485">
          <w:marLeft w:val="0"/>
          <w:marRight w:val="0"/>
          <w:marTop w:val="0"/>
          <w:marBottom w:val="0"/>
          <w:divBdr>
            <w:top w:val="none" w:sz="0" w:space="0" w:color="auto"/>
            <w:left w:val="none" w:sz="0" w:space="0" w:color="auto"/>
            <w:bottom w:val="none" w:sz="0" w:space="0" w:color="auto"/>
            <w:right w:val="none" w:sz="0" w:space="0" w:color="auto"/>
          </w:divBdr>
        </w:div>
        <w:div w:id="255984963">
          <w:marLeft w:val="0"/>
          <w:marRight w:val="0"/>
          <w:marTop w:val="0"/>
          <w:marBottom w:val="0"/>
          <w:divBdr>
            <w:top w:val="none" w:sz="0" w:space="0" w:color="auto"/>
            <w:left w:val="none" w:sz="0" w:space="0" w:color="auto"/>
            <w:bottom w:val="none" w:sz="0" w:space="0" w:color="auto"/>
            <w:right w:val="none" w:sz="0" w:space="0" w:color="auto"/>
          </w:divBdr>
        </w:div>
        <w:div w:id="1883471644">
          <w:marLeft w:val="0"/>
          <w:marRight w:val="0"/>
          <w:marTop w:val="0"/>
          <w:marBottom w:val="0"/>
          <w:divBdr>
            <w:top w:val="none" w:sz="0" w:space="0" w:color="auto"/>
            <w:left w:val="none" w:sz="0" w:space="0" w:color="auto"/>
            <w:bottom w:val="none" w:sz="0" w:space="0" w:color="auto"/>
            <w:right w:val="none" w:sz="0" w:space="0" w:color="auto"/>
          </w:divBdr>
        </w:div>
        <w:div w:id="23294688">
          <w:marLeft w:val="0"/>
          <w:marRight w:val="0"/>
          <w:marTop w:val="0"/>
          <w:marBottom w:val="0"/>
          <w:divBdr>
            <w:top w:val="none" w:sz="0" w:space="0" w:color="auto"/>
            <w:left w:val="none" w:sz="0" w:space="0" w:color="auto"/>
            <w:bottom w:val="none" w:sz="0" w:space="0" w:color="auto"/>
            <w:right w:val="none" w:sz="0" w:space="0" w:color="auto"/>
          </w:divBdr>
        </w:div>
        <w:div w:id="492988687">
          <w:marLeft w:val="0"/>
          <w:marRight w:val="0"/>
          <w:marTop w:val="0"/>
          <w:marBottom w:val="0"/>
          <w:divBdr>
            <w:top w:val="none" w:sz="0" w:space="0" w:color="auto"/>
            <w:left w:val="none" w:sz="0" w:space="0" w:color="auto"/>
            <w:bottom w:val="none" w:sz="0" w:space="0" w:color="auto"/>
            <w:right w:val="none" w:sz="0" w:space="0" w:color="auto"/>
          </w:divBdr>
        </w:div>
        <w:div w:id="38090498">
          <w:marLeft w:val="0"/>
          <w:marRight w:val="0"/>
          <w:marTop w:val="0"/>
          <w:marBottom w:val="0"/>
          <w:divBdr>
            <w:top w:val="none" w:sz="0" w:space="0" w:color="auto"/>
            <w:left w:val="none" w:sz="0" w:space="0" w:color="auto"/>
            <w:bottom w:val="none" w:sz="0" w:space="0" w:color="auto"/>
            <w:right w:val="none" w:sz="0" w:space="0" w:color="auto"/>
          </w:divBdr>
        </w:div>
        <w:div w:id="1829127050">
          <w:marLeft w:val="0"/>
          <w:marRight w:val="0"/>
          <w:marTop w:val="0"/>
          <w:marBottom w:val="0"/>
          <w:divBdr>
            <w:top w:val="none" w:sz="0" w:space="0" w:color="auto"/>
            <w:left w:val="none" w:sz="0" w:space="0" w:color="auto"/>
            <w:bottom w:val="none" w:sz="0" w:space="0" w:color="auto"/>
            <w:right w:val="none" w:sz="0" w:space="0" w:color="auto"/>
          </w:divBdr>
        </w:div>
        <w:div w:id="658004772">
          <w:marLeft w:val="0"/>
          <w:marRight w:val="0"/>
          <w:marTop w:val="0"/>
          <w:marBottom w:val="0"/>
          <w:divBdr>
            <w:top w:val="none" w:sz="0" w:space="0" w:color="auto"/>
            <w:left w:val="none" w:sz="0" w:space="0" w:color="auto"/>
            <w:bottom w:val="none" w:sz="0" w:space="0" w:color="auto"/>
            <w:right w:val="none" w:sz="0" w:space="0" w:color="auto"/>
          </w:divBdr>
        </w:div>
        <w:div w:id="512644607">
          <w:marLeft w:val="0"/>
          <w:marRight w:val="0"/>
          <w:marTop w:val="0"/>
          <w:marBottom w:val="0"/>
          <w:divBdr>
            <w:top w:val="none" w:sz="0" w:space="0" w:color="auto"/>
            <w:left w:val="none" w:sz="0" w:space="0" w:color="auto"/>
            <w:bottom w:val="none" w:sz="0" w:space="0" w:color="auto"/>
            <w:right w:val="none" w:sz="0" w:space="0" w:color="auto"/>
          </w:divBdr>
        </w:div>
        <w:div w:id="1047489499">
          <w:marLeft w:val="0"/>
          <w:marRight w:val="0"/>
          <w:marTop w:val="0"/>
          <w:marBottom w:val="0"/>
          <w:divBdr>
            <w:top w:val="none" w:sz="0" w:space="0" w:color="auto"/>
            <w:left w:val="none" w:sz="0" w:space="0" w:color="auto"/>
            <w:bottom w:val="none" w:sz="0" w:space="0" w:color="auto"/>
            <w:right w:val="none" w:sz="0" w:space="0" w:color="auto"/>
          </w:divBdr>
        </w:div>
        <w:div w:id="1734160221">
          <w:marLeft w:val="0"/>
          <w:marRight w:val="0"/>
          <w:marTop w:val="0"/>
          <w:marBottom w:val="0"/>
          <w:divBdr>
            <w:top w:val="none" w:sz="0" w:space="0" w:color="auto"/>
            <w:left w:val="none" w:sz="0" w:space="0" w:color="auto"/>
            <w:bottom w:val="none" w:sz="0" w:space="0" w:color="auto"/>
            <w:right w:val="none" w:sz="0" w:space="0" w:color="auto"/>
          </w:divBdr>
        </w:div>
        <w:div w:id="229122556">
          <w:marLeft w:val="0"/>
          <w:marRight w:val="0"/>
          <w:marTop w:val="0"/>
          <w:marBottom w:val="0"/>
          <w:divBdr>
            <w:top w:val="none" w:sz="0" w:space="0" w:color="auto"/>
            <w:left w:val="none" w:sz="0" w:space="0" w:color="auto"/>
            <w:bottom w:val="none" w:sz="0" w:space="0" w:color="auto"/>
            <w:right w:val="none" w:sz="0" w:space="0" w:color="auto"/>
          </w:divBdr>
        </w:div>
        <w:div w:id="1588270974">
          <w:marLeft w:val="0"/>
          <w:marRight w:val="0"/>
          <w:marTop w:val="0"/>
          <w:marBottom w:val="0"/>
          <w:divBdr>
            <w:top w:val="none" w:sz="0" w:space="0" w:color="auto"/>
            <w:left w:val="none" w:sz="0" w:space="0" w:color="auto"/>
            <w:bottom w:val="none" w:sz="0" w:space="0" w:color="auto"/>
            <w:right w:val="none" w:sz="0" w:space="0" w:color="auto"/>
          </w:divBdr>
        </w:div>
        <w:div w:id="1577399887">
          <w:marLeft w:val="0"/>
          <w:marRight w:val="0"/>
          <w:marTop w:val="0"/>
          <w:marBottom w:val="0"/>
          <w:divBdr>
            <w:top w:val="none" w:sz="0" w:space="0" w:color="auto"/>
            <w:left w:val="none" w:sz="0" w:space="0" w:color="auto"/>
            <w:bottom w:val="none" w:sz="0" w:space="0" w:color="auto"/>
            <w:right w:val="none" w:sz="0" w:space="0" w:color="auto"/>
          </w:divBdr>
        </w:div>
        <w:div w:id="363943339">
          <w:marLeft w:val="0"/>
          <w:marRight w:val="0"/>
          <w:marTop w:val="0"/>
          <w:marBottom w:val="0"/>
          <w:divBdr>
            <w:top w:val="none" w:sz="0" w:space="0" w:color="auto"/>
            <w:left w:val="none" w:sz="0" w:space="0" w:color="auto"/>
            <w:bottom w:val="none" w:sz="0" w:space="0" w:color="auto"/>
            <w:right w:val="none" w:sz="0" w:space="0" w:color="auto"/>
          </w:divBdr>
        </w:div>
        <w:div w:id="878008293">
          <w:marLeft w:val="0"/>
          <w:marRight w:val="0"/>
          <w:marTop w:val="0"/>
          <w:marBottom w:val="0"/>
          <w:divBdr>
            <w:top w:val="none" w:sz="0" w:space="0" w:color="auto"/>
            <w:left w:val="none" w:sz="0" w:space="0" w:color="auto"/>
            <w:bottom w:val="none" w:sz="0" w:space="0" w:color="auto"/>
            <w:right w:val="none" w:sz="0" w:space="0" w:color="auto"/>
          </w:divBdr>
        </w:div>
        <w:div w:id="88503558">
          <w:marLeft w:val="0"/>
          <w:marRight w:val="0"/>
          <w:marTop w:val="0"/>
          <w:marBottom w:val="0"/>
          <w:divBdr>
            <w:top w:val="none" w:sz="0" w:space="0" w:color="auto"/>
            <w:left w:val="none" w:sz="0" w:space="0" w:color="auto"/>
            <w:bottom w:val="none" w:sz="0" w:space="0" w:color="auto"/>
            <w:right w:val="none" w:sz="0" w:space="0" w:color="auto"/>
          </w:divBdr>
        </w:div>
        <w:div w:id="436489207">
          <w:marLeft w:val="0"/>
          <w:marRight w:val="0"/>
          <w:marTop w:val="0"/>
          <w:marBottom w:val="0"/>
          <w:divBdr>
            <w:top w:val="none" w:sz="0" w:space="0" w:color="auto"/>
            <w:left w:val="none" w:sz="0" w:space="0" w:color="auto"/>
            <w:bottom w:val="none" w:sz="0" w:space="0" w:color="auto"/>
            <w:right w:val="none" w:sz="0" w:space="0" w:color="auto"/>
          </w:divBdr>
        </w:div>
        <w:div w:id="1391228132">
          <w:marLeft w:val="0"/>
          <w:marRight w:val="0"/>
          <w:marTop w:val="0"/>
          <w:marBottom w:val="0"/>
          <w:divBdr>
            <w:top w:val="none" w:sz="0" w:space="0" w:color="auto"/>
            <w:left w:val="none" w:sz="0" w:space="0" w:color="auto"/>
            <w:bottom w:val="none" w:sz="0" w:space="0" w:color="auto"/>
            <w:right w:val="none" w:sz="0" w:space="0" w:color="auto"/>
          </w:divBdr>
        </w:div>
        <w:div w:id="111899092">
          <w:marLeft w:val="0"/>
          <w:marRight w:val="0"/>
          <w:marTop w:val="0"/>
          <w:marBottom w:val="0"/>
          <w:divBdr>
            <w:top w:val="none" w:sz="0" w:space="0" w:color="auto"/>
            <w:left w:val="none" w:sz="0" w:space="0" w:color="auto"/>
            <w:bottom w:val="none" w:sz="0" w:space="0" w:color="auto"/>
            <w:right w:val="none" w:sz="0" w:space="0" w:color="auto"/>
          </w:divBdr>
        </w:div>
        <w:div w:id="12390678">
          <w:marLeft w:val="0"/>
          <w:marRight w:val="0"/>
          <w:marTop w:val="0"/>
          <w:marBottom w:val="0"/>
          <w:divBdr>
            <w:top w:val="none" w:sz="0" w:space="0" w:color="auto"/>
            <w:left w:val="none" w:sz="0" w:space="0" w:color="auto"/>
            <w:bottom w:val="none" w:sz="0" w:space="0" w:color="auto"/>
            <w:right w:val="none" w:sz="0" w:space="0" w:color="auto"/>
          </w:divBdr>
        </w:div>
      </w:divsChild>
    </w:div>
    <w:div w:id="90974488">
      <w:bodyDiv w:val="1"/>
      <w:marLeft w:val="0"/>
      <w:marRight w:val="0"/>
      <w:marTop w:val="0"/>
      <w:marBottom w:val="0"/>
      <w:divBdr>
        <w:top w:val="none" w:sz="0" w:space="0" w:color="auto"/>
        <w:left w:val="none" w:sz="0" w:space="0" w:color="auto"/>
        <w:bottom w:val="none" w:sz="0" w:space="0" w:color="auto"/>
        <w:right w:val="none" w:sz="0" w:space="0" w:color="auto"/>
      </w:divBdr>
    </w:div>
    <w:div w:id="96021529">
      <w:bodyDiv w:val="1"/>
      <w:marLeft w:val="0"/>
      <w:marRight w:val="0"/>
      <w:marTop w:val="0"/>
      <w:marBottom w:val="0"/>
      <w:divBdr>
        <w:top w:val="none" w:sz="0" w:space="0" w:color="auto"/>
        <w:left w:val="none" w:sz="0" w:space="0" w:color="auto"/>
        <w:bottom w:val="none" w:sz="0" w:space="0" w:color="auto"/>
        <w:right w:val="none" w:sz="0" w:space="0" w:color="auto"/>
      </w:divBdr>
    </w:div>
    <w:div w:id="130056038">
      <w:bodyDiv w:val="1"/>
      <w:marLeft w:val="0"/>
      <w:marRight w:val="0"/>
      <w:marTop w:val="0"/>
      <w:marBottom w:val="0"/>
      <w:divBdr>
        <w:top w:val="none" w:sz="0" w:space="0" w:color="auto"/>
        <w:left w:val="none" w:sz="0" w:space="0" w:color="auto"/>
        <w:bottom w:val="none" w:sz="0" w:space="0" w:color="auto"/>
        <w:right w:val="none" w:sz="0" w:space="0" w:color="auto"/>
      </w:divBdr>
    </w:div>
    <w:div w:id="157305102">
      <w:bodyDiv w:val="1"/>
      <w:marLeft w:val="0"/>
      <w:marRight w:val="0"/>
      <w:marTop w:val="0"/>
      <w:marBottom w:val="0"/>
      <w:divBdr>
        <w:top w:val="none" w:sz="0" w:space="0" w:color="auto"/>
        <w:left w:val="none" w:sz="0" w:space="0" w:color="auto"/>
        <w:bottom w:val="none" w:sz="0" w:space="0" w:color="auto"/>
        <w:right w:val="none" w:sz="0" w:space="0" w:color="auto"/>
      </w:divBdr>
    </w:div>
    <w:div w:id="158886390">
      <w:bodyDiv w:val="1"/>
      <w:marLeft w:val="0"/>
      <w:marRight w:val="0"/>
      <w:marTop w:val="0"/>
      <w:marBottom w:val="0"/>
      <w:divBdr>
        <w:top w:val="none" w:sz="0" w:space="0" w:color="auto"/>
        <w:left w:val="none" w:sz="0" w:space="0" w:color="auto"/>
        <w:bottom w:val="none" w:sz="0" w:space="0" w:color="auto"/>
        <w:right w:val="none" w:sz="0" w:space="0" w:color="auto"/>
      </w:divBdr>
    </w:div>
    <w:div w:id="175464998">
      <w:bodyDiv w:val="1"/>
      <w:marLeft w:val="0"/>
      <w:marRight w:val="0"/>
      <w:marTop w:val="0"/>
      <w:marBottom w:val="0"/>
      <w:divBdr>
        <w:top w:val="none" w:sz="0" w:space="0" w:color="auto"/>
        <w:left w:val="none" w:sz="0" w:space="0" w:color="auto"/>
        <w:bottom w:val="none" w:sz="0" w:space="0" w:color="auto"/>
        <w:right w:val="none" w:sz="0" w:space="0" w:color="auto"/>
      </w:divBdr>
    </w:div>
    <w:div w:id="248540268">
      <w:bodyDiv w:val="1"/>
      <w:marLeft w:val="0"/>
      <w:marRight w:val="0"/>
      <w:marTop w:val="0"/>
      <w:marBottom w:val="0"/>
      <w:divBdr>
        <w:top w:val="none" w:sz="0" w:space="0" w:color="auto"/>
        <w:left w:val="none" w:sz="0" w:space="0" w:color="auto"/>
        <w:bottom w:val="none" w:sz="0" w:space="0" w:color="auto"/>
        <w:right w:val="none" w:sz="0" w:space="0" w:color="auto"/>
      </w:divBdr>
    </w:div>
    <w:div w:id="288782033">
      <w:bodyDiv w:val="1"/>
      <w:marLeft w:val="0"/>
      <w:marRight w:val="0"/>
      <w:marTop w:val="0"/>
      <w:marBottom w:val="0"/>
      <w:divBdr>
        <w:top w:val="none" w:sz="0" w:space="0" w:color="auto"/>
        <w:left w:val="none" w:sz="0" w:space="0" w:color="auto"/>
        <w:bottom w:val="none" w:sz="0" w:space="0" w:color="auto"/>
        <w:right w:val="none" w:sz="0" w:space="0" w:color="auto"/>
      </w:divBdr>
    </w:div>
    <w:div w:id="564220966">
      <w:bodyDiv w:val="1"/>
      <w:marLeft w:val="0"/>
      <w:marRight w:val="0"/>
      <w:marTop w:val="0"/>
      <w:marBottom w:val="0"/>
      <w:divBdr>
        <w:top w:val="none" w:sz="0" w:space="0" w:color="auto"/>
        <w:left w:val="none" w:sz="0" w:space="0" w:color="auto"/>
        <w:bottom w:val="none" w:sz="0" w:space="0" w:color="auto"/>
        <w:right w:val="none" w:sz="0" w:space="0" w:color="auto"/>
      </w:divBdr>
    </w:div>
    <w:div w:id="570698928">
      <w:bodyDiv w:val="1"/>
      <w:marLeft w:val="0"/>
      <w:marRight w:val="0"/>
      <w:marTop w:val="0"/>
      <w:marBottom w:val="0"/>
      <w:divBdr>
        <w:top w:val="none" w:sz="0" w:space="0" w:color="auto"/>
        <w:left w:val="none" w:sz="0" w:space="0" w:color="auto"/>
        <w:bottom w:val="none" w:sz="0" w:space="0" w:color="auto"/>
        <w:right w:val="none" w:sz="0" w:space="0" w:color="auto"/>
      </w:divBdr>
    </w:div>
    <w:div w:id="577596904">
      <w:bodyDiv w:val="1"/>
      <w:marLeft w:val="0"/>
      <w:marRight w:val="0"/>
      <w:marTop w:val="0"/>
      <w:marBottom w:val="0"/>
      <w:divBdr>
        <w:top w:val="none" w:sz="0" w:space="0" w:color="auto"/>
        <w:left w:val="none" w:sz="0" w:space="0" w:color="auto"/>
        <w:bottom w:val="none" w:sz="0" w:space="0" w:color="auto"/>
        <w:right w:val="none" w:sz="0" w:space="0" w:color="auto"/>
      </w:divBdr>
    </w:div>
    <w:div w:id="614561796">
      <w:bodyDiv w:val="1"/>
      <w:marLeft w:val="0"/>
      <w:marRight w:val="0"/>
      <w:marTop w:val="0"/>
      <w:marBottom w:val="0"/>
      <w:divBdr>
        <w:top w:val="none" w:sz="0" w:space="0" w:color="auto"/>
        <w:left w:val="none" w:sz="0" w:space="0" w:color="auto"/>
        <w:bottom w:val="none" w:sz="0" w:space="0" w:color="auto"/>
        <w:right w:val="none" w:sz="0" w:space="0" w:color="auto"/>
      </w:divBdr>
    </w:div>
    <w:div w:id="619412809">
      <w:bodyDiv w:val="1"/>
      <w:marLeft w:val="0"/>
      <w:marRight w:val="0"/>
      <w:marTop w:val="0"/>
      <w:marBottom w:val="0"/>
      <w:divBdr>
        <w:top w:val="none" w:sz="0" w:space="0" w:color="auto"/>
        <w:left w:val="none" w:sz="0" w:space="0" w:color="auto"/>
        <w:bottom w:val="none" w:sz="0" w:space="0" w:color="auto"/>
        <w:right w:val="none" w:sz="0" w:space="0" w:color="auto"/>
      </w:divBdr>
    </w:div>
    <w:div w:id="625894382">
      <w:bodyDiv w:val="1"/>
      <w:marLeft w:val="0"/>
      <w:marRight w:val="0"/>
      <w:marTop w:val="0"/>
      <w:marBottom w:val="0"/>
      <w:divBdr>
        <w:top w:val="none" w:sz="0" w:space="0" w:color="auto"/>
        <w:left w:val="none" w:sz="0" w:space="0" w:color="auto"/>
        <w:bottom w:val="none" w:sz="0" w:space="0" w:color="auto"/>
        <w:right w:val="none" w:sz="0" w:space="0" w:color="auto"/>
      </w:divBdr>
    </w:div>
    <w:div w:id="636103066">
      <w:bodyDiv w:val="1"/>
      <w:marLeft w:val="0"/>
      <w:marRight w:val="0"/>
      <w:marTop w:val="0"/>
      <w:marBottom w:val="0"/>
      <w:divBdr>
        <w:top w:val="none" w:sz="0" w:space="0" w:color="auto"/>
        <w:left w:val="none" w:sz="0" w:space="0" w:color="auto"/>
        <w:bottom w:val="none" w:sz="0" w:space="0" w:color="auto"/>
        <w:right w:val="none" w:sz="0" w:space="0" w:color="auto"/>
      </w:divBdr>
    </w:div>
    <w:div w:id="746731692">
      <w:bodyDiv w:val="1"/>
      <w:marLeft w:val="0"/>
      <w:marRight w:val="0"/>
      <w:marTop w:val="0"/>
      <w:marBottom w:val="0"/>
      <w:divBdr>
        <w:top w:val="none" w:sz="0" w:space="0" w:color="auto"/>
        <w:left w:val="none" w:sz="0" w:space="0" w:color="auto"/>
        <w:bottom w:val="none" w:sz="0" w:space="0" w:color="auto"/>
        <w:right w:val="none" w:sz="0" w:space="0" w:color="auto"/>
      </w:divBdr>
    </w:div>
    <w:div w:id="936862932">
      <w:bodyDiv w:val="1"/>
      <w:marLeft w:val="0"/>
      <w:marRight w:val="0"/>
      <w:marTop w:val="0"/>
      <w:marBottom w:val="0"/>
      <w:divBdr>
        <w:top w:val="none" w:sz="0" w:space="0" w:color="auto"/>
        <w:left w:val="none" w:sz="0" w:space="0" w:color="auto"/>
        <w:bottom w:val="none" w:sz="0" w:space="0" w:color="auto"/>
        <w:right w:val="none" w:sz="0" w:space="0" w:color="auto"/>
      </w:divBdr>
    </w:div>
    <w:div w:id="971790432">
      <w:bodyDiv w:val="1"/>
      <w:marLeft w:val="0"/>
      <w:marRight w:val="0"/>
      <w:marTop w:val="0"/>
      <w:marBottom w:val="0"/>
      <w:divBdr>
        <w:top w:val="none" w:sz="0" w:space="0" w:color="auto"/>
        <w:left w:val="none" w:sz="0" w:space="0" w:color="auto"/>
        <w:bottom w:val="none" w:sz="0" w:space="0" w:color="auto"/>
        <w:right w:val="none" w:sz="0" w:space="0" w:color="auto"/>
      </w:divBdr>
    </w:div>
    <w:div w:id="979842516">
      <w:bodyDiv w:val="1"/>
      <w:marLeft w:val="0"/>
      <w:marRight w:val="0"/>
      <w:marTop w:val="0"/>
      <w:marBottom w:val="0"/>
      <w:divBdr>
        <w:top w:val="none" w:sz="0" w:space="0" w:color="auto"/>
        <w:left w:val="none" w:sz="0" w:space="0" w:color="auto"/>
        <w:bottom w:val="none" w:sz="0" w:space="0" w:color="auto"/>
        <w:right w:val="none" w:sz="0" w:space="0" w:color="auto"/>
      </w:divBdr>
    </w:div>
    <w:div w:id="980040993">
      <w:bodyDiv w:val="1"/>
      <w:marLeft w:val="0"/>
      <w:marRight w:val="0"/>
      <w:marTop w:val="0"/>
      <w:marBottom w:val="0"/>
      <w:divBdr>
        <w:top w:val="none" w:sz="0" w:space="0" w:color="auto"/>
        <w:left w:val="none" w:sz="0" w:space="0" w:color="auto"/>
        <w:bottom w:val="none" w:sz="0" w:space="0" w:color="auto"/>
        <w:right w:val="none" w:sz="0" w:space="0" w:color="auto"/>
      </w:divBdr>
    </w:div>
    <w:div w:id="1234241670">
      <w:bodyDiv w:val="1"/>
      <w:marLeft w:val="0"/>
      <w:marRight w:val="0"/>
      <w:marTop w:val="0"/>
      <w:marBottom w:val="0"/>
      <w:divBdr>
        <w:top w:val="none" w:sz="0" w:space="0" w:color="auto"/>
        <w:left w:val="none" w:sz="0" w:space="0" w:color="auto"/>
        <w:bottom w:val="none" w:sz="0" w:space="0" w:color="auto"/>
        <w:right w:val="none" w:sz="0" w:space="0" w:color="auto"/>
      </w:divBdr>
    </w:div>
    <w:div w:id="1289699627">
      <w:bodyDiv w:val="1"/>
      <w:marLeft w:val="0"/>
      <w:marRight w:val="0"/>
      <w:marTop w:val="0"/>
      <w:marBottom w:val="0"/>
      <w:divBdr>
        <w:top w:val="none" w:sz="0" w:space="0" w:color="auto"/>
        <w:left w:val="none" w:sz="0" w:space="0" w:color="auto"/>
        <w:bottom w:val="none" w:sz="0" w:space="0" w:color="auto"/>
        <w:right w:val="none" w:sz="0" w:space="0" w:color="auto"/>
      </w:divBdr>
    </w:div>
    <w:div w:id="1313869704">
      <w:bodyDiv w:val="1"/>
      <w:marLeft w:val="0"/>
      <w:marRight w:val="0"/>
      <w:marTop w:val="0"/>
      <w:marBottom w:val="0"/>
      <w:divBdr>
        <w:top w:val="none" w:sz="0" w:space="0" w:color="auto"/>
        <w:left w:val="none" w:sz="0" w:space="0" w:color="auto"/>
        <w:bottom w:val="none" w:sz="0" w:space="0" w:color="auto"/>
        <w:right w:val="none" w:sz="0" w:space="0" w:color="auto"/>
      </w:divBdr>
    </w:div>
    <w:div w:id="1317607874">
      <w:bodyDiv w:val="1"/>
      <w:marLeft w:val="0"/>
      <w:marRight w:val="0"/>
      <w:marTop w:val="0"/>
      <w:marBottom w:val="0"/>
      <w:divBdr>
        <w:top w:val="none" w:sz="0" w:space="0" w:color="auto"/>
        <w:left w:val="none" w:sz="0" w:space="0" w:color="auto"/>
        <w:bottom w:val="none" w:sz="0" w:space="0" w:color="auto"/>
        <w:right w:val="none" w:sz="0" w:space="0" w:color="auto"/>
      </w:divBdr>
    </w:div>
    <w:div w:id="1349601242">
      <w:bodyDiv w:val="1"/>
      <w:marLeft w:val="0"/>
      <w:marRight w:val="0"/>
      <w:marTop w:val="0"/>
      <w:marBottom w:val="0"/>
      <w:divBdr>
        <w:top w:val="none" w:sz="0" w:space="0" w:color="auto"/>
        <w:left w:val="none" w:sz="0" w:space="0" w:color="auto"/>
        <w:bottom w:val="none" w:sz="0" w:space="0" w:color="auto"/>
        <w:right w:val="none" w:sz="0" w:space="0" w:color="auto"/>
      </w:divBdr>
    </w:div>
    <w:div w:id="1418865784">
      <w:bodyDiv w:val="1"/>
      <w:marLeft w:val="0"/>
      <w:marRight w:val="0"/>
      <w:marTop w:val="0"/>
      <w:marBottom w:val="0"/>
      <w:divBdr>
        <w:top w:val="none" w:sz="0" w:space="0" w:color="auto"/>
        <w:left w:val="none" w:sz="0" w:space="0" w:color="auto"/>
        <w:bottom w:val="none" w:sz="0" w:space="0" w:color="auto"/>
        <w:right w:val="none" w:sz="0" w:space="0" w:color="auto"/>
      </w:divBdr>
    </w:div>
    <w:div w:id="1449662400">
      <w:bodyDiv w:val="1"/>
      <w:marLeft w:val="0"/>
      <w:marRight w:val="0"/>
      <w:marTop w:val="0"/>
      <w:marBottom w:val="0"/>
      <w:divBdr>
        <w:top w:val="none" w:sz="0" w:space="0" w:color="auto"/>
        <w:left w:val="none" w:sz="0" w:space="0" w:color="auto"/>
        <w:bottom w:val="none" w:sz="0" w:space="0" w:color="auto"/>
        <w:right w:val="none" w:sz="0" w:space="0" w:color="auto"/>
      </w:divBdr>
      <w:divsChild>
        <w:div w:id="206335212">
          <w:marLeft w:val="0"/>
          <w:marRight w:val="0"/>
          <w:marTop w:val="0"/>
          <w:marBottom w:val="0"/>
          <w:divBdr>
            <w:top w:val="none" w:sz="0" w:space="0" w:color="auto"/>
            <w:left w:val="none" w:sz="0" w:space="0" w:color="auto"/>
            <w:bottom w:val="none" w:sz="0" w:space="0" w:color="auto"/>
            <w:right w:val="none" w:sz="0" w:space="0" w:color="auto"/>
          </w:divBdr>
        </w:div>
        <w:div w:id="385490588">
          <w:marLeft w:val="0"/>
          <w:marRight w:val="0"/>
          <w:marTop w:val="0"/>
          <w:marBottom w:val="0"/>
          <w:divBdr>
            <w:top w:val="none" w:sz="0" w:space="0" w:color="auto"/>
            <w:left w:val="none" w:sz="0" w:space="0" w:color="auto"/>
            <w:bottom w:val="none" w:sz="0" w:space="0" w:color="auto"/>
            <w:right w:val="none" w:sz="0" w:space="0" w:color="auto"/>
          </w:divBdr>
        </w:div>
        <w:div w:id="565265444">
          <w:marLeft w:val="0"/>
          <w:marRight w:val="0"/>
          <w:marTop w:val="0"/>
          <w:marBottom w:val="0"/>
          <w:divBdr>
            <w:top w:val="none" w:sz="0" w:space="0" w:color="auto"/>
            <w:left w:val="none" w:sz="0" w:space="0" w:color="auto"/>
            <w:bottom w:val="none" w:sz="0" w:space="0" w:color="auto"/>
            <w:right w:val="none" w:sz="0" w:space="0" w:color="auto"/>
          </w:divBdr>
        </w:div>
        <w:div w:id="618336241">
          <w:marLeft w:val="0"/>
          <w:marRight w:val="0"/>
          <w:marTop w:val="0"/>
          <w:marBottom w:val="0"/>
          <w:divBdr>
            <w:top w:val="none" w:sz="0" w:space="0" w:color="auto"/>
            <w:left w:val="none" w:sz="0" w:space="0" w:color="auto"/>
            <w:bottom w:val="none" w:sz="0" w:space="0" w:color="auto"/>
            <w:right w:val="none" w:sz="0" w:space="0" w:color="auto"/>
          </w:divBdr>
        </w:div>
        <w:div w:id="628511402">
          <w:marLeft w:val="0"/>
          <w:marRight w:val="0"/>
          <w:marTop w:val="0"/>
          <w:marBottom w:val="0"/>
          <w:divBdr>
            <w:top w:val="none" w:sz="0" w:space="0" w:color="auto"/>
            <w:left w:val="none" w:sz="0" w:space="0" w:color="auto"/>
            <w:bottom w:val="none" w:sz="0" w:space="0" w:color="auto"/>
            <w:right w:val="none" w:sz="0" w:space="0" w:color="auto"/>
          </w:divBdr>
        </w:div>
        <w:div w:id="806515044">
          <w:marLeft w:val="0"/>
          <w:marRight w:val="0"/>
          <w:marTop w:val="0"/>
          <w:marBottom w:val="0"/>
          <w:divBdr>
            <w:top w:val="none" w:sz="0" w:space="0" w:color="auto"/>
            <w:left w:val="none" w:sz="0" w:space="0" w:color="auto"/>
            <w:bottom w:val="none" w:sz="0" w:space="0" w:color="auto"/>
            <w:right w:val="none" w:sz="0" w:space="0" w:color="auto"/>
          </w:divBdr>
        </w:div>
        <w:div w:id="1099761992">
          <w:marLeft w:val="0"/>
          <w:marRight w:val="0"/>
          <w:marTop w:val="0"/>
          <w:marBottom w:val="0"/>
          <w:divBdr>
            <w:top w:val="none" w:sz="0" w:space="0" w:color="auto"/>
            <w:left w:val="none" w:sz="0" w:space="0" w:color="auto"/>
            <w:bottom w:val="none" w:sz="0" w:space="0" w:color="auto"/>
            <w:right w:val="none" w:sz="0" w:space="0" w:color="auto"/>
          </w:divBdr>
        </w:div>
        <w:div w:id="1118792150">
          <w:marLeft w:val="0"/>
          <w:marRight w:val="0"/>
          <w:marTop w:val="0"/>
          <w:marBottom w:val="0"/>
          <w:divBdr>
            <w:top w:val="none" w:sz="0" w:space="0" w:color="auto"/>
            <w:left w:val="none" w:sz="0" w:space="0" w:color="auto"/>
            <w:bottom w:val="none" w:sz="0" w:space="0" w:color="auto"/>
            <w:right w:val="none" w:sz="0" w:space="0" w:color="auto"/>
          </w:divBdr>
        </w:div>
        <w:div w:id="1398939061">
          <w:marLeft w:val="0"/>
          <w:marRight w:val="0"/>
          <w:marTop w:val="0"/>
          <w:marBottom w:val="0"/>
          <w:divBdr>
            <w:top w:val="none" w:sz="0" w:space="0" w:color="auto"/>
            <w:left w:val="none" w:sz="0" w:space="0" w:color="auto"/>
            <w:bottom w:val="none" w:sz="0" w:space="0" w:color="auto"/>
            <w:right w:val="none" w:sz="0" w:space="0" w:color="auto"/>
          </w:divBdr>
        </w:div>
        <w:div w:id="1804812670">
          <w:marLeft w:val="0"/>
          <w:marRight w:val="0"/>
          <w:marTop w:val="0"/>
          <w:marBottom w:val="0"/>
          <w:divBdr>
            <w:top w:val="none" w:sz="0" w:space="0" w:color="auto"/>
            <w:left w:val="none" w:sz="0" w:space="0" w:color="auto"/>
            <w:bottom w:val="none" w:sz="0" w:space="0" w:color="auto"/>
            <w:right w:val="none" w:sz="0" w:space="0" w:color="auto"/>
          </w:divBdr>
        </w:div>
        <w:div w:id="1852446820">
          <w:marLeft w:val="0"/>
          <w:marRight w:val="0"/>
          <w:marTop w:val="0"/>
          <w:marBottom w:val="0"/>
          <w:divBdr>
            <w:top w:val="none" w:sz="0" w:space="0" w:color="auto"/>
            <w:left w:val="none" w:sz="0" w:space="0" w:color="auto"/>
            <w:bottom w:val="none" w:sz="0" w:space="0" w:color="auto"/>
            <w:right w:val="none" w:sz="0" w:space="0" w:color="auto"/>
          </w:divBdr>
        </w:div>
        <w:div w:id="2074621703">
          <w:marLeft w:val="0"/>
          <w:marRight w:val="0"/>
          <w:marTop w:val="0"/>
          <w:marBottom w:val="0"/>
          <w:divBdr>
            <w:top w:val="none" w:sz="0" w:space="0" w:color="auto"/>
            <w:left w:val="none" w:sz="0" w:space="0" w:color="auto"/>
            <w:bottom w:val="none" w:sz="0" w:space="0" w:color="auto"/>
            <w:right w:val="none" w:sz="0" w:space="0" w:color="auto"/>
          </w:divBdr>
        </w:div>
      </w:divsChild>
    </w:div>
    <w:div w:id="1460145437">
      <w:bodyDiv w:val="1"/>
      <w:marLeft w:val="0"/>
      <w:marRight w:val="0"/>
      <w:marTop w:val="0"/>
      <w:marBottom w:val="0"/>
      <w:divBdr>
        <w:top w:val="none" w:sz="0" w:space="0" w:color="auto"/>
        <w:left w:val="none" w:sz="0" w:space="0" w:color="auto"/>
        <w:bottom w:val="none" w:sz="0" w:space="0" w:color="auto"/>
        <w:right w:val="none" w:sz="0" w:space="0" w:color="auto"/>
      </w:divBdr>
    </w:div>
    <w:div w:id="1627587537">
      <w:bodyDiv w:val="1"/>
      <w:marLeft w:val="0"/>
      <w:marRight w:val="0"/>
      <w:marTop w:val="0"/>
      <w:marBottom w:val="0"/>
      <w:divBdr>
        <w:top w:val="none" w:sz="0" w:space="0" w:color="auto"/>
        <w:left w:val="none" w:sz="0" w:space="0" w:color="auto"/>
        <w:bottom w:val="none" w:sz="0" w:space="0" w:color="auto"/>
        <w:right w:val="none" w:sz="0" w:space="0" w:color="auto"/>
      </w:divBdr>
    </w:div>
    <w:div w:id="1899049225">
      <w:bodyDiv w:val="1"/>
      <w:marLeft w:val="0"/>
      <w:marRight w:val="0"/>
      <w:marTop w:val="0"/>
      <w:marBottom w:val="0"/>
      <w:divBdr>
        <w:top w:val="none" w:sz="0" w:space="0" w:color="auto"/>
        <w:left w:val="none" w:sz="0" w:space="0" w:color="auto"/>
        <w:bottom w:val="none" w:sz="0" w:space="0" w:color="auto"/>
        <w:right w:val="none" w:sz="0" w:space="0" w:color="auto"/>
      </w:divBdr>
    </w:div>
    <w:div w:id="1906530643">
      <w:bodyDiv w:val="1"/>
      <w:marLeft w:val="0"/>
      <w:marRight w:val="0"/>
      <w:marTop w:val="0"/>
      <w:marBottom w:val="0"/>
      <w:divBdr>
        <w:top w:val="none" w:sz="0" w:space="0" w:color="auto"/>
        <w:left w:val="none" w:sz="0" w:space="0" w:color="auto"/>
        <w:bottom w:val="none" w:sz="0" w:space="0" w:color="auto"/>
        <w:right w:val="none" w:sz="0" w:space="0" w:color="auto"/>
      </w:divBdr>
    </w:div>
    <w:div w:id="1917468865">
      <w:bodyDiv w:val="1"/>
      <w:marLeft w:val="0"/>
      <w:marRight w:val="0"/>
      <w:marTop w:val="0"/>
      <w:marBottom w:val="0"/>
      <w:divBdr>
        <w:top w:val="none" w:sz="0" w:space="0" w:color="auto"/>
        <w:left w:val="none" w:sz="0" w:space="0" w:color="auto"/>
        <w:bottom w:val="none" w:sz="0" w:space="0" w:color="auto"/>
        <w:right w:val="none" w:sz="0" w:space="0" w:color="auto"/>
      </w:divBdr>
    </w:div>
    <w:div w:id="1957180335">
      <w:bodyDiv w:val="1"/>
      <w:marLeft w:val="0"/>
      <w:marRight w:val="0"/>
      <w:marTop w:val="0"/>
      <w:marBottom w:val="0"/>
      <w:divBdr>
        <w:top w:val="none" w:sz="0" w:space="0" w:color="auto"/>
        <w:left w:val="none" w:sz="0" w:space="0" w:color="auto"/>
        <w:bottom w:val="none" w:sz="0" w:space="0" w:color="auto"/>
        <w:right w:val="none" w:sz="0" w:space="0" w:color="auto"/>
      </w:divBdr>
    </w:div>
    <w:div w:id="1961105852">
      <w:bodyDiv w:val="1"/>
      <w:marLeft w:val="0"/>
      <w:marRight w:val="0"/>
      <w:marTop w:val="0"/>
      <w:marBottom w:val="0"/>
      <w:divBdr>
        <w:top w:val="none" w:sz="0" w:space="0" w:color="auto"/>
        <w:left w:val="none" w:sz="0" w:space="0" w:color="auto"/>
        <w:bottom w:val="none" w:sz="0" w:space="0" w:color="auto"/>
        <w:right w:val="none" w:sz="0" w:space="0" w:color="auto"/>
      </w:divBdr>
    </w:div>
    <w:div w:id="2029091786">
      <w:bodyDiv w:val="1"/>
      <w:marLeft w:val="0"/>
      <w:marRight w:val="0"/>
      <w:marTop w:val="0"/>
      <w:marBottom w:val="0"/>
      <w:divBdr>
        <w:top w:val="none" w:sz="0" w:space="0" w:color="auto"/>
        <w:left w:val="none" w:sz="0" w:space="0" w:color="auto"/>
        <w:bottom w:val="none" w:sz="0" w:space="0" w:color="auto"/>
        <w:right w:val="none" w:sz="0" w:space="0" w:color="auto"/>
      </w:divBdr>
    </w:div>
    <w:div w:id="2044279612">
      <w:bodyDiv w:val="1"/>
      <w:marLeft w:val="0"/>
      <w:marRight w:val="0"/>
      <w:marTop w:val="0"/>
      <w:marBottom w:val="0"/>
      <w:divBdr>
        <w:top w:val="none" w:sz="0" w:space="0" w:color="auto"/>
        <w:left w:val="none" w:sz="0" w:space="0" w:color="auto"/>
        <w:bottom w:val="none" w:sz="0" w:space="0" w:color="auto"/>
        <w:right w:val="none" w:sz="0" w:space="0" w:color="auto"/>
      </w:divBdr>
    </w:div>
    <w:div w:id="2063139404">
      <w:bodyDiv w:val="1"/>
      <w:marLeft w:val="0"/>
      <w:marRight w:val="0"/>
      <w:marTop w:val="0"/>
      <w:marBottom w:val="0"/>
      <w:divBdr>
        <w:top w:val="none" w:sz="0" w:space="0" w:color="auto"/>
        <w:left w:val="none" w:sz="0" w:space="0" w:color="auto"/>
        <w:bottom w:val="none" w:sz="0" w:space="0" w:color="auto"/>
        <w:right w:val="none" w:sz="0" w:space="0" w:color="auto"/>
      </w:divBdr>
    </w:div>
    <w:div w:id="2063358650">
      <w:bodyDiv w:val="1"/>
      <w:marLeft w:val="0"/>
      <w:marRight w:val="0"/>
      <w:marTop w:val="0"/>
      <w:marBottom w:val="0"/>
      <w:divBdr>
        <w:top w:val="none" w:sz="0" w:space="0" w:color="auto"/>
        <w:left w:val="none" w:sz="0" w:space="0" w:color="auto"/>
        <w:bottom w:val="none" w:sz="0" w:space="0" w:color="auto"/>
        <w:right w:val="none" w:sz="0" w:space="0" w:color="auto"/>
      </w:divBdr>
    </w:div>
    <w:div w:id="211682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ott93@uw.edu"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tiff"/><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sites.warnercnr.colostate.edu/woodjam" TargetMode="External"/><Relationship Id="rId4" Type="http://schemas.openxmlformats.org/officeDocument/2006/relationships/settings" Target="settings.xml"/><Relationship Id="rId9" Type="http://schemas.openxmlformats.org/officeDocument/2006/relationships/hyperlink" Target="mailto:scott93@uw.edu"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2663B-47B1-44E6-84DD-5FA6352C6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27473</Words>
  <Characters>156602</Characters>
  <Application>Microsoft Office Word</Application>
  <DocSecurity>0</DocSecurity>
  <Lines>1305</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Yochum, Steven E -FS</dc:creator>
  <cp:keywords/>
  <dc:description/>
  <cp:lastModifiedBy>danscott</cp:lastModifiedBy>
  <cp:revision>4</cp:revision>
  <cp:lastPrinted>2018-09-20T16:25:00Z</cp:lastPrinted>
  <dcterms:created xsi:type="dcterms:W3CDTF">2019-02-17T17:33:00Z</dcterms:created>
  <dcterms:modified xsi:type="dcterms:W3CDTF">2019-07-30T14:10:00Z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http://www.zotero.org/styles/american-geophysical-union</vt:lpwstr>
  </property>
  <property fmtid="{D5CDD505-2E9C-101B-9397-08002B2CF9AE}" pid="3" name="Mendeley Recent Style Name 0_1">
    <vt:lpwstr>American Geophysical Union</vt:lpwstr>
  </property>
  <property fmtid="{D5CDD505-2E9C-101B-9397-08002B2CF9AE}" pid="4" name="Mendeley Recent Style Id 1_1">
    <vt:lpwstr>http://www.zotero.org/styles/harvard-cite-them-right</vt:lpwstr>
  </property>
  <property fmtid="{D5CDD505-2E9C-101B-9397-08002B2CF9AE}" pid="5" name="Mendeley Recent Style Name 1_1">
    <vt:lpwstr>Cite Them Right 10th edition - Harvard</vt:lpwstr>
  </property>
  <property fmtid="{D5CDD505-2E9C-101B-9397-08002B2CF9AE}" pid="6" name="Mendeley Recent Style Id 2_1">
    <vt:lpwstr>http://www.zotero.org/styles/earth-surface-dynamics</vt:lpwstr>
  </property>
  <property fmtid="{D5CDD505-2E9C-101B-9397-08002B2CF9AE}" pid="7" name="Mendeley Recent Style Name 2_1">
    <vt:lpwstr>Earth Surface Dynamics</vt:lpwstr>
  </property>
  <property fmtid="{D5CDD505-2E9C-101B-9397-08002B2CF9AE}" pid="8" name="Mendeley Recent Style Id 3_1">
    <vt:lpwstr>http://www.zotero.org/styles/geochimica-et-cosmochimica-acta</vt:lpwstr>
  </property>
  <property fmtid="{D5CDD505-2E9C-101B-9397-08002B2CF9AE}" pid="9" name="Mendeley Recent Style Name 3_1">
    <vt:lpwstr>Geochimica et Cosmochimica Acta</vt:lpwstr>
  </property>
  <property fmtid="{D5CDD505-2E9C-101B-9397-08002B2CF9AE}" pid="10" name="Mendeley Recent Style Id 4_1">
    <vt:lpwstr>http://www.zotero.org/styles/geomorphology</vt:lpwstr>
  </property>
  <property fmtid="{D5CDD505-2E9C-101B-9397-08002B2CF9AE}" pid="11" name="Mendeley Recent Style Name 4_1">
    <vt:lpwstr>Geomorphology</vt:lpwstr>
  </property>
  <property fmtid="{D5CDD505-2E9C-101B-9397-08002B2CF9AE}" pid="12" name="Mendeley Recent Style Id 5_1">
    <vt:lpwstr>http://www.zotero.org/styles/geophysical-research-letters</vt:lpwstr>
  </property>
  <property fmtid="{D5CDD505-2E9C-101B-9397-08002B2CF9AE}" pid="13" name="Mendeley Recent Style Name 5_1">
    <vt:lpwstr>Geophysical Research Letters</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http://www.zotero.org/styles/nature-geoscience</vt:lpwstr>
  </property>
  <property fmtid="{D5CDD505-2E9C-101B-9397-08002B2CF9AE}" pid="21" name="Mendeley Recent Style Name 9_1">
    <vt:lpwstr>Nature Geoscience</vt:lpwstr>
  </property>
  <property fmtid="{D5CDD505-2E9C-101B-9397-08002B2CF9AE}" pid="22" name="Mendeley Document_1">
    <vt:lpwstr>True</vt:lpwstr>
  </property>
  <property fmtid="{D5CDD505-2E9C-101B-9397-08002B2CF9AE}" pid="23" name="Mendeley Unique User Id_1">
    <vt:lpwstr>45698b98-2998-3b62-bf67-3934ecd7b58b</vt:lpwstr>
  </property>
  <property fmtid="{D5CDD505-2E9C-101B-9397-08002B2CF9AE}" pid="24" name="Mendeley Citation Style_1">
    <vt:lpwstr>http://www.zotero.org/styles/american-geophysical-union</vt:lpwstr>
  </property>
</Properties>
</file>