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912D6" w14:textId="2EB9D64D" w:rsidR="00183865" w:rsidRPr="00183865" w:rsidRDefault="00183865" w:rsidP="00183865">
      <w:pPr>
        <w:jc w:val="center"/>
        <w:rPr>
          <w:color w:val="000000"/>
          <w:sz w:val="24"/>
          <w:szCs w:val="24"/>
        </w:rPr>
      </w:pPr>
      <w:r w:rsidRPr="00183865">
        <w:rPr>
          <w:color w:val="000000"/>
          <w:sz w:val="24"/>
          <w:szCs w:val="24"/>
        </w:rPr>
        <w:t xml:space="preserve">This </w:t>
      </w:r>
      <w:proofErr w:type="spellStart"/>
      <w:r w:rsidRPr="00183865">
        <w:rPr>
          <w:color w:val="000000"/>
          <w:sz w:val="24"/>
          <w:szCs w:val="24"/>
        </w:rPr>
        <w:t>manscript</w:t>
      </w:r>
      <w:proofErr w:type="spellEnd"/>
      <w:r w:rsidRPr="00183865">
        <w:rPr>
          <w:color w:val="000000"/>
          <w:sz w:val="24"/>
          <w:szCs w:val="24"/>
        </w:rPr>
        <w:t xml:space="preserve"> is a </w:t>
      </w:r>
      <w:r w:rsidRPr="00183865">
        <w:rPr>
          <w:b/>
          <w:bCs/>
          <w:color w:val="000000"/>
          <w:sz w:val="24"/>
          <w:szCs w:val="24"/>
        </w:rPr>
        <w:t>preprint</w:t>
      </w:r>
      <w:r w:rsidRPr="00183865">
        <w:rPr>
          <w:color w:val="000000"/>
          <w:sz w:val="24"/>
          <w:szCs w:val="24"/>
        </w:rPr>
        <w:t xml:space="preserve"> and has been submitted to </w:t>
      </w:r>
      <w:r w:rsidRPr="00183865">
        <w:rPr>
          <w:b/>
          <w:bCs/>
          <w:color w:val="000000"/>
          <w:sz w:val="24"/>
          <w:szCs w:val="24"/>
        </w:rPr>
        <w:t>Tectonics</w:t>
      </w:r>
      <w:r w:rsidRPr="00183865">
        <w:rPr>
          <w:color w:val="000000"/>
          <w:sz w:val="24"/>
          <w:szCs w:val="24"/>
        </w:rPr>
        <w:t xml:space="preserve">. This </w:t>
      </w:r>
      <w:proofErr w:type="spellStart"/>
      <w:r w:rsidRPr="00183865">
        <w:rPr>
          <w:color w:val="000000"/>
          <w:sz w:val="24"/>
          <w:szCs w:val="24"/>
        </w:rPr>
        <w:t>manscript</w:t>
      </w:r>
      <w:proofErr w:type="spellEnd"/>
      <w:r w:rsidRPr="00183865">
        <w:rPr>
          <w:color w:val="000000"/>
          <w:sz w:val="24"/>
          <w:szCs w:val="24"/>
        </w:rPr>
        <w:t xml:space="preserve"> has not undergone peer-review. Subsequent versions of the manuscript may have different content. If accepted, the final version of this manuscript will be available via the “Peer-reviewed Publication” DOI link on the right-hand side of this webpage. Please feel free to contact any of the authors directly to comment on the manuscript.</w:t>
      </w:r>
    </w:p>
    <w:p w14:paraId="2AEA3A83" w14:textId="77777777" w:rsidR="00183865" w:rsidRDefault="00183865" w:rsidP="00A76818">
      <w:pPr>
        <w:jc w:val="center"/>
        <w:rPr>
          <w:b/>
          <w:bCs/>
          <w:color w:val="000000"/>
          <w:sz w:val="24"/>
          <w:szCs w:val="24"/>
        </w:rPr>
      </w:pPr>
    </w:p>
    <w:p w14:paraId="780FF137" w14:textId="77777777" w:rsidR="00183865" w:rsidRDefault="00183865" w:rsidP="00A76818">
      <w:pPr>
        <w:jc w:val="center"/>
        <w:rPr>
          <w:b/>
          <w:bCs/>
          <w:color w:val="000000"/>
          <w:sz w:val="24"/>
          <w:szCs w:val="24"/>
        </w:rPr>
      </w:pPr>
    </w:p>
    <w:p w14:paraId="5110FB2F" w14:textId="77777777" w:rsidR="00183865" w:rsidRDefault="00183865" w:rsidP="00A76818">
      <w:pPr>
        <w:jc w:val="center"/>
        <w:rPr>
          <w:b/>
          <w:bCs/>
          <w:color w:val="000000"/>
          <w:sz w:val="24"/>
          <w:szCs w:val="24"/>
        </w:rPr>
      </w:pPr>
    </w:p>
    <w:p w14:paraId="1BE0D4FF" w14:textId="77777777" w:rsidR="00183865" w:rsidRDefault="00183865" w:rsidP="00A76818">
      <w:pPr>
        <w:jc w:val="center"/>
        <w:rPr>
          <w:b/>
          <w:bCs/>
          <w:color w:val="000000"/>
          <w:sz w:val="24"/>
          <w:szCs w:val="24"/>
        </w:rPr>
      </w:pPr>
    </w:p>
    <w:p w14:paraId="57ABD6B4" w14:textId="77777777" w:rsidR="00183865" w:rsidRDefault="00183865" w:rsidP="00A76818">
      <w:pPr>
        <w:jc w:val="center"/>
        <w:rPr>
          <w:b/>
          <w:bCs/>
          <w:color w:val="000000"/>
          <w:sz w:val="24"/>
          <w:szCs w:val="24"/>
        </w:rPr>
      </w:pPr>
    </w:p>
    <w:p w14:paraId="0BAFAD23" w14:textId="77777777" w:rsidR="00183865" w:rsidRDefault="00183865" w:rsidP="00A76818">
      <w:pPr>
        <w:jc w:val="center"/>
        <w:rPr>
          <w:b/>
          <w:bCs/>
          <w:color w:val="000000"/>
          <w:sz w:val="24"/>
          <w:szCs w:val="24"/>
        </w:rPr>
      </w:pPr>
    </w:p>
    <w:p w14:paraId="6EFEFFF3" w14:textId="77777777" w:rsidR="00183865" w:rsidRDefault="00183865" w:rsidP="00A76818">
      <w:pPr>
        <w:jc w:val="center"/>
        <w:rPr>
          <w:b/>
          <w:bCs/>
          <w:color w:val="000000"/>
          <w:sz w:val="24"/>
          <w:szCs w:val="24"/>
        </w:rPr>
      </w:pPr>
    </w:p>
    <w:p w14:paraId="24384B2F" w14:textId="77777777" w:rsidR="00183865" w:rsidRDefault="00183865" w:rsidP="00A76818">
      <w:pPr>
        <w:jc w:val="center"/>
        <w:rPr>
          <w:b/>
          <w:bCs/>
          <w:color w:val="000000"/>
          <w:sz w:val="24"/>
          <w:szCs w:val="24"/>
        </w:rPr>
      </w:pPr>
    </w:p>
    <w:p w14:paraId="3AB2DEE0" w14:textId="77777777" w:rsidR="00183865" w:rsidRDefault="00183865" w:rsidP="00A76818">
      <w:pPr>
        <w:jc w:val="center"/>
        <w:rPr>
          <w:b/>
          <w:bCs/>
          <w:color w:val="000000"/>
          <w:sz w:val="24"/>
          <w:szCs w:val="24"/>
        </w:rPr>
      </w:pPr>
    </w:p>
    <w:p w14:paraId="58BAC47F" w14:textId="77777777" w:rsidR="00183865" w:rsidRDefault="00183865" w:rsidP="00A76818">
      <w:pPr>
        <w:jc w:val="center"/>
        <w:rPr>
          <w:b/>
          <w:bCs/>
          <w:color w:val="000000"/>
          <w:sz w:val="24"/>
          <w:szCs w:val="24"/>
        </w:rPr>
      </w:pPr>
    </w:p>
    <w:p w14:paraId="31BFC86A" w14:textId="77777777" w:rsidR="00183865" w:rsidRDefault="00183865" w:rsidP="00A76818">
      <w:pPr>
        <w:jc w:val="center"/>
        <w:rPr>
          <w:b/>
          <w:bCs/>
          <w:color w:val="000000"/>
          <w:sz w:val="24"/>
          <w:szCs w:val="24"/>
        </w:rPr>
      </w:pPr>
    </w:p>
    <w:p w14:paraId="279CA50E" w14:textId="77777777" w:rsidR="00183865" w:rsidRDefault="00183865" w:rsidP="00A76818">
      <w:pPr>
        <w:jc w:val="center"/>
        <w:rPr>
          <w:b/>
          <w:bCs/>
          <w:color w:val="000000"/>
          <w:sz w:val="24"/>
          <w:szCs w:val="24"/>
        </w:rPr>
      </w:pPr>
    </w:p>
    <w:p w14:paraId="41FD31FC" w14:textId="77777777" w:rsidR="00183865" w:rsidRDefault="00183865" w:rsidP="00A76818">
      <w:pPr>
        <w:jc w:val="center"/>
        <w:rPr>
          <w:b/>
          <w:bCs/>
          <w:color w:val="000000"/>
          <w:sz w:val="24"/>
          <w:szCs w:val="24"/>
        </w:rPr>
      </w:pPr>
    </w:p>
    <w:p w14:paraId="771DBBCC" w14:textId="77777777" w:rsidR="00183865" w:rsidRDefault="00183865" w:rsidP="00A76818">
      <w:pPr>
        <w:jc w:val="center"/>
        <w:rPr>
          <w:b/>
          <w:bCs/>
          <w:color w:val="000000"/>
          <w:sz w:val="24"/>
          <w:szCs w:val="24"/>
        </w:rPr>
      </w:pPr>
    </w:p>
    <w:p w14:paraId="69E5482B" w14:textId="77777777" w:rsidR="00183865" w:rsidRDefault="00183865" w:rsidP="00A76818">
      <w:pPr>
        <w:jc w:val="center"/>
        <w:rPr>
          <w:b/>
          <w:bCs/>
          <w:color w:val="000000"/>
          <w:sz w:val="24"/>
          <w:szCs w:val="24"/>
        </w:rPr>
      </w:pPr>
    </w:p>
    <w:p w14:paraId="7318C134" w14:textId="77777777" w:rsidR="00183865" w:rsidRDefault="00183865" w:rsidP="00A76818">
      <w:pPr>
        <w:jc w:val="center"/>
        <w:rPr>
          <w:b/>
          <w:bCs/>
          <w:color w:val="000000"/>
          <w:sz w:val="24"/>
          <w:szCs w:val="24"/>
        </w:rPr>
      </w:pPr>
    </w:p>
    <w:p w14:paraId="70F54299" w14:textId="77777777" w:rsidR="00183865" w:rsidRDefault="00183865" w:rsidP="00A76818">
      <w:pPr>
        <w:jc w:val="center"/>
        <w:rPr>
          <w:b/>
          <w:bCs/>
          <w:color w:val="000000"/>
          <w:sz w:val="24"/>
          <w:szCs w:val="24"/>
        </w:rPr>
      </w:pPr>
    </w:p>
    <w:p w14:paraId="35B2CDF9" w14:textId="77777777" w:rsidR="00183865" w:rsidRDefault="00183865" w:rsidP="00A76818">
      <w:pPr>
        <w:jc w:val="center"/>
        <w:rPr>
          <w:b/>
          <w:bCs/>
          <w:color w:val="000000"/>
          <w:sz w:val="24"/>
          <w:szCs w:val="24"/>
        </w:rPr>
      </w:pPr>
    </w:p>
    <w:p w14:paraId="2F1DACD6" w14:textId="77777777" w:rsidR="00183865" w:rsidRDefault="00183865" w:rsidP="00A76818">
      <w:pPr>
        <w:jc w:val="center"/>
        <w:rPr>
          <w:b/>
          <w:bCs/>
          <w:color w:val="000000"/>
          <w:sz w:val="24"/>
          <w:szCs w:val="24"/>
        </w:rPr>
      </w:pPr>
    </w:p>
    <w:p w14:paraId="2FE01F1D" w14:textId="77777777" w:rsidR="00183865" w:rsidRDefault="00183865" w:rsidP="00A76818">
      <w:pPr>
        <w:jc w:val="center"/>
        <w:rPr>
          <w:b/>
          <w:bCs/>
          <w:color w:val="000000"/>
          <w:sz w:val="24"/>
          <w:szCs w:val="24"/>
        </w:rPr>
      </w:pPr>
    </w:p>
    <w:p w14:paraId="34849CD7" w14:textId="77777777" w:rsidR="00183865" w:rsidRDefault="00183865" w:rsidP="00A76818">
      <w:pPr>
        <w:jc w:val="center"/>
        <w:rPr>
          <w:b/>
          <w:bCs/>
          <w:color w:val="000000"/>
          <w:sz w:val="24"/>
          <w:szCs w:val="24"/>
        </w:rPr>
      </w:pPr>
    </w:p>
    <w:p w14:paraId="4771566A" w14:textId="77777777" w:rsidR="00183865" w:rsidRDefault="00183865" w:rsidP="00A76818">
      <w:pPr>
        <w:jc w:val="center"/>
        <w:rPr>
          <w:b/>
          <w:bCs/>
          <w:color w:val="000000"/>
          <w:sz w:val="24"/>
          <w:szCs w:val="24"/>
        </w:rPr>
      </w:pPr>
    </w:p>
    <w:p w14:paraId="0CA80518" w14:textId="77777777" w:rsidR="00183865" w:rsidRDefault="00183865" w:rsidP="00A76818">
      <w:pPr>
        <w:jc w:val="center"/>
        <w:rPr>
          <w:b/>
          <w:bCs/>
          <w:color w:val="000000"/>
          <w:sz w:val="24"/>
          <w:szCs w:val="24"/>
        </w:rPr>
      </w:pPr>
    </w:p>
    <w:p w14:paraId="44E6B56F" w14:textId="77777777" w:rsidR="00183865" w:rsidRDefault="00183865" w:rsidP="00A76818">
      <w:pPr>
        <w:jc w:val="center"/>
        <w:rPr>
          <w:b/>
          <w:bCs/>
          <w:color w:val="000000"/>
          <w:sz w:val="24"/>
          <w:szCs w:val="24"/>
        </w:rPr>
      </w:pPr>
    </w:p>
    <w:p w14:paraId="7D948A2D" w14:textId="77777777" w:rsidR="00183865" w:rsidRDefault="00183865" w:rsidP="00A76818">
      <w:pPr>
        <w:jc w:val="center"/>
        <w:rPr>
          <w:b/>
          <w:bCs/>
          <w:color w:val="000000"/>
          <w:sz w:val="24"/>
          <w:szCs w:val="24"/>
        </w:rPr>
      </w:pPr>
    </w:p>
    <w:p w14:paraId="21BED8C8" w14:textId="2496B7D1" w:rsidR="00183865" w:rsidRDefault="00183865" w:rsidP="00A76818">
      <w:pPr>
        <w:jc w:val="center"/>
        <w:rPr>
          <w:b/>
          <w:bCs/>
          <w:color w:val="000000"/>
          <w:sz w:val="24"/>
          <w:szCs w:val="24"/>
        </w:rPr>
      </w:pPr>
    </w:p>
    <w:p w14:paraId="45168C2B" w14:textId="717C91A4" w:rsidR="00183865" w:rsidRDefault="00183865" w:rsidP="00A76818">
      <w:pPr>
        <w:jc w:val="center"/>
        <w:rPr>
          <w:b/>
          <w:bCs/>
          <w:color w:val="000000"/>
          <w:sz w:val="24"/>
          <w:szCs w:val="24"/>
        </w:rPr>
      </w:pPr>
    </w:p>
    <w:p w14:paraId="52EC4307" w14:textId="2B89B0EA" w:rsidR="00183865" w:rsidRDefault="00183865" w:rsidP="00A76818">
      <w:pPr>
        <w:jc w:val="center"/>
        <w:rPr>
          <w:b/>
          <w:bCs/>
          <w:color w:val="000000"/>
          <w:sz w:val="24"/>
          <w:szCs w:val="24"/>
        </w:rPr>
      </w:pPr>
    </w:p>
    <w:p w14:paraId="5C54D59A" w14:textId="77E84697" w:rsidR="00183865" w:rsidRDefault="00183865" w:rsidP="00A76818">
      <w:pPr>
        <w:jc w:val="center"/>
        <w:rPr>
          <w:b/>
          <w:bCs/>
          <w:color w:val="000000"/>
          <w:sz w:val="24"/>
          <w:szCs w:val="24"/>
        </w:rPr>
      </w:pPr>
    </w:p>
    <w:p w14:paraId="24E9150E" w14:textId="0BB010CE" w:rsidR="00183865" w:rsidRDefault="00183865" w:rsidP="00A76818">
      <w:pPr>
        <w:jc w:val="center"/>
        <w:rPr>
          <w:b/>
          <w:bCs/>
          <w:color w:val="000000"/>
          <w:sz w:val="24"/>
          <w:szCs w:val="24"/>
        </w:rPr>
      </w:pPr>
    </w:p>
    <w:p w14:paraId="7C8170C5" w14:textId="7312E471" w:rsidR="00183865" w:rsidRDefault="00183865" w:rsidP="00A76818">
      <w:pPr>
        <w:jc w:val="center"/>
        <w:rPr>
          <w:b/>
          <w:bCs/>
          <w:color w:val="000000"/>
          <w:sz w:val="24"/>
          <w:szCs w:val="24"/>
        </w:rPr>
      </w:pPr>
    </w:p>
    <w:p w14:paraId="36D2B76A" w14:textId="62DE7ADF" w:rsidR="00183865" w:rsidRDefault="00183865" w:rsidP="00A76818">
      <w:pPr>
        <w:jc w:val="center"/>
        <w:rPr>
          <w:b/>
          <w:bCs/>
          <w:color w:val="000000"/>
          <w:sz w:val="24"/>
          <w:szCs w:val="24"/>
        </w:rPr>
      </w:pPr>
    </w:p>
    <w:p w14:paraId="0C1CA8D6" w14:textId="04109A18" w:rsidR="00183865" w:rsidRDefault="00183865" w:rsidP="00A76818">
      <w:pPr>
        <w:jc w:val="center"/>
        <w:rPr>
          <w:b/>
          <w:bCs/>
          <w:color w:val="000000"/>
          <w:sz w:val="24"/>
          <w:szCs w:val="24"/>
        </w:rPr>
      </w:pPr>
    </w:p>
    <w:p w14:paraId="0BF42AF1" w14:textId="3EDC7109" w:rsidR="00183865" w:rsidRDefault="00183865" w:rsidP="00A76818">
      <w:pPr>
        <w:jc w:val="center"/>
        <w:rPr>
          <w:b/>
          <w:bCs/>
          <w:color w:val="000000"/>
          <w:sz w:val="24"/>
          <w:szCs w:val="24"/>
        </w:rPr>
      </w:pPr>
    </w:p>
    <w:p w14:paraId="29E93BC4" w14:textId="32E8D2AE" w:rsidR="00183865" w:rsidRDefault="00183865" w:rsidP="00A76818">
      <w:pPr>
        <w:jc w:val="center"/>
        <w:rPr>
          <w:b/>
          <w:bCs/>
          <w:color w:val="000000"/>
          <w:sz w:val="24"/>
          <w:szCs w:val="24"/>
        </w:rPr>
      </w:pPr>
    </w:p>
    <w:p w14:paraId="28E73567" w14:textId="77777777" w:rsidR="00183865" w:rsidRDefault="00183865" w:rsidP="00A76818">
      <w:pPr>
        <w:jc w:val="center"/>
        <w:rPr>
          <w:b/>
          <w:bCs/>
          <w:color w:val="000000"/>
          <w:sz w:val="24"/>
          <w:szCs w:val="24"/>
        </w:rPr>
      </w:pPr>
    </w:p>
    <w:p w14:paraId="05460557" w14:textId="77777777" w:rsidR="00183865" w:rsidRDefault="00183865" w:rsidP="00A76818">
      <w:pPr>
        <w:jc w:val="center"/>
        <w:rPr>
          <w:b/>
          <w:bCs/>
          <w:color w:val="000000"/>
          <w:sz w:val="24"/>
          <w:szCs w:val="24"/>
        </w:rPr>
      </w:pPr>
    </w:p>
    <w:p w14:paraId="7B6886F6" w14:textId="77777777" w:rsidR="00183865" w:rsidRDefault="00183865" w:rsidP="00A76818">
      <w:pPr>
        <w:jc w:val="center"/>
        <w:rPr>
          <w:b/>
          <w:bCs/>
          <w:color w:val="000000"/>
          <w:sz w:val="24"/>
          <w:szCs w:val="24"/>
        </w:rPr>
      </w:pPr>
    </w:p>
    <w:p w14:paraId="74C46E57" w14:textId="77777777" w:rsidR="00183865" w:rsidRDefault="00183865" w:rsidP="00A76818">
      <w:pPr>
        <w:jc w:val="center"/>
        <w:rPr>
          <w:b/>
          <w:bCs/>
          <w:color w:val="000000"/>
          <w:sz w:val="24"/>
          <w:szCs w:val="24"/>
        </w:rPr>
      </w:pPr>
    </w:p>
    <w:p w14:paraId="02CD6F80" w14:textId="77777777" w:rsidR="00183865" w:rsidRDefault="00183865" w:rsidP="00A76818">
      <w:pPr>
        <w:jc w:val="center"/>
        <w:rPr>
          <w:b/>
          <w:bCs/>
          <w:color w:val="000000"/>
          <w:sz w:val="24"/>
          <w:szCs w:val="24"/>
        </w:rPr>
      </w:pPr>
    </w:p>
    <w:p w14:paraId="5D32F3B1" w14:textId="77777777" w:rsidR="00183865" w:rsidRDefault="00183865" w:rsidP="00A76818">
      <w:pPr>
        <w:jc w:val="center"/>
        <w:rPr>
          <w:b/>
          <w:bCs/>
          <w:color w:val="000000"/>
          <w:sz w:val="24"/>
          <w:szCs w:val="24"/>
        </w:rPr>
      </w:pPr>
    </w:p>
    <w:p w14:paraId="6875C344" w14:textId="4E70ECA2" w:rsidR="00C94AA5" w:rsidRPr="00A76818" w:rsidRDefault="00505B92" w:rsidP="00A76818">
      <w:pPr>
        <w:jc w:val="center"/>
        <w:rPr>
          <w:rFonts w:eastAsiaTheme="majorEastAsia"/>
          <w:b/>
          <w:bCs/>
          <w:color w:val="000000"/>
          <w:spacing w:val="-10"/>
          <w:kern w:val="28"/>
          <w:sz w:val="24"/>
          <w:szCs w:val="24"/>
        </w:rPr>
      </w:pPr>
      <w:r w:rsidRPr="00A76818">
        <w:rPr>
          <w:b/>
          <w:bCs/>
          <w:color w:val="000000"/>
          <w:sz w:val="24"/>
          <w:szCs w:val="24"/>
        </w:rPr>
        <w:lastRenderedPageBreak/>
        <w:t>The kinematics of growth faults and the role of lateral tip retreat</w:t>
      </w:r>
    </w:p>
    <w:p w14:paraId="1BAD2DE9" w14:textId="77777777" w:rsidR="005929E3" w:rsidRPr="00F064CA" w:rsidRDefault="005929E3" w:rsidP="002349AD">
      <w:pPr>
        <w:pStyle w:val="Authors"/>
        <w:spacing w:line="480" w:lineRule="auto"/>
      </w:pPr>
    </w:p>
    <w:p w14:paraId="5B07F13A" w14:textId="5DC712C4" w:rsidR="008A6077" w:rsidRPr="00F064CA" w:rsidRDefault="00505B92" w:rsidP="002349AD">
      <w:pPr>
        <w:pStyle w:val="Authors"/>
        <w:spacing w:line="480" w:lineRule="auto"/>
        <w:rPr>
          <w:vertAlign w:val="superscript"/>
        </w:rPr>
      </w:pPr>
      <w:r w:rsidRPr="00F064CA">
        <w:rPr>
          <w:color w:val="000000"/>
        </w:rPr>
        <w:t>Bailey A. Lathrop</w:t>
      </w:r>
      <w:r w:rsidRPr="00F064CA">
        <w:rPr>
          <w:color w:val="000000"/>
          <w:vertAlign w:val="superscript"/>
        </w:rPr>
        <w:t>1</w:t>
      </w:r>
      <w:r w:rsidRPr="00F064CA">
        <w:rPr>
          <w:color w:val="000000"/>
        </w:rPr>
        <w:t>, Christopher A.-L. Jackson</w:t>
      </w:r>
      <w:r w:rsidRPr="00F064CA">
        <w:rPr>
          <w:color w:val="000000"/>
          <w:vertAlign w:val="superscript"/>
        </w:rPr>
        <w:t>1</w:t>
      </w:r>
      <w:r w:rsidRPr="00F064CA">
        <w:rPr>
          <w:color w:val="000000"/>
        </w:rPr>
        <w:t>, Rebecca E. Bell</w:t>
      </w:r>
      <w:r w:rsidRPr="00F064CA">
        <w:rPr>
          <w:color w:val="000000"/>
          <w:vertAlign w:val="superscript"/>
        </w:rPr>
        <w:t>1</w:t>
      </w:r>
      <w:r w:rsidRPr="00F064CA">
        <w:rPr>
          <w:color w:val="000000"/>
        </w:rPr>
        <w:t>, Atle Rotevatn</w:t>
      </w:r>
      <w:r w:rsidRPr="00F064CA">
        <w:rPr>
          <w:color w:val="000000"/>
          <w:vertAlign w:val="superscript"/>
        </w:rPr>
        <w:t>2</w:t>
      </w:r>
    </w:p>
    <w:p w14:paraId="70FC651E" w14:textId="130C2821" w:rsidR="00C94AA5" w:rsidRPr="00F064CA" w:rsidRDefault="008A6077" w:rsidP="002349AD">
      <w:pPr>
        <w:pStyle w:val="Affiliation"/>
        <w:spacing w:line="480" w:lineRule="auto"/>
      </w:pPr>
      <w:r w:rsidRPr="00F064CA">
        <w:rPr>
          <w:vertAlign w:val="superscript"/>
        </w:rPr>
        <w:t>1</w:t>
      </w:r>
      <w:r w:rsidR="00505B92" w:rsidRPr="00F064CA">
        <w:rPr>
          <w:rFonts w:ascii="Arial" w:hAnsi="Arial" w:cs="Arial"/>
          <w:color w:val="000000"/>
        </w:rPr>
        <w:t xml:space="preserve"> </w:t>
      </w:r>
      <w:r w:rsidR="00505B92" w:rsidRPr="00F064CA">
        <w:rPr>
          <w:color w:val="000000"/>
        </w:rPr>
        <w:t>Basins Research Group (BRG), Department of Earth Science &amp; Engineering, Imperial College, Prince Consort Road, London, SW7 2BP, UK</w:t>
      </w:r>
    </w:p>
    <w:p w14:paraId="6BD4F6A9" w14:textId="589B89EB" w:rsidR="00DE3F91" w:rsidRPr="00F064CA" w:rsidRDefault="00545B6C" w:rsidP="002349AD">
      <w:pPr>
        <w:pStyle w:val="Affiliation"/>
        <w:spacing w:line="480" w:lineRule="auto"/>
        <w:rPr>
          <w:color w:val="000000"/>
        </w:rPr>
      </w:pPr>
      <w:r w:rsidRPr="00F064CA">
        <w:rPr>
          <w:vertAlign w:val="superscript"/>
        </w:rPr>
        <w:t>2</w:t>
      </w:r>
      <w:r w:rsidR="00505B92" w:rsidRPr="00F064CA">
        <w:rPr>
          <w:rFonts w:ascii="Arial" w:hAnsi="Arial" w:cs="Arial"/>
          <w:color w:val="000000"/>
        </w:rPr>
        <w:t xml:space="preserve"> </w:t>
      </w:r>
      <w:r w:rsidR="00505B92" w:rsidRPr="00F064CA">
        <w:rPr>
          <w:color w:val="000000"/>
        </w:rPr>
        <w:t>Department of Earth Science, University of Bergen, PO Box 7800, 5020 Bergen, Norway</w:t>
      </w:r>
    </w:p>
    <w:p w14:paraId="6206CF64" w14:textId="77777777" w:rsidR="00505B92" w:rsidRPr="00F064CA" w:rsidRDefault="00505B92" w:rsidP="002349AD">
      <w:pPr>
        <w:pStyle w:val="Affiliation"/>
        <w:spacing w:line="480" w:lineRule="auto"/>
      </w:pPr>
    </w:p>
    <w:p w14:paraId="5614852F" w14:textId="3FE26F0D" w:rsidR="00DE3F91" w:rsidRPr="00F064CA" w:rsidRDefault="008A6077" w:rsidP="002349AD">
      <w:pPr>
        <w:pStyle w:val="Affiliation"/>
        <w:spacing w:line="480" w:lineRule="auto"/>
      </w:pPr>
      <w:r w:rsidRPr="00F064CA">
        <w:t>Correspond</w:t>
      </w:r>
      <w:r w:rsidR="00DE3F91" w:rsidRPr="00F064CA">
        <w:t>ing</w:t>
      </w:r>
      <w:r w:rsidRPr="00F064CA">
        <w:t xml:space="preserve"> </w:t>
      </w:r>
      <w:r w:rsidR="006F662E" w:rsidRPr="00F064CA">
        <w:t>author:</w:t>
      </w:r>
      <w:r w:rsidRPr="00F064CA">
        <w:t xml:space="preserve"> </w:t>
      </w:r>
      <w:r w:rsidR="00505B92" w:rsidRPr="00F064CA">
        <w:t>Bailey Lathrop</w:t>
      </w:r>
      <w:r w:rsidR="00DE3F91" w:rsidRPr="00F064CA">
        <w:t xml:space="preserve"> </w:t>
      </w:r>
      <w:r w:rsidR="00505B92" w:rsidRPr="00F064CA">
        <w:t>(b.lathrop17@imperial.ac.uk)</w:t>
      </w:r>
      <w:r w:rsidR="00DE3F91" w:rsidRPr="00F064CA">
        <w:t xml:space="preserve"> </w:t>
      </w:r>
    </w:p>
    <w:p w14:paraId="235AF609" w14:textId="366D0ACC" w:rsidR="00DE3F91" w:rsidRPr="00F064CA" w:rsidRDefault="00DE3F91" w:rsidP="002349AD">
      <w:pPr>
        <w:pStyle w:val="Note"/>
        <w:spacing w:line="480" w:lineRule="auto"/>
        <w:rPr>
          <w:sz w:val="24"/>
          <w:szCs w:val="24"/>
        </w:rPr>
      </w:pPr>
      <w:r w:rsidRPr="00F064CA">
        <w:rPr>
          <w:sz w:val="24"/>
          <w:szCs w:val="24"/>
        </w:rPr>
        <w:t xml:space="preserve"> </w:t>
      </w:r>
    </w:p>
    <w:p w14:paraId="52EAA876" w14:textId="0F4D9CB3" w:rsidR="00C94AA5" w:rsidRPr="00F064CA" w:rsidRDefault="00C94AA5" w:rsidP="002349AD">
      <w:pPr>
        <w:pStyle w:val="Heading-Main"/>
        <w:spacing w:line="480" w:lineRule="auto"/>
      </w:pPr>
      <w:r w:rsidRPr="00F064CA">
        <w:t>Key Points:</w:t>
      </w:r>
    </w:p>
    <w:p w14:paraId="02BB4FFB" w14:textId="54601879" w:rsidR="00C94AA5" w:rsidRPr="00F064CA" w:rsidRDefault="00505B92" w:rsidP="002349AD">
      <w:pPr>
        <w:pStyle w:val="KeyPoints"/>
        <w:numPr>
          <w:ilvl w:val="0"/>
          <w:numId w:val="9"/>
        </w:numPr>
        <w:spacing w:line="480" w:lineRule="auto"/>
      </w:pPr>
      <w:r w:rsidRPr="00F064CA">
        <w:t xml:space="preserve">We document normal fault growth in the </w:t>
      </w:r>
      <w:proofErr w:type="spellStart"/>
      <w:r w:rsidRPr="00F064CA">
        <w:t>Exmouth</w:t>
      </w:r>
      <w:proofErr w:type="spellEnd"/>
      <w:r w:rsidRPr="00F064CA">
        <w:t xml:space="preserve"> Plateau, Offshore Australia</w:t>
      </w:r>
    </w:p>
    <w:p w14:paraId="405A84B1" w14:textId="1614A13B" w:rsidR="00C94AA5" w:rsidRPr="00F064CA" w:rsidRDefault="00505B92" w:rsidP="002349AD">
      <w:pPr>
        <w:pStyle w:val="KeyPoints"/>
        <w:numPr>
          <w:ilvl w:val="0"/>
          <w:numId w:val="9"/>
        </w:numPr>
        <w:spacing w:line="480" w:lineRule="auto"/>
      </w:pPr>
      <w:r w:rsidRPr="00F064CA">
        <w:t xml:space="preserve">Faults follow a </w:t>
      </w:r>
      <w:proofErr w:type="gramStart"/>
      <w:r w:rsidRPr="00F064CA">
        <w:t>three stage</w:t>
      </w:r>
      <w:proofErr w:type="gramEnd"/>
      <w:r w:rsidRPr="00F064CA">
        <w:t xml:space="preserve"> growth model: lengthening stage, throw accumulation stage, tip retreat stage</w:t>
      </w:r>
    </w:p>
    <w:p w14:paraId="6A9C6262" w14:textId="6AF4F252" w:rsidR="00C94AA5" w:rsidRPr="00F064CA" w:rsidRDefault="00505B92" w:rsidP="002349AD">
      <w:pPr>
        <w:pStyle w:val="KeyPoints"/>
        <w:numPr>
          <w:ilvl w:val="0"/>
          <w:numId w:val="9"/>
        </w:numPr>
        <w:spacing w:line="480" w:lineRule="auto"/>
      </w:pPr>
      <w:r w:rsidRPr="00F064CA">
        <w:t>We suggest that tip retreat could be an important stage of normal fault growth</w:t>
      </w:r>
    </w:p>
    <w:p w14:paraId="5C03B4CB" w14:textId="77777777" w:rsidR="00B719C8" w:rsidRPr="00F064CA" w:rsidRDefault="00B719C8" w:rsidP="002349AD">
      <w:pPr>
        <w:spacing w:line="480" w:lineRule="auto"/>
        <w:rPr>
          <w:color w:val="00B0F0"/>
          <w:sz w:val="24"/>
          <w:szCs w:val="24"/>
        </w:rPr>
      </w:pPr>
      <w:r w:rsidRPr="00F064CA">
        <w:rPr>
          <w:sz w:val="24"/>
          <w:szCs w:val="24"/>
        </w:rPr>
        <w:br w:type="page"/>
      </w:r>
    </w:p>
    <w:p w14:paraId="2659CCE1" w14:textId="1D4C1FF4" w:rsidR="002F3B11" w:rsidRPr="00F064CA" w:rsidRDefault="008A6077" w:rsidP="002349AD">
      <w:pPr>
        <w:pStyle w:val="Heading-Main"/>
        <w:spacing w:line="480" w:lineRule="auto"/>
      </w:pPr>
      <w:r w:rsidRPr="00F064CA">
        <w:lastRenderedPageBreak/>
        <w:t>Abstract</w:t>
      </w:r>
    </w:p>
    <w:p w14:paraId="69A5DBFD" w14:textId="6027AF86" w:rsidR="00FC3EAC" w:rsidRPr="00F064CA" w:rsidRDefault="005929E3" w:rsidP="002349AD">
      <w:pPr>
        <w:pStyle w:val="Abstract"/>
        <w:spacing w:line="480" w:lineRule="auto"/>
        <w:rPr>
          <w:b/>
        </w:rPr>
      </w:pPr>
      <w:r w:rsidRPr="00F064CA">
        <w:rPr>
          <w:color w:val="000000"/>
        </w:rPr>
        <w:t xml:space="preserve">Understanding how normal faults grow is key to determining the tectono-stratigraphic evolution of rifts and the distribution and size of potentially hazardous earthquakes. According to recent studies, normal faults tend to grow in two temporally distinct stages: a lengthening stage, followed by a throw/displacement accumulation stage. However, this model is still debated and not widely supported by many additional studies. Relatively few studies have investigated what happens to a fault as it becomes inactive, i.e. does it abruptly die, or does </w:t>
      </w:r>
      <w:proofErr w:type="spellStart"/>
      <w:r w:rsidRPr="00F064CA">
        <w:rPr>
          <w:color w:val="000000"/>
        </w:rPr>
        <w:t>its</w:t>
      </w:r>
      <w:proofErr w:type="spellEnd"/>
      <w:r w:rsidRPr="00F064CA">
        <w:rPr>
          <w:color w:val="000000"/>
        </w:rPr>
        <w:t xml:space="preserve"> at-surface trace-length progressively shorten by so-called tip retreat? We here use a 3D seismic reflection dataset from the </w:t>
      </w:r>
      <w:proofErr w:type="spellStart"/>
      <w:r w:rsidRPr="00F064CA">
        <w:rPr>
          <w:color w:val="000000"/>
        </w:rPr>
        <w:t>Exmouth</w:t>
      </w:r>
      <w:proofErr w:type="spellEnd"/>
      <w:r w:rsidRPr="00F064CA">
        <w:rPr>
          <w:color w:val="000000"/>
        </w:rPr>
        <w:t xml:space="preserve"> Plateau, offshore Australia to develop a three-stage fault growth model for seven normal faults of various sizes, and to show how the </w:t>
      </w:r>
      <w:r w:rsidR="00810329" w:rsidRPr="00F064CA">
        <w:rPr>
          <w:color w:val="000000"/>
        </w:rPr>
        <w:t>throw</w:t>
      </w:r>
      <w:r w:rsidRPr="00F064CA">
        <w:rPr>
          <w:color w:val="000000"/>
        </w:rPr>
        <w:t xml:space="preserve">-length scaling relationship changes as a fault </w:t>
      </w:r>
      <w:proofErr w:type="gramStart"/>
      <w:r w:rsidRPr="00F064CA">
        <w:rPr>
          <w:color w:val="000000"/>
        </w:rPr>
        <w:t>dies</w:t>
      </w:r>
      <w:proofErr w:type="gramEnd"/>
      <w:r w:rsidRPr="00F064CA">
        <w:rPr>
          <w:color w:val="000000"/>
        </w:rPr>
        <w:t xml:space="preserve">. We show that during the lengthening stage, which lasted &lt;30% of the </w:t>
      </w:r>
      <w:proofErr w:type="gramStart"/>
      <w:r w:rsidRPr="00F064CA">
        <w:rPr>
          <w:color w:val="000000"/>
        </w:rPr>
        <w:t>faults</w:t>
      </w:r>
      <w:proofErr w:type="gramEnd"/>
      <w:r w:rsidRPr="00F064CA">
        <w:rPr>
          <w:color w:val="000000"/>
        </w:rPr>
        <w:t xml:space="preserve"> life, faults reached their near-maximum lengths, yet accumulated only 10-20% of their total throw. During the throw/displacement accumulation stage, which accounts for c. 30-75% of the </w:t>
      </w:r>
      <w:proofErr w:type="gramStart"/>
      <w:r w:rsidRPr="00F064CA">
        <w:rPr>
          <w:color w:val="000000"/>
        </w:rPr>
        <w:t>faults</w:t>
      </w:r>
      <w:proofErr w:type="gramEnd"/>
      <w:r w:rsidRPr="00F064CA">
        <w:rPr>
          <w:color w:val="000000"/>
        </w:rPr>
        <w:t xml:space="preserve"> life, throw continued to accumulate along the entire length of the faults. </w:t>
      </w:r>
      <w:proofErr w:type="gramStart"/>
      <w:r w:rsidRPr="00F064CA">
        <w:rPr>
          <w:color w:val="000000"/>
        </w:rPr>
        <w:t>All of</w:t>
      </w:r>
      <w:proofErr w:type="gramEnd"/>
      <w:r w:rsidRPr="00F064CA">
        <w:rPr>
          <w:color w:val="000000"/>
        </w:rPr>
        <w:t xml:space="preserve"> the studied faults also underwent a stage of lateral tip-retreat (last c. 25% of the faults lives), where the active at-surface trace-length decreased by up to 25%. This work has implications for our understanding of the temporal evolution of normal faults, </w:t>
      </w:r>
      <w:proofErr w:type="gramStart"/>
      <w:r w:rsidRPr="00F064CA">
        <w:rPr>
          <w:color w:val="000000"/>
        </w:rPr>
        <w:t>in particular how</w:t>
      </w:r>
      <w:proofErr w:type="gramEnd"/>
      <w:r w:rsidRPr="00F064CA">
        <w:rPr>
          <w:color w:val="000000"/>
        </w:rPr>
        <w:t xml:space="preserve"> they grow and how they die, with the final stage of tip retreat typically being absent from more fault growth models.</w:t>
      </w:r>
      <w:r w:rsidRPr="00F064CA">
        <w:rPr>
          <w:b/>
        </w:rPr>
        <w:t xml:space="preserve"> </w:t>
      </w:r>
    </w:p>
    <w:p w14:paraId="16752E20" w14:textId="77777777" w:rsidR="002F3B11" w:rsidRPr="00F064CA" w:rsidRDefault="002F3B11" w:rsidP="002349AD">
      <w:pPr>
        <w:pStyle w:val="Heading-Main"/>
        <w:spacing w:line="480" w:lineRule="auto"/>
      </w:pPr>
      <w:r w:rsidRPr="00F064CA">
        <w:t>1 Introduction</w:t>
      </w:r>
    </w:p>
    <w:p w14:paraId="0870065E" w14:textId="77777777" w:rsidR="00771D66" w:rsidRPr="00F064CA" w:rsidRDefault="00771D66" w:rsidP="002349AD">
      <w:pPr>
        <w:pStyle w:val="NormalWeb"/>
        <w:spacing w:line="480" w:lineRule="auto"/>
        <w:ind w:firstLine="720"/>
        <w:rPr>
          <w:rFonts w:eastAsia="Times New Roman"/>
        </w:rPr>
      </w:pPr>
      <w:r w:rsidRPr="00F064CA">
        <w:rPr>
          <w:color w:val="000000"/>
        </w:rPr>
        <w:t xml:space="preserve">Normal fault growth models have been widely debated over the past c. 20 years. The propagating fault model, also referred to as the isolated fault model (Walsh et al., 2003), suggests that normal faults grow via a synchronous increase in length and displacement, i.e. that when faults </w:t>
      </w:r>
      <w:proofErr w:type="gramStart"/>
      <w:r w:rsidRPr="00F064CA">
        <w:rPr>
          <w:color w:val="000000"/>
        </w:rPr>
        <w:t>lengthen</w:t>
      </w:r>
      <w:proofErr w:type="gramEnd"/>
      <w:r w:rsidRPr="00F064CA">
        <w:rPr>
          <w:color w:val="000000"/>
        </w:rPr>
        <w:t xml:space="preserve"> they also accumulate displacement. Faults can also lengthen via tip propagation </w:t>
      </w:r>
      <w:r w:rsidRPr="00F064CA">
        <w:rPr>
          <w:color w:val="000000"/>
        </w:rPr>
        <w:lastRenderedPageBreak/>
        <w:t xml:space="preserve">and linkage of these individual segments (e.g. Cartwright et al., 1995; </w:t>
      </w:r>
      <w:proofErr w:type="spellStart"/>
      <w:r w:rsidRPr="00F064CA">
        <w:rPr>
          <w:color w:val="000000"/>
        </w:rPr>
        <w:t>Dawers</w:t>
      </w:r>
      <w:proofErr w:type="spellEnd"/>
      <w:r w:rsidRPr="00F064CA">
        <w:rPr>
          <w:color w:val="000000"/>
        </w:rPr>
        <w:t xml:space="preserve"> et al., 1993; Morley et al., 1990; Walsh et al., 2003; Walsh &amp; Watterson, 1988). The constant-length model instead suggests that normal faults reach their near-final lengths relatively rapidly and spend the rest of their lives accruing displacement without further significant lengthening (Childs et al., 2017; Fossen &amp; Rotevatn, 2016; </w:t>
      </w:r>
      <w:proofErr w:type="spellStart"/>
      <w:r w:rsidRPr="00F064CA">
        <w:rPr>
          <w:color w:val="000000"/>
        </w:rPr>
        <w:t>Hemelsdaël</w:t>
      </w:r>
      <w:proofErr w:type="spellEnd"/>
      <w:r w:rsidRPr="00F064CA">
        <w:rPr>
          <w:color w:val="000000"/>
        </w:rPr>
        <w:t xml:space="preserve"> &amp; Ford, 2016; </w:t>
      </w:r>
      <w:proofErr w:type="spellStart"/>
      <w:r w:rsidRPr="00F064CA">
        <w:rPr>
          <w:color w:val="000000"/>
        </w:rPr>
        <w:t>Henstra</w:t>
      </w:r>
      <w:proofErr w:type="spellEnd"/>
      <w:r w:rsidRPr="00F064CA">
        <w:rPr>
          <w:color w:val="000000"/>
        </w:rPr>
        <w:t xml:space="preserve"> et al., 2015; Jackson and Rotevatn, 2013; Nicol et al., 2005, 2016; Tvedt et al., 2016; Walsh et al., 2002, 2003; see also Cowie et al., 1998). However, Jackson et al. (2017) and Rotevatn et al. (2019) propose that the propagating fault model and the constant-length models may not in fact be mutually exclusive, end-member models, but instead represent discrete kinematic phases in the life of a single fault. The hybrid growth model combines both and states that faults grow in two stages: the lengthening stage (propagating fault stage) and the displacement accrual stage (constant-length stage) (Jackson et al., 2017; Rotevatn et al., 2019). According to the hybrid model proposed by Rotevatn et al., (2019), during the lengthening stage, which encompasses c. 20-30% of the duration of a faults life, faults reach their near-final length via the propagation and linkage of relatively small, discrete segments; during this time, the fault accumulates 10-60% of its total displacement. During the displacement accrual stage, which takes place during the latter 70-80% of the </w:t>
      </w:r>
      <w:proofErr w:type="gramStart"/>
      <w:r w:rsidRPr="00F064CA">
        <w:rPr>
          <w:color w:val="000000"/>
        </w:rPr>
        <w:t>faults</w:t>
      </w:r>
      <w:proofErr w:type="gramEnd"/>
      <w:r w:rsidRPr="00F064CA">
        <w:rPr>
          <w:color w:val="000000"/>
        </w:rPr>
        <w:t xml:space="preserve"> life, the fault accumulates 40-90% of its total displacement (Jackson et al., 2017; Rotevatn et al., 2019). Examples of normal faults with preserved, seismically well-imaged growth strata to provide reliable kinematic constraints on fault growth are rare, thus the hybrid growth model (and the component propagating and constant-length stages) has only rarely been tested. Such tests are needed if we are to fully understand normal fault growth. </w:t>
      </w:r>
    </w:p>
    <w:p w14:paraId="4CB0FB98" w14:textId="77777777" w:rsidR="00771D66" w:rsidRPr="00F064CA" w:rsidRDefault="00771D66" w:rsidP="002349AD">
      <w:pPr>
        <w:pStyle w:val="NormalWeb"/>
        <w:spacing w:line="480" w:lineRule="auto"/>
        <w:ind w:firstLine="720"/>
      </w:pPr>
      <w:r w:rsidRPr="00F064CA">
        <w:rPr>
          <w:color w:val="000000"/>
        </w:rPr>
        <w:t xml:space="preserve">Whereas many studies have investigated how normal faults initiate and grow (see above), few have considered what happens at the end of a </w:t>
      </w:r>
      <w:proofErr w:type="gramStart"/>
      <w:r w:rsidRPr="00F064CA">
        <w:rPr>
          <w:color w:val="000000"/>
        </w:rPr>
        <w:t>faults</w:t>
      </w:r>
      <w:proofErr w:type="gramEnd"/>
      <w:r w:rsidRPr="00F064CA">
        <w:rPr>
          <w:color w:val="000000"/>
        </w:rPr>
        <w:t xml:space="preserve"> life. These few studies propose that </w:t>
      </w:r>
      <w:r w:rsidRPr="00F064CA">
        <w:rPr>
          <w:color w:val="000000"/>
        </w:rPr>
        <w:lastRenderedPageBreak/>
        <w:t xml:space="preserve">faults die in two general ways: the entire trace-length of the fault remains active before slip ceases, or that, as the fault dies, activity is focused onto the </w:t>
      </w:r>
      <w:proofErr w:type="spellStart"/>
      <w:r w:rsidRPr="00F064CA">
        <w:rPr>
          <w:color w:val="000000"/>
        </w:rPr>
        <w:t>centre</w:t>
      </w:r>
      <w:proofErr w:type="spellEnd"/>
      <w:r w:rsidRPr="00F064CA">
        <w:rPr>
          <w:color w:val="000000"/>
        </w:rPr>
        <w:t xml:space="preserve"> of the fault, leading to a progressively shorter active fault trace-length (Childs et al., 2003; Meyer et al., 2002). In the latter case, normal faults experience a stage of fault tip retreat, i.e., the lateral tip regions do not accumulate further displacement or throw as strain is localized near the fault </w:t>
      </w:r>
      <w:proofErr w:type="spellStart"/>
      <w:r w:rsidRPr="00F064CA">
        <w:rPr>
          <w:color w:val="000000"/>
        </w:rPr>
        <w:t>centre</w:t>
      </w:r>
      <w:proofErr w:type="spellEnd"/>
      <w:r w:rsidRPr="00F064CA">
        <w:rPr>
          <w:color w:val="000000"/>
        </w:rPr>
        <w:t xml:space="preserve"> (Figure 1; Meyer et al., 2002). In 3D seismic reflection data, tip retreat can be observed by identifying packages of growth strata that are deposited over progressively shorter along-strike lengths as the fault reaches the end of its life (Meyer et al., 2002). Tip retreat has also been interpreted as a result of relay breaching during segment linkage (Childs et al., 2003); however, this is not the style of tip retreat we identify in this study. </w:t>
      </w:r>
    </w:p>
    <w:p w14:paraId="3CB0DFF1" w14:textId="77777777" w:rsidR="00771D66" w:rsidRPr="00F064CA" w:rsidRDefault="00771D66" w:rsidP="002349AD">
      <w:pPr>
        <w:pStyle w:val="NormalWeb"/>
        <w:spacing w:line="480" w:lineRule="auto"/>
        <w:ind w:firstLine="720"/>
      </w:pPr>
      <w:r w:rsidRPr="00F064CA">
        <w:rPr>
          <w:color w:val="000000"/>
        </w:rPr>
        <w:t xml:space="preserve">Relatively few studies have discussed the role tip retreat plays in the evolution of normal faults (Childs et al., 2003; Freitag et al., 2017; Meyer et al., 2002; Morley, 2002), and it is therefore not usually included in fault growth models. This likely reflects the fact it is very difficult or sometimes impossible to constrain the kinematics of normal faults, for example in cases where growth strata are absent and/or only locally preserved. To the best of our knowledge, tip retreat has also not yet been the focus of or identified in, physical or numerical models. Freitag et al., (2017) show an example of tip retreat in the Columbus Basin, offshore Trinidad; these are, however, thin-skinned, gravity-driven faults, and it is not clear if the kinematics would apply to thick-skinned faults offsetting crystalline basement. Morley (2002) also show an example of possible tip retreat in the East African Rift, but since this is a sediment-starved (i.e. underfilled) basin, it is difficult to tell if the fault really experienced tip retreat, or whether the observed geometries simply reflect post-fault death passive filling of hanging wall accommodation. We seek to provide the first well-constrained examples of tip retreat occurring </w:t>
      </w:r>
      <w:r w:rsidRPr="00F064CA">
        <w:rPr>
          <w:color w:val="000000"/>
        </w:rPr>
        <w:lastRenderedPageBreak/>
        <w:t>on basement-involved normal faults, as well as guidance on how to identify this important process in the rock record. </w:t>
      </w:r>
    </w:p>
    <w:p w14:paraId="61A9C549" w14:textId="7FB8ED91" w:rsidR="005C496D" w:rsidRPr="00F064CA" w:rsidRDefault="00771D66" w:rsidP="002349AD">
      <w:pPr>
        <w:pStyle w:val="NormalWeb"/>
        <w:spacing w:line="480" w:lineRule="auto"/>
        <w:ind w:firstLine="720"/>
        <w:rPr>
          <w:rFonts w:ascii="Arial" w:hAnsi="Arial" w:cs="Arial"/>
          <w:color w:val="000000"/>
        </w:rPr>
      </w:pPr>
      <w:r w:rsidRPr="00F064CA">
        <w:rPr>
          <w:color w:val="000000"/>
        </w:rPr>
        <w:t xml:space="preserve">In this paper, we use 3D seismic reflection and borehole data from the </w:t>
      </w:r>
      <w:proofErr w:type="spellStart"/>
      <w:r w:rsidRPr="00F064CA">
        <w:rPr>
          <w:color w:val="000000"/>
        </w:rPr>
        <w:t>Exmouth</w:t>
      </w:r>
      <w:proofErr w:type="spellEnd"/>
      <w:r w:rsidRPr="00F064CA">
        <w:rPr>
          <w:color w:val="000000"/>
        </w:rPr>
        <w:t xml:space="preserve"> Plateau, offshore Australia to study the kinematics of basement-involved normal faults. More specifically we: 1) constrain the temporal relationship between fault lengthening and displacement; and 2) investigate the role of tip retreat as faults become inactive. This is an excellent place to study this process because </w:t>
      </w:r>
      <w:proofErr w:type="spellStart"/>
      <w:r w:rsidRPr="00F064CA">
        <w:rPr>
          <w:color w:val="000000"/>
        </w:rPr>
        <w:t>synsedimentary</w:t>
      </w:r>
      <w:proofErr w:type="spellEnd"/>
      <w:r w:rsidRPr="00F064CA">
        <w:rPr>
          <w:color w:val="000000"/>
        </w:rPr>
        <w:t xml:space="preserve"> normal faults are well-preserved, age-constrained, and well-imaged in excellent-quality, open-source, 3D seismic reflection data. The rift basin was also overfilled for much of the duration of faulting, meaning the faults are flanked by well-developed growth (syn-tectonic) strata.</w:t>
      </w:r>
      <w:r w:rsidRPr="00F064CA">
        <w:rPr>
          <w:rFonts w:ascii="Arial" w:hAnsi="Arial" w:cs="Arial"/>
          <w:color w:val="000000"/>
        </w:rPr>
        <w:t xml:space="preserve"> </w:t>
      </w:r>
    </w:p>
    <w:p w14:paraId="747EC8F0" w14:textId="3EEF835E" w:rsidR="005C496D" w:rsidRPr="00F064CA" w:rsidRDefault="005C496D" w:rsidP="002349AD">
      <w:pPr>
        <w:pStyle w:val="NormalWeb"/>
        <w:spacing w:line="480" w:lineRule="auto"/>
        <w:ind w:firstLine="720"/>
        <w:rPr>
          <w:rFonts w:ascii="Arial" w:hAnsi="Arial" w:cs="Arial"/>
          <w:color w:val="000000"/>
        </w:rPr>
      </w:pPr>
    </w:p>
    <w:p w14:paraId="058F8172" w14:textId="1DC1B4C1" w:rsidR="005C496D" w:rsidRPr="00F064CA" w:rsidRDefault="005C496D" w:rsidP="002349AD">
      <w:pPr>
        <w:pStyle w:val="Abstract"/>
        <w:spacing w:line="480" w:lineRule="auto"/>
      </w:pPr>
      <w:r w:rsidRPr="00F064CA">
        <w:rPr>
          <w:noProof/>
        </w:rPr>
        <w:lastRenderedPageBreak/>
        <w:drawing>
          <wp:inline distT="0" distB="0" distL="0" distR="0" wp14:anchorId="5B9688CC" wp14:editId="3BD60D1C">
            <wp:extent cx="2958769" cy="4411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736" cy="4417896"/>
                    </a:xfrm>
                    <a:prstGeom prst="rect">
                      <a:avLst/>
                    </a:prstGeom>
                    <a:noFill/>
                    <a:ln>
                      <a:noFill/>
                    </a:ln>
                  </pic:spPr>
                </pic:pic>
              </a:graphicData>
            </a:graphic>
          </wp:inline>
        </w:drawing>
      </w:r>
    </w:p>
    <w:p w14:paraId="2B4011D4" w14:textId="6AB3ED3B" w:rsidR="005C496D" w:rsidRPr="00F064CA" w:rsidRDefault="005C496D" w:rsidP="00C17EE9">
      <w:pPr>
        <w:pStyle w:val="Abstract"/>
      </w:pPr>
      <w:r w:rsidRPr="00F064CA">
        <w:rPr>
          <w:b/>
          <w:bCs/>
          <w:color w:val="000000"/>
        </w:rPr>
        <w:t>Figure 1.</w:t>
      </w:r>
      <w:r w:rsidRPr="00F064CA">
        <w:rPr>
          <w:color w:val="000000"/>
        </w:rPr>
        <w:t xml:space="preserve"> Conceptual models for the development of normal faults following a “hybrid fault model” (Rotevatn et al., 2019) with a stage of tip retreat. Time 1 (T1) represents the lengthening/propagating fault model stage, Time 2 (T2) represents the displacement accumulation/constant-length model stage, and Time 3 (T3) represents a phase of fault tip-line retreat. </w:t>
      </w:r>
      <w:r w:rsidR="003B68D6" w:rsidRPr="00F064CA">
        <w:rPr>
          <w:b/>
          <w:bCs/>
          <w:color w:val="000000"/>
        </w:rPr>
        <w:t>a</w:t>
      </w:r>
      <w:r w:rsidRPr="00F064CA">
        <w:rPr>
          <w:b/>
          <w:bCs/>
          <w:color w:val="000000"/>
        </w:rPr>
        <w:t>)</w:t>
      </w:r>
      <w:r w:rsidRPr="00F064CA">
        <w:rPr>
          <w:color w:val="000000"/>
        </w:rPr>
        <w:t xml:space="preserve"> map view of the active fault trace line at T1-3. Note that the fault reaches its maximum length at </w:t>
      </w:r>
      <w:proofErr w:type="gramStart"/>
      <w:r w:rsidRPr="00F064CA">
        <w:rPr>
          <w:color w:val="000000"/>
        </w:rPr>
        <w:t>T1, and</w:t>
      </w:r>
      <w:proofErr w:type="gramEnd"/>
      <w:r w:rsidRPr="00F064CA">
        <w:rPr>
          <w:color w:val="000000"/>
        </w:rPr>
        <w:t xml:space="preserve"> has a shorted active trace line at T3. </w:t>
      </w:r>
      <w:r w:rsidR="003B68D6" w:rsidRPr="00F064CA">
        <w:rPr>
          <w:b/>
          <w:bCs/>
          <w:color w:val="000000"/>
        </w:rPr>
        <w:t>b</w:t>
      </w:r>
      <w:r w:rsidRPr="00F064CA">
        <w:rPr>
          <w:b/>
          <w:bCs/>
          <w:color w:val="000000"/>
        </w:rPr>
        <w:t>)</w:t>
      </w:r>
      <w:r w:rsidRPr="00F064CA">
        <w:rPr>
          <w:color w:val="000000"/>
        </w:rPr>
        <w:t xml:space="preserve"> along-strike projection of throw at T1-3. An increasing amount of displacement is accumulated at each stage. </w:t>
      </w:r>
      <w:r w:rsidR="003B68D6" w:rsidRPr="00F064CA">
        <w:rPr>
          <w:b/>
          <w:bCs/>
          <w:color w:val="000000"/>
        </w:rPr>
        <w:t>c</w:t>
      </w:r>
      <w:r w:rsidRPr="00F064CA">
        <w:rPr>
          <w:b/>
          <w:bCs/>
          <w:color w:val="000000"/>
        </w:rPr>
        <w:t>)</w:t>
      </w:r>
      <w:r w:rsidRPr="00F064CA">
        <w:rPr>
          <w:color w:val="000000"/>
        </w:rPr>
        <w:t xml:space="preserve"> Displacement/length profile at T1-3.</w:t>
      </w:r>
    </w:p>
    <w:p w14:paraId="7A8760A4" w14:textId="28027ECB" w:rsidR="002F3B11" w:rsidRPr="00F064CA" w:rsidRDefault="00771D66" w:rsidP="002349AD">
      <w:pPr>
        <w:pStyle w:val="Heading-Main"/>
        <w:spacing w:line="480" w:lineRule="auto"/>
        <w:rPr>
          <w:color w:val="000000"/>
        </w:rPr>
      </w:pPr>
      <w:r w:rsidRPr="00F064CA">
        <w:t xml:space="preserve"> </w:t>
      </w:r>
      <w:r w:rsidR="002F3B11" w:rsidRPr="00F064CA">
        <w:t xml:space="preserve">2 </w:t>
      </w:r>
      <w:r w:rsidRPr="00F064CA">
        <w:rPr>
          <w:color w:val="000000"/>
        </w:rPr>
        <w:t xml:space="preserve">Geologic setting of the </w:t>
      </w:r>
      <w:proofErr w:type="spellStart"/>
      <w:r w:rsidRPr="00F064CA">
        <w:rPr>
          <w:color w:val="000000"/>
        </w:rPr>
        <w:t>Exmouth</w:t>
      </w:r>
      <w:proofErr w:type="spellEnd"/>
      <w:r w:rsidRPr="00F064CA">
        <w:rPr>
          <w:color w:val="000000"/>
        </w:rPr>
        <w:t xml:space="preserve"> Plateau</w:t>
      </w:r>
    </w:p>
    <w:p w14:paraId="10245203" w14:textId="7C060836" w:rsidR="005213FE" w:rsidRPr="00F064CA" w:rsidRDefault="005213FE" w:rsidP="002349AD">
      <w:pPr>
        <w:spacing w:line="480" w:lineRule="auto"/>
        <w:ind w:firstLine="720"/>
        <w:rPr>
          <w:rFonts w:eastAsia="Times New Roman"/>
          <w:sz w:val="24"/>
          <w:szCs w:val="24"/>
        </w:rPr>
      </w:pPr>
      <w:r w:rsidRPr="00F064CA">
        <w:rPr>
          <w:rFonts w:eastAsia="Times New Roman"/>
          <w:color w:val="000000"/>
          <w:sz w:val="24"/>
          <w:szCs w:val="24"/>
        </w:rPr>
        <w:t xml:space="preserve">Our study area is located on the </w:t>
      </w:r>
      <w:proofErr w:type="spellStart"/>
      <w:r w:rsidRPr="00F064CA">
        <w:rPr>
          <w:rFonts w:eastAsia="Times New Roman"/>
          <w:color w:val="000000"/>
          <w:sz w:val="24"/>
          <w:szCs w:val="24"/>
        </w:rPr>
        <w:t>Exmouth</w:t>
      </w:r>
      <w:proofErr w:type="spellEnd"/>
      <w:r w:rsidRPr="00F064CA">
        <w:rPr>
          <w:rFonts w:eastAsia="Times New Roman"/>
          <w:color w:val="000000"/>
          <w:sz w:val="24"/>
          <w:szCs w:val="24"/>
        </w:rPr>
        <w:t xml:space="preserve"> Plateau, North Carnarvon Basin, offshore NW Australia (Figure 2). The North Carnarvon Basin formed due to rifting in the Late Carboniferous-Permian as a result of the breakup of Pangea, and the </w:t>
      </w:r>
      <w:proofErr w:type="spellStart"/>
      <w:r w:rsidRPr="00F064CA">
        <w:rPr>
          <w:rFonts w:eastAsia="Times New Roman"/>
          <w:color w:val="000000"/>
          <w:sz w:val="24"/>
          <w:szCs w:val="24"/>
        </w:rPr>
        <w:t>Exmouth</w:t>
      </w:r>
      <w:proofErr w:type="spellEnd"/>
      <w:r w:rsidRPr="00F064CA">
        <w:rPr>
          <w:rFonts w:eastAsia="Times New Roman"/>
          <w:color w:val="000000"/>
          <w:sz w:val="24"/>
          <w:szCs w:val="24"/>
        </w:rPr>
        <w:t xml:space="preserve"> Plateau formed as a result of rifting between Greater India and Australia, creating NE-trending blocks (Gibbons et al., 2012; Longley et al., 2002; Stagg &amp; Colwell, 1994). The </w:t>
      </w:r>
      <w:proofErr w:type="spellStart"/>
      <w:r w:rsidRPr="00F064CA">
        <w:rPr>
          <w:rFonts w:eastAsia="Times New Roman"/>
          <w:color w:val="000000"/>
          <w:sz w:val="24"/>
          <w:szCs w:val="24"/>
        </w:rPr>
        <w:t>Exmouth</w:t>
      </w:r>
      <w:proofErr w:type="spellEnd"/>
      <w:r w:rsidRPr="00F064CA">
        <w:rPr>
          <w:rFonts w:eastAsia="Times New Roman"/>
          <w:color w:val="000000"/>
          <w:sz w:val="24"/>
          <w:szCs w:val="24"/>
        </w:rPr>
        <w:t xml:space="preserve"> Plateau </w:t>
      </w:r>
      <w:proofErr w:type="gramStart"/>
      <w:r w:rsidRPr="00F064CA">
        <w:rPr>
          <w:rFonts w:eastAsia="Times New Roman"/>
          <w:color w:val="000000"/>
          <w:sz w:val="24"/>
          <w:szCs w:val="24"/>
        </w:rPr>
        <w:t>is located in</w:t>
      </w:r>
      <w:proofErr w:type="gramEnd"/>
      <w:r w:rsidRPr="00F064CA">
        <w:rPr>
          <w:rFonts w:eastAsia="Times New Roman"/>
          <w:color w:val="000000"/>
          <w:sz w:val="24"/>
          <w:szCs w:val="24"/>
        </w:rPr>
        <w:t xml:space="preserve"> the </w:t>
      </w:r>
      <w:r w:rsidRPr="00F064CA">
        <w:rPr>
          <w:rFonts w:eastAsia="Times New Roman"/>
          <w:color w:val="000000"/>
          <w:sz w:val="24"/>
          <w:szCs w:val="24"/>
        </w:rPr>
        <w:lastRenderedPageBreak/>
        <w:t xml:space="preserve">northern part of the North Carnarvon Basin, bounded by the continental shelf to the southeast, and the Curvier, Gascoyne, and Argo abyssal plains to the SW, SW, and NE, respectively (Longley et al., 2002). The </w:t>
      </w:r>
      <w:proofErr w:type="spellStart"/>
      <w:r w:rsidRPr="00F064CA">
        <w:rPr>
          <w:rFonts w:eastAsia="Times New Roman"/>
          <w:color w:val="000000"/>
          <w:sz w:val="24"/>
          <w:szCs w:val="24"/>
        </w:rPr>
        <w:t>Exmouth</w:t>
      </w:r>
      <w:proofErr w:type="spellEnd"/>
      <w:r w:rsidRPr="00F064CA">
        <w:rPr>
          <w:rFonts w:eastAsia="Times New Roman"/>
          <w:color w:val="000000"/>
          <w:sz w:val="24"/>
          <w:szCs w:val="24"/>
        </w:rPr>
        <w:t xml:space="preserve"> Plateau is a block of thin crystalline crust, and based on geophysical evidence, it has been suggested that the </w:t>
      </w:r>
      <w:proofErr w:type="spellStart"/>
      <w:r w:rsidRPr="00F064CA">
        <w:rPr>
          <w:rFonts w:eastAsia="Times New Roman"/>
          <w:color w:val="000000"/>
          <w:sz w:val="24"/>
          <w:szCs w:val="24"/>
        </w:rPr>
        <w:t>Exmouth</w:t>
      </w:r>
      <w:proofErr w:type="spellEnd"/>
      <w:r w:rsidRPr="00F064CA">
        <w:rPr>
          <w:rFonts w:eastAsia="Times New Roman"/>
          <w:color w:val="000000"/>
          <w:sz w:val="24"/>
          <w:szCs w:val="24"/>
        </w:rPr>
        <w:t xml:space="preserve"> Plateau basement is continental crust, however this has not been confirmed by </w:t>
      </w:r>
      <w:r w:rsidR="00CC39E1">
        <w:rPr>
          <w:rFonts w:eastAsia="Times New Roman"/>
          <w:color w:val="000000"/>
          <w:sz w:val="24"/>
          <w:szCs w:val="24"/>
        </w:rPr>
        <w:t xml:space="preserve">direct </w:t>
      </w:r>
      <w:r w:rsidRPr="00F064CA">
        <w:rPr>
          <w:rFonts w:eastAsia="Times New Roman"/>
          <w:color w:val="000000"/>
          <w:sz w:val="24"/>
          <w:szCs w:val="24"/>
        </w:rPr>
        <w:t xml:space="preserve">sampling (Stagg et al., 2004). The crystalline basement is overlain by a thick pre-rift succession, consisting of the fluvial-deltaic to marginal marine, </w:t>
      </w:r>
      <w:proofErr w:type="spellStart"/>
      <w:r w:rsidRPr="00F064CA">
        <w:rPr>
          <w:rFonts w:eastAsia="Times New Roman"/>
          <w:color w:val="000000"/>
          <w:sz w:val="24"/>
          <w:szCs w:val="24"/>
        </w:rPr>
        <w:t>Mungaroo</w:t>
      </w:r>
      <w:proofErr w:type="spellEnd"/>
      <w:r w:rsidRPr="00F064CA">
        <w:rPr>
          <w:rFonts w:eastAsia="Times New Roman"/>
          <w:color w:val="000000"/>
          <w:sz w:val="24"/>
          <w:szCs w:val="24"/>
        </w:rPr>
        <w:t xml:space="preserve"> Formation (Triassic) (Longley et al., 2002; Stagg et al., 2004)</w:t>
      </w:r>
      <w:r w:rsidR="00A63B19" w:rsidRPr="00F064CA">
        <w:rPr>
          <w:rFonts w:eastAsia="Times New Roman"/>
          <w:color w:val="000000"/>
          <w:sz w:val="24"/>
          <w:szCs w:val="24"/>
        </w:rPr>
        <w:t>.</w:t>
      </w:r>
    </w:p>
    <w:p w14:paraId="635306CD" w14:textId="77777777" w:rsidR="00C17EE9" w:rsidRPr="00F064CA" w:rsidRDefault="005213FE" w:rsidP="002349AD">
      <w:pPr>
        <w:spacing w:line="480" w:lineRule="auto"/>
        <w:ind w:firstLine="720"/>
        <w:rPr>
          <w:rFonts w:eastAsia="Times New Roman"/>
          <w:color w:val="000000"/>
          <w:sz w:val="24"/>
          <w:szCs w:val="24"/>
        </w:rPr>
      </w:pPr>
      <w:r w:rsidRPr="00F064CA">
        <w:rPr>
          <w:rFonts w:eastAsia="Times New Roman"/>
          <w:color w:val="000000"/>
          <w:sz w:val="24"/>
          <w:szCs w:val="24"/>
        </w:rPr>
        <w:t xml:space="preserve">The </w:t>
      </w:r>
      <w:proofErr w:type="spellStart"/>
      <w:r w:rsidRPr="00F064CA">
        <w:rPr>
          <w:rFonts w:eastAsia="Times New Roman"/>
          <w:color w:val="000000"/>
          <w:sz w:val="24"/>
          <w:szCs w:val="24"/>
        </w:rPr>
        <w:t>synrift</w:t>
      </w:r>
      <w:proofErr w:type="spellEnd"/>
      <w:r w:rsidRPr="00F064CA">
        <w:rPr>
          <w:rFonts w:eastAsia="Times New Roman"/>
          <w:color w:val="000000"/>
          <w:sz w:val="24"/>
          <w:szCs w:val="24"/>
        </w:rPr>
        <w:t xml:space="preserve"> extension began in the Late Triassic (Rhaetian) until Late Jurassic (Oxfordian), during which time the Murat and </w:t>
      </w:r>
      <w:proofErr w:type="spellStart"/>
      <w:r w:rsidRPr="00F064CA">
        <w:rPr>
          <w:rFonts w:eastAsia="Times New Roman"/>
          <w:color w:val="000000"/>
          <w:sz w:val="24"/>
          <w:szCs w:val="24"/>
        </w:rPr>
        <w:t>Athnol</w:t>
      </w:r>
      <w:proofErr w:type="spellEnd"/>
      <w:r w:rsidRPr="00F064CA">
        <w:rPr>
          <w:rFonts w:eastAsia="Times New Roman"/>
          <w:color w:val="000000"/>
          <w:sz w:val="24"/>
          <w:szCs w:val="24"/>
        </w:rPr>
        <w:t xml:space="preserve"> siltstones were deposited in a sediment-starved basin</w:t>
      </w:r>
      <w:r w:rsidR="00A63B19" w:rsidRPr="00F064CA">
        <w:rPr>
          <w:rFonts w:eastAsia="Times New Roman"/>
          <w:color w:val="000000"/>
          <w:sz w:val="24"/>
          <w:szCs w:val="24"/>
        </w:rPr>
        <w:t xml:space="preserve"> (Figure 3)</w:t>
      </w:r>
      <w:r w:rsidRPr="00F064CA">
        <w:rPr>
          <w:rFonts w:eastAsia="Times New Roman"/>
          <w:color w:val="000000"/>
          <w:sz w:val="24"/>
          <w:szCs w:val="24"/>
        </w:rPr>
        <w:t xml:space="preserve"> (Longley et al., 2002; Tindale et al., 1998). After a short period of tectonic quiescence in the Late Jurassic, rifting continued in the Early Cretaceous in an over-filled basin environment, during which time marine </w:t>
      </w:r>
      <w:proofErr w:type="spellStart"/>
      <w:r w:rsidRPr="00F064CA">
        <w:rPr>
          <w:rFonts w:eastAsia="Times New Roman"/>
          <w:color w:val="000000"/>
          <w:sz w:val="24"/>
          <w:szCs w:val="24"/>
        </w:rPr>
        <w:t>claystones</w:t>
      </w:r>
      <w:proofErr w:type="spellEnd"/>
      <w:r w:rsidRPr="00F064CA">
        <w:rPr>
          <w:rFonts w:eastAsia="Times New Roman"/>
          <w:color w:val="000000"/>
          <w:sz w:val="24"/>
          <w:szCs w:val="24"/>
        </w:rPr>
        <w:t xml:space="preserve"> (Dingo Claystone) and coarser-grained, deltaic </w:t>
      </w:r>
      <w:proofErr w:type="spellStart"/>
      <w:r w:rsidRPr="00F064CA">
        <w:rPr>
          <w:rFonts w:eastAsia="Times New Roman"/>
          <w:color w:val="000000"/>
          <w:sz w:val="24"/>
          <w:szCs w:val="24"/>
        </w:rPr>
        <w:t>clastics</w:t>
      </w:r>
      <w:proofErr w:type="spellEnd"/>
      <w:r w:rsidRPr="00F064CA">
        <w:rPr>
          <w:rFonts w:eastAsia="Times New Roman"/>
          <w:color w:val="000000"/>
          <w:sz w:val="24"/>
          <w:szCs w:val="24"/>
        </w:rPr>
        <w:t xml:space="preserve"> (Barrow Group) were deposited (Longley et al., 2002). Rifting in the </w:t>
      </w:r>
      <w:proofErr w:type="spellStart"/>
      <w:r w:rsidRPr="00F064CA">
        <w:rPr>
          <w:rFonts w:eastAsia="Times New Roman"/>
          <w:color w:val="000000"/>
          <w:sz w:val="24"/>
          <w:szCs w:val="24"/>
        </w:rPr>
        <w:t>Exmouth</w:t>
      </w:r>
      <w:proofErr w:type="spellEnd"/>
      <w:r w:rsidRPr="00F064CA">
        <w:rPr>
          <w:rFonts w:eastAsia="Times New Roman"/>
          <w:color w:val="000000"/>
          <w:sz w:val="24"/>
          <w:szCs w:val="24"/>
        </w:rPr>
        <w:t xml:space="preserve"> Plateau ceased in the </w:t>
      </w:r>
      <w:proofErr w:type="spellStart"/>
      <w:r w:rsidRPr="00F064CA">
        <w:rPr>
          <w:rFonts w:eastAsia="Times New Roman"/>
          <w:color w:val="000000"/>
          <w:sz w:val="24"/>
          <w:szCs w:val="24"/>
        </w:rPr>
        <w:t>Hauterivian</w:t>
      </w:r>
      <w:proofErr w:type="spellEnd"/>
      <w:r w:rsidRPr="00F064CA">
        <w:rPr>
          <w:rFonts w:eastAsia="Times New Roman"/>
          <w:color w:val="000000"/>
          <w:sz w:val="24"/>
          <w:szCs w:val="24"/>
        </w:rPr>
        <w:t>, and the area became a passive margin (Gibbons et al., 2012; Longley et al., 2002). In this paper, we focus on the Jurassic-Early Cretaceous, syn-sedimentary normal faults which are generally trending N</w:t>
      </w:r>
      <w:r w:rsidR="00C17EE9" w:rsidRPr="00F064CA">
        <w:rPr>
          <w:rFonts w:eastAsia="Times New Roman"/>
          <w:color w:val="000000"/>
          <w:sz w:val="24"/>
          <w:szCs w:val="24"/>
        </w:rPr>
        <w:t xml:space="preserve">- </w:t>
      </w:r>
      <w:r w:rsidRPr="00F064CA">
        <w:rPr>
          <w:rFonts w:eastAsia="Times New Roman"/>
          <w:color w:val="000000"/>
          <w:sz w:val="24"/>
          <w:szCs w:val="24"/>
        </w:rPr>
        <w:t xml:space="preserve">NE.  </w:t>
      </w:r>
    </w:p>
    <w:p w14:paraId="02C70213" w14:textId="6828B2D5" w:rsidR="005213FE" w:rsidRPr="00F064CA" w:rsidRDefault="00A63B19" w:rsidP="00C17EE9">
      <w:pPr>
        <w:ind w:firstLine="720"/>
        <w:rPr>
          <w:rFonts w:eastAsia="Times New Roman"/>
          <w:sz w:val="24"/>
          <w:szCs w:val="24"/>
        </w:rPr>
      </w:pPr>
      <w:r w:rsidRPr="00F064CA">
        <w:rPr>
          <w:noProof/>
          <w:sz w:val="24"/>
          <w:szCs w:val="24"/>
        </w:rPr>
        <w:lastRenderedPageBreak/>
        <w:drawing>
          <wp:inline distT="0" distB="0" distL="0" distR="0" wp14:anchorId="0E040246" wp14:editId="4AD7F2EC">
            <wp:extent cx="5939790" cy="53035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5303520"/>
                    </a:xfrm>
                    <a:prstGeom prst="rect">
                      <a:avLst/>
                    </a:prstGeom>
                    <a:noFill/>
                    <a:ln>
                      <a:noFill/>
                    </a:ln>
                  </pic:spPr>
                </pic:pic>
              </a:graphicData>
            </a:graphic>
          </wp:inline>
        </w:drawing>
      </w:r>
      <w:r w:rsidRPr="00F064CA">
        <w:rPr>
          <w:color w:val="000000"/>
          <w:sz w:val="24"/>
          <w:szCs w:val="24"/>
        </w:rPr>
        <w:t xml:space="preserve"> </w:t>
      </w:r>
      <w:r w:rsidRPr="00F064CA">
        <w:rPr>
          <w:b/>
          <w:bCs/>
          <w:color w:val="000000"/>
          <w:sz w:val="24"/>
          <w:szCs w:val="24"/>
        </w:rPr>
        <w:t>Figure 2.</w:t>
      </w:r>
      <w:r w:rsidRPr="00F064CA">
        <w:rPr>
          <w:color w:val="000000"/>
          <w:sz w:val="24"/>
          <w:szCs w:val="24"/>
        </w:rPr>
        <w:t xml:space="preserve"> Study area </w:t>
      </w:r>
      <w:r w:rsidRPr="00F064CA">
        <w:rPr>
          <w:b/>
          <w:bCs/>
          <w:color w:val="000000"/>
          <w:sz w:val="24"/>
          <w:szCs w:val="24"/>
        </w:rPr>
        <w:t>a)</w:t>
      </w:r>
      <w:r w:rsidRPr="00F064CA">
        <w:rPr>
          <w:color w:val="000000"/>
          <w:sz w:val="24"/>
          <w:szCs w:val="24"/>
        </w:rPr>
        <w:t xml:space="preserve"> location of the </w:t>
      </w:r>
      <w:proofErr w:type="spellStart"/>
      <w:r w:rsidRPr="00F064CA">
        <w:rPr>
          <w:color w:val="000000"/>
          <w:sz w:val="24"/>
          <w:szCs w:val="24"/>
        </w:rPr>
        <w:t>Exmouth</w:t>
      </w:r>
      <w:proofErr w:type="spellEnd"/>
      <w:r w:rsidRPr="00F064CA">
        <w:rPr>
          <w:color w:val="000000"/>
          <w:sz w:val="24"/>
          <w:szCs w:val="24"/>
        </w:rPr>
        <w:t xml:space="preserve"> Plateau in the North Carnarvon Basin, offshore Australia</w:t>
      </w:r>
      <w:r w:rsidR="00E51121">
        <w:rPr>
          <w:color w:val="000000"/>
          <w:sz w:val="24"/>
          <w:szCs w:val="24"/>
        </w:rPr>
        <w:t>,</w:t>
      </w:r>
      <w:r w:rsidRPr="00F064CA">
        <w:rPr>
          <w:color w:val="000000"/>
          <w:sz w:val="24"/>
          <w:szCs w:val="24"/>
        </w:rPr>
        <w:t xml:space="preserve"> </w:t>
      </w:r>
      <w:r w:rsidRPr="00F064CA">
        <w:rPr>
          <w:b/>
          <w:bCs/>
          <w:color w:val="000000"/>
          <w:sz w:val="24"/>
          <w:szCs w:val="24"/>
        </w:rPr>
        <w:t>b)</w:t>
      </w:r>
      <w:r w:rsidRPr="00F064CA">
        <w:rPr>
          <w:color w:val="000000"/>
          <w:sz w:val="24"/>
          <w:szCs w:val="24"/>
        </w:rPr>
        <w:t xml:space="preserve"> Regional 2D seismic line across the study area, modified from Nugraha et al., (2019).</w:t>
      </w:r>
      <w:r w:rsidRPr="00F064CA">
        <w:rPr>
          <w:rFonts w:eastAsia="Times New Roman"/>
          <w:noProof/>
          <w:color w:val="000000"/>
          <w:sz w:val="24"/>
          <w:szCs w:val="24"/>
        </w:rPr>
        <w:t xml:space="preserve"> </w:t>
      </w:r>
      <w:bookmarkStart w:id="0" w:name="_GoBack"/>
      <w:bookmarkEnd w:id="0"/>
      <w:r w:rsidR="00D47F09">
        <w:rPr>
          <w:rFonts w:eastAsia="Times New Roman"/>
          <w:noProof/>
          <w:color w:val="000000"/>
          <w:sz w:val="24"/>
          <w:szCs w:val="24"/>
        </w:rPr>
        <w:lastRenderedPageBreak/>
        <w:drawing>
          <wp:inline distT="0" distB="0" distL="0" distR="0" wp14:anchorId="49E70FB4" wp14:editId="7C617E0D">
            <wp:extent cx="5943600" cy="59550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955030"/>
                    </a:xfrm>
                    <a:prstGeom prst="rect">
                      <a:avLst/>
                    </a:prstGeom>
                    <a:noFill/>
                    <a:ln>
                      <a:noFill/>
                    </a:ln>
                  </pic:spPr>
                </pic:pic>
              </a:graphicData>
            </a:graphic>
          </wp:inline>
        </w:drawing>
      </w:r>
      <w:r w:rsidRPr="00F064CA">
        <w:rPr>
          <w:rFonts w:ascii="Arial" w:hAnsi="Arial" w:cs="Arial"/>
          <w:color w:val="000000"/>
          <w:sz w:val="24"/>
          <w:szCs w:val="24"/>
        </w:rPr>
        <w:t xml:space="preserve"> </w:t>
      </w:r>
      <w:r w:rsidRPr="00F064CA">
        <w:rPr>
          <w:b/>
          <w:bCs/>
          <w:color w:val="000000"/>
          <w:sz w:val="24"/>
          <w:szCs w:val="24"/>
        </w:rPr>
        <w:t>Figure 3.</w:t>
      </w:r>
      <w:r w:rsidRPr="00F064CA">
        <w:rPr>
          <w:color w:val="000000"/>
          <w:sz w:val="24"/>
          <w:szCs w:val="24"/>
        </w:rPr>
        <w:t xml:space="preserve"> Stratigraphic framework showing the key interpreted seismic horizons, their ages, and the tectonic evolution of the </w:t>
      </w:r>
      <w:proofErr w:type="spellStart"/>
      <w:r w:rsidRPr="00F064CA">
        <w:rPr>
          <w:color w:val="000000"/>
          <w:sz w:val="24"/>
          <w:szCs w:val="24"/>
        </w:rPr>
        <w:t>Exmouth</w:t>
      </w:r>
      <w:proofErr w:type="spellEnd"/>
      <w:r w:rsidRPr="00F064CA">
        <w:rPr>
          <w:color w:val="000000"/>
          <w:sz w:val="24"/>
          <w:szCs w:val="24"/>
        </w:rPr>
        <w:t xml:space="preserve"> Plateau (H=horizon). Ages for H1, H5, H6, and H7 were taken from Marshal and Lang (2013), and H2, H3, and H4 are relative dates assuming constant sedimentation. Information on the tectonostratigraphic framework are from </w:t>
      </w:r>
      <w:proofErr w:type="spellStart"/>
      <w:r w:rsidRPr="00F064CA">
        <w:rPr>
          <w:color w:val="000000"/>
          <w:sz w:val="24"/>
          <w:szCs w:val="24"/>
        </w:rPr>
        <w:t>Bilil</w:t>
      </w:r>
      <w:proofErr w:type="spellEnd"/>
      <w:r w:rsidRPr="00F064CA">
        <w:rPr>
          <w:color w:val="000000"/>
          <w:sz w:val="24"/>
          <w:szCs w:val="24"/>
        </w:rPr>
        <w:t xml:space="preserve"> et al., (2018) and Geoscience Australia.</w:t>
      </w:r>
    </w:p>
    <w:p w14:paraId="25694072" w14:textId="5A0797D3" w:rsidR="00AE53BD" w:rsidRPr="00F064CA" w:rsidRDefault="002F3B11" w:rsidP="002349AD">
      <w:pPr>
        <w:pStyle w:val="Heading-Main"/>
        <w:spacing w:line="480" w:lineRule="auto"/>
        <w:rPr>
          <w:b w:val="0"/>
          <w:bCs w:val="0"/>
          <w:color w:val="000000"/>
        </w:rPr>
      </w:pPr>
      <w:r w:rsidRPr="00F064CA">
        <w:lastRenderedPageBreak/>
        <w:t>3 Data</w:t>
      </w:r>
      <w:r w:rsidR="003B68D6" w:rsidRPr="00F064CA">
        <w:rPr>
          <w:rFonts w:ascii="Arial" w:hAnsi="Arial" w:cs="Arial"/>
          <w:color w:val="000000"/>
        </w:rPr>
        <w:t xml:space="preserve"> </w:t>
      </w:r>
    </w:p>
    <w:p w14:paraId="2760E31B" w14:textId="51DA18D9" w:rsidR="005213FE" w:rsidRPr="00F064CA" w:rsidRDefault="005213FE" w:rsidP="002349AD">
      <w:pPr>
        <w:pStyle w:val="Heading-Secondary"/>
        <w:spacing w:line="480" w:lineRule="auto"/>
        <w:rPr>
          <w:color w:val="000000"/>
        </w:rPr>
      </w:pPr>
      <w:r w:rsidRPr="00F064CA">
        <w:rPr>
          <w:b/>
          <w:bCs w:val="0"/>
        </w:rPr>
        <w:t>3.1</w:t>
      </w:r>
      <w:r w:rsidRPr="00F064CA">
        <w:t xml:space="preserve"> </w:t>
      </w:r>
      <w:r w:rsidRPr="00F064CA">
        <w:rPr>
          <w:b/>
          <w:bCs w:val="0"/>
        </w:rPr>
        <w:t>Data</w:t>
      </w:r>
      <w:r w:rsidRPr="00F064CA">
        <w:rPr>
          <w:color w:val="000000"/>
        </w:rPr>
        <w:t xml:space="preserve"> </w:t>
      </w:r>
    </w:p>
    <w:p w14:paraId="6541240A" w14:textId="0A9152A7" w:rsidR="005213FE" w:rsidRPr="00F064CA" w:rsidRDefault="005213FE" w:rsidP="002349AD">
      <w:pPr>
        <w:pStyle w:val="NormalWeb"/>
        <w:spacing w:line="480" w:lineRule="auto"/>
        <w:ind w:firstLine="720"/>
        <w:rPr>
          <w:rFonts w:eastAsia="Times New Roman"/>
        </w:rPr>
      </w:pPr>
      <w:r w:rsidRPr="00F064CA">
        <w:rPr>
          <w:color w:val="000000"/>
        </w:rPr>
        <w:t>The Glencoe dataset is a 3D time-migrated seismic reflection survey that encompasses approximately 3900 k</w:t>
      </w:r>
      <w:r w:rsidR="00C17EE9" w:rsidRPr="00F064CA">
        <w:rPr>
          <w:color w:val="000000"/>
        </w:rPr>
        <w:t>m</w:t>
      </w:r>
      <w:r w:rsidR="00C17EE9" w:rsidRPr="00F064CA">
        <w:rPr>
          <w:color w:val="000000"/>
          <w:vertAlign w:val="superscript"/>
        </w:rPr>
        <w:t>2</w:t>
      </w:r>
      <w:r w:rsidRPr="00F064CA">
        <w:rPr>
          <w:color w:val="000000"/>
        </w:rPr>
        <w:t xml:space="preserve"> of the Kangaroo syncline in the </w:t>
      </w:r>
      <w:proofErr w:type="spellStart"/>
      <w:r w:rsidRPr="00F064CA">
        <w:rPr>
          <w:color w:val="000000"/>
        </w:rPr>
        <w:t>Exmouth</w:t>
      </w:r>
      <w:proofErr w:type="spellEnd"/>
      <w:r w:rsidRPr="00F064CA">
        <w:rPr>
          <w:color w:val="000000"/>
        </w:rPr>
        <w:t xml:space="preserve"> Plateau</w:t>
      </w:r>
      <w:r w:rsidR="001E5775" w:rsidRPr="00F064CA">
        <w:rPr>
          <w:color w:val="000000"/>
        </w:rPr>
        <w:t xml:space="preserve"> (Figure 4)</w:t>
      </w:r>
      <w:r w:rsidRPr="00F064CA">
        <w:rPr>
          <w:color w:val="000000"/>
        </w:rPr>
        <w:t>. It has a bin spacing of 25 m and a record length of 8 s two-way time (TWT). The vertical and horizontal resolution are approximated by a quarter of the dominant wavelength of the data, yielding c. 6.6 m (λ=26.3</w:t>
      </w:r>
      <w:r w:rsidR="00CC39E1">
        <w:rPr>
          <w:color w:val="000000"/>
        </w:rPr>
        <w:t xml:space="preserve"> m</w:t>
      </w:r>
      <w:r w:rsidRPr="00F064CA">
        <w:rPr>
          <w:color w:val="000000"/>
        </w:rPr>
        <w:t xml:space="preserve">) </w:t>
      </w:r>
      <w:r w:rsidR="00CC39E1">
        <w:rPr>
          <w:color w:val="000000"/>
        </w:rPr>
        <w:t>within the syn-rift sediments</w:t>
      </w:r>
      <w:r w:rsidRPr="00F064CA">
        <w:rPr>
          <w:color w:val="000000"/>
        </w:rPr>
        <w:t xml:space="preserve"> (Brown, 2011). Seismic sections are displayed with normal polarity (SEG European Convention; Brown, 2011), where increase in acoustic impedance is represented by a peak (red), and </w:t>
      </w:r>
      <w:proofErr w:type="gramStart"/>
      <w:r w:rsidRPr="00F064CA">
        <w:rPr>
          <w:color w:val="000000"/>
        </w:rPr>
        <w:t>an</w:t>
      </w:r>
      <w:proofErr w:type="gramEnd"/>
      <w:r w:rsidRPr="00F064CA">
        <w:rPr>
          <w:color w:val="000000"/>
        </w:rPr>
        <w:t xml:space="preserve"> decrease by a trough (black). Seismic </w:t>
      </w:r>
      <w:proofErr w:type="spellStart"/>
      <w:r w:rsidRPr="00F064CA">
        <w:rPr>
          <w:color w:val="000000"/>
        </w:rPr>
        <w:t>inlines</w:t>
      </w:r>
      <w:proofErr w:type="spellEnd"/>
      <w:r w:rsidRPr="00F064CA">
        <w:rPr>
          <w:color w:val="000000"/>
        </w:rPr>
        <w:t xml:space="preserve"> are orientated WNW-ESE</w:t>
      </w:r>
      <w:r w:rsidR="00C17EE9" w:rsidRPr="00F064CA">
        <w:rPr>
          <w:color w:val="000000"/>
        </w:rPr>
        <w:t xml:space="preserve"> and the survey is tied</w:t>
      </w:r>
      <w:r w:rsidRPr="00F064CA">
        <w:rPr>
          <w:color w:val="000000"/>
        </w:rPr>
        <w:t xml:space="preserve"> to four wells (Glencoe-1, Nimblefoot-1, Warrior-1, and Breseis-1). Well-logs, formation tops, and </w:t>
      </w:r>
      <w:proofErr w:type="spellStart"/>
      <w:r w:rsidRPr="00F064CA">
        <w:rPr>
          <w:color w:val="000000"/>
        </w:rPr>
        <w:t>biostratigraphic</w:t>
      </w:r>
      <w:proofErr w:type="spellEnd"/>
      <w:r w:rsidRPr="00F064CA">
        <w:rPr>
          <w:color w:val="000000"/>
        </w:rPr>
        <w:t xml:space="preserve"> ages were provided with the wells. All seismic and well data are open-access and available from Geoscience Australia</w:t>
      </w:r>
      <w:r w:rsidR="002065FC" w:rsidRPr="00F064CA">
        <w:rPr>
          <w:color w:val="000000"/>
        </w:rPr>
        <w:t>.</w:t>
      </w:r>
    </w:p>
    <w:p w14:paraId="7CEEEBA1" w14:textId="5936764B" w:rsidR="001E5775" w:rsidRPr="00F064CA" w:rsidRDefault="005213FE" w:rsidP="002349AD">
      <w:pPr>
        <w:pStyle w:val="NormalWeb"/>
        <w:spacing w:line="480" w:lineRule="auto"/>
        <w:ind w:firstLine="720"/>
        <w:rPr>
          <w:color w:val="000000"/>
        </w:rPr>
      </w:pPr>
      <w:r w:rsidRPr="00F064CA">
        <w:rPr>
          <w:color w:val="000000"/>
        </w:rPr>
        <w:t xml:space="preserve">We have mapped seven regionally extensive seismic horizons (H1-7); H1, H6, and H7 are age-constrained well-tied horizons </w:t>
      </w:r>
      <w:r w:rsidR="009579C5">
        <w:rPr>
          <w:color w:val="000000"/>
        </w:rPr>
        <w:t xml:space="preserve">with ages from </w:t>
      </w:r>
      <w:r w:rsidRPr="00F064CA">
        <w:rPr>
          <w:color w:val="000000"/>
        </w:rPr>
        <w:t>well report</w:t>
      </w:r>
      <w:r w:rsidR="009579C5">
        <w:rPr>
          <w:color w:val="000000"/>
        </w:rPr>
        <w:t>s</w:t>
      </w:r>
      <w:r w:rsidRPr="00F064CA">
        <w:rPr>
          <w:color w:val="000000"/>
        </w:rPr>
        <w:t xml:space="preserve">, as well as ages obtained by Marshall &amp; Lang (2013) using biostratigraphy from 1500 wells around the North Carnarvon Basin (Figure 3). We lack direct age-constraints for H2-5, thus we estimated their ages by assuming a constant sedimentation rate between horizons of known ages (Figure 3). We also locally picked additional horizons within the syn-sedimentary deposits (e.g. H5.5) that are not continuous across the entire dataset; we estimated their ages based on an assumption of constant sedimentation rates between overlying and underlying, age-constrained horizons. We mapped and analyzed seven faults of varying sizes (8.8-42 km long, with 165-680 m of throw) to show </w:t>
      </w:r>
      <w:r w:rsidRPr="00F064CA">
        <w:rPr>
          <w:color w:val="000000"/>
        </w:rPr>
        <w:lastRenderedPageBreak/>
        <w:t>how faults of different sizes grow in the area, and to see if the styles of fault growth are scale</w:t>
      </w:r>
      <w:r w:rsidR="001E5775" w:rsidRPr="00F064CA">
        <w:rPr>
          <w:color w:val="000000"/>
        </w:rPr>
        <w:t xml:space="preserve"> </w:t>
      </w:r>
      <w:r w:rsidRPr="00F064CA">
        <w:rPr>
          <w:color w:val="000000"/>
        </w:rPr>
        <w:t>dependent (see Figure 5 for fault locations).</w:t>
      </w:r>
    </w:p>
    <w:p w14:paraId="05C16A3A" w14:textId="0A32C80A" w:rsidR="001E5775" w:rsidRPr="00F064CA" w:rsidRDefault="008D519D" w:rsidP="002349AD">
      <w:pPr>
        <w:pStyle w:val="Abstract"/>
        <w:spacing w:line="480" w:lineRule="auto"/>
      </w:pPr>
      <w:r w:rsidRPr="00F064CA">
        <w:rPr>
          <w:noProof/>
        </w:rPr>
        <w:drawing>
          <wp:inline distT="0" distB="0" distL="0" distR="0" wp14:anchorId="50528CBC" wp14:editId="09EDEBA8">
            <wp:extent cx="5935980" cy="654177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980" cy="6541770"/>
                    </a:xfrm>
                    <a:prstGeom prst="rect">
                      <a:avLst/>
                    </a:prstGeom>
                    <a:noFill/>
                    <a:ln>
                      <a:noFill/>
                    </a:ln>
                  </pic:spPr>
                </pic:pic>
              </a:graphicData>
            </a:graphic>
          </wp:inline>
        </w:drawing>
      </w:r>
    </w:p>
    <w:p w14:paraId="670B4368" w14:textId="7E5AE725" w:rsidR="00AE53BD" w:rsidRPr="00F064CA" w:rsidRDefault="001E5775" w:rsidP="00C17EE9">
      <w:pPr>
        <w:pStyle w:val="Abstract"/>
        <w:rPr>
          <w:color w:val="000000"/>
        </w:rPr>
      </w:pPr>
      <w:r w:rsidRPr="00F064CA">
        <w:rPr>
          <w:b/>
          <w:bCs/>
          <w:color w:val="000000"/>
        </w:rPr>
        <w:t>Figure 4.</w:t>
      </w:r>
      <w:r w:rsidRPr="00F064CA">
        <w:rPr>
          <w:color w:val="000000"/>
        </w:rPr>
        <w:t xml:space="preserve"> Representative seismic line in TWT across the central section of the 3D dataset, along strike of the studied faults. Data is show with and without interpretation.</w:t>
      </w:r>
    </w:p>
    <w:p w14:paraId="0062711A" w14:textId="61A4201D" w:rsidR="0054095A" w:rsidRPr="00F064CA" w:rsidRDefault="0054095A" w:rsidP="002349AD">
      <w:pPr>
        <w:pStyle w:val="Abstract"/>
        <w:spacing w:line="480" w:lineRule="auto"/>
      </w:pPr>
      <w:r w:rsidRPr="00F064CA">
        <w:rPr>
          <w:noProof/>
          <w:color w:val="000000"/>
        </w:rPr>
        <w:lastRenderedPageBreak/>
        <w:drawing>
          <wp:inline distT="0" distB="0" distL="0" distR="0" wp14:anchorId="48898479" wp14:editId="7ED4CF10">
            <wp:extent cx="5939790" cy="586359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5863590"/>
                    </a:xfrm>
                    <a:prstGeom prst="rect">
                      <a:avLst/>
                    </a:prstGeom>
                    <a:noFill/>
                    <a:ln>
                      <a:noFill/>
                    </a:ln>
                  </pic:spPr>
                </pic:pic>
              </a:graphicData>
            </a:graphic>
          </wp:inline>
        </w:drawing>
      </w:r>
    </w:p>
    <w:p w14:paraId="7070D285" w14:textId="126FA200" w:rsidR="0054095A" w:rsidRPr="00F064CA" w:rsidRDefault="0054095A" w:rsidP="00C17EE9">
      <w:pPr>
        <w:pStyle w:val="Abstract"/>
      </w:pPr>
      <w:r w:rsidRPr="00F064CA">
        <w:rPr>
          <w:b/>
          <w:bCs/>
          <w:color w:val="000000"/>
        </w:rPr>
        <w:t>Figure 5.</w:t>
      </w:r>
      <w:r w:rsidRPr="00F064CA">
        <w:rPr>
          <w:color w:val="000000"/>
        </w:rPr>
        <w:t xml:space="preserve"> Representative isochrons of the study area with interpreted major and minor faults</w:t>
      </w:r>
      <w:r w:rsidR="00C17EE9" w:rsidRPr="00F064CA">
        <w:rPr>
          <w:color w:val="000000"/>
        </w:rPr>
        <w:t xml:space="preserve"> labeled</w:t>
      </w:r>
      <w:r w:rsidRPr="00F064CA">
        <w:rPr>
          <w:color w:val="000000"/>
        </w:rPr>
        <w:t xml:space="preserve">. </w:t>
      </w:r>
      <w:r w:rsidRPr="00F064CA">
        <w:rPr>
          <w:b/>
          <w:bCs/>
          <w:color w:val="000000"/>
        </w:rPr>
        <w:t>a)</w:t>
      </w:r>
      <w:r w:rsidRPr="00F064CA">
        <w:rPr>
          <w:color w:val="000000"/>
        </w:rPr>
        <w:t xml:space="preserve"> Seismic Unit 1: Horizon 1-2, 209.5-196 ma, </w:t>
      </w:r>
      <w:r w:rsidRPr="00F064CA">
        <w:rPr>
          <w:b/>
          <w:bCs/>
          <w:color w:val="000000"/>
        </w:rPr>
        <w:t>b)</w:t>
      </w:r>
      <w:r w:rsidRPr="00F064CA">
        <w:rPr>
          <w:color w:val="000000"/>
        </w:rPr>
        <w:t xml:space="preserve"> Seismic Unit 2: Horizon 2-5, 196-162.5</w:t>
      </w:r>
      <w:r w:rsidR="00C17EE9" w:rsidRPr="00F064CA">
        <w:rPr>
          <w:color w:val="000000"/>
        </w:rPr>
        <w:t xml:space="preserve"> ma</w:t>
      </w:r>
      <w:r w:rsidRPr="00F064CA">
        <w:rPr>
          <w:color w:val="000000"/>
        </w:rPr>
        <w:t xml:space="preserve">, </w:t>
      </w:r>
      <w:r w:rsidRPr="00F064CA">
        <w:rPr>
          <w:b/>
          <w:bCs/>
          <w:color w:val="000000"/>
        </w:rPr>
        <w:t>c)</w:t>
      </w:r>
      <w:r w:rsidRPr="00F064CA">
        <w:rPr>
          <w:color w:val="000000"/>
        </w:rPr>
        <w:t xml:space="preserve"> Seismic Unit 3, Horizon 5-6. 162.5-142.3</w:t>
      </w:r>
      <w:r w:rsidR="00C17EE9" w:rsidRPr="00F064CA">
        <w:rPr>
          <w:color w:val="000000"/>
        </w:rPr>
        <w:t xml:space="preserve"> </w:t>
      </w:r>
      <w:proofErr w:type="gramStart"/>
      <w:r w:rsidR="00C17EE9" w:rsidRPr="00F064CA">
        <w:rPr>
          <w:color w:val="000000"/>
        </w:rPr>
        <w:t xml:space="preserve">ma </w:t>
      </w:r>
      <w:r w:rsidRPr="00F064CA">
        <w:rPr>
          <w:color w:val="000000"/>
        </w:rPr>
        <w:t>,</w:t>
      </w:r>
      <w:proofErr w:type="gramEnd"/>
      <w:r w:rsidRPr="00F064CA">
        <w:rPr>
          <w:color w:val="000000"/>
        </w:rPr>
        <w:t xml:space="preserve"> </w:t>
      </w:r>
      <w:r w:rsidRPr="00F064CA">
        <w:rPr>
          <w:b/>
          <w:bCs/>
          <w:color w:val="000000"/>
        </w:rPr>
        <w:t>d)</w:t>
      </w:r>
      <w:r w:rsidRPr="00F064CA">
        <w:rPr>
          <w:color w:val="000000"/>
        </w:rPr>
        <w:t xml:space="preserve"> Seismic Unit 4, horizon 6-7. 142.3-137.7</w:t>
      </w:r>
      <w:r w:rsidR="00C17EE9" w:rsidRPr="00F064CA">
        <w:rPr>
          <w:color w:val="000000"/>
        </w:rPr>
        <w:t xml:space="preserve"> ma</w:t>
      </w:r>
      <w:r w:rsidR="00F064CA" w:rsidRPr="00F064CA">
        <w:rPr>
          <w:color w:val="000000"/>
        </w:rPr>
        <w:t>.</w:t>
      </w:r>
    </w:p>
    <w:p w14:paraId="411BBC3D" w14:textId="77777777" w:rsidR="005213FE" w:rsidRPr="00F064CA" w:rsidRDefault="005213FE" w:rsidP="002349AD">
      <w:pPr>
        <w:pStyle w:val="Heading-Secondary"/>
        <w:spacing w:line="480" w:lineRule="auto"/>
        <w:rPr>
          <w:b/>
          <w:bCs w:val="0"/>
        </w:rPr>
      </w:pPr>
      <w:r w:rsidRPr="00F064CA">
        <w:rPr>
          <w:b/>
          <w:bCs w:val="0"/>
        </w:rPr>
        <w:t xml:space="preserve">3.2 Methodology </w:t>
      </w:r>
    </w:p>
    <w:p w14:paraId="3266CCDC" w14:textId="730D7683" w:rsidR="005213FE" w:rsidRPr="00F064CA" w:rsidRDefault="005213FE" w:rsidP="00C17EE9">
      <w:pPr>
        <w:pStyle w:val="NormalWeb"/>
        <w:spacing w:line="480" w:lineRule="auto"/>
        <w:ind w:firstLine="720"/>
        <w:rPr>
          <w:rFonts w:eastAsia="Times New Roman"/>
        </w:rPr>
      </w:pPr>
      <w:r w:rsidRPr="00F064CA">
        <w:rPr>
          <w:rFonts w:eastAsia="Times New Roman"/>
          <w:color w:val="000000"/>
        </w:rPr>
        <w:t xml:space="preserve">In this study we used four different methods to quantify fault growth: isochron analysis, throw backstripping, and expansion index (EI) analysis (see review by Jackson et al. 2017). First, </w:t>
      </w:r>
      <w:r w:rsidRPr="00F064CA">
        <w:rPr>
          <w:rFonts w:eastAsia="Times New Roman"/>
          <w:color w:val="000000"/>
        </w:rPr>
        <w:lastRenderedPageBreak/>
        <w:t>we created time-thickness (isochron) maps of key stratigraphic intervals, which illustrate variations in sediment thickness. This highlights across-fault hanging wall thickening, which can reveal the growth history of a fault</w:t>
      </w:r>
      <w:r w:rsidR="00C17EE9" w:rsidRPr="00F064CA">
        <w:rPr>
          <w:rFonts w:eastAsia="Times New Roman"/>
          <w:color w:val="000000"/>
        </w:rPr>
        <w:t xml:space="preserve"> </w:t>
      </w:r>
      <w:r w:rsidRPr="00F064CA">
        <w:rPr>
          <w:rFonts w:eastAsia="Times New Roman"/>
          <w:color w:val="000000"/>
        </w:rPr>
        <w:t>(e.g. Jackson &amp; Rotevatn, 2013). Isochron analysis was done first in order to establish the general style of fault growth (i.e. a propagating, constant-length, or hybrid fault growth model), and then we conducted throw backstripping to be able to see exact fault throw and length through time in the faults life</w:t>
      </w:r>
      <w:r w:rsidR="00CC39E1">
        <w:rPr>
          <w:rFonts w:eastAsia="Times New Roman"/>
          <w:color w:val="000000"/>
        </w:rPr>
        <w:t xml:space="preserve"> (Jackson et al., 2017)</w:t>
      </w:r>
      <w:r w:rsidRPr="00F064CA">
        <w:rPr>
          <w:rFonts w:eastAsia="Times New Roman"/>
          <w:color w:val="000000"/>
        </w:rPr>
        <w:t xml:space="preserve">. To begin throw </w:t>
      </w:r>
      <w:proofErr w:type="spellStart"/>
      <w:r w:rsidRPr="00F064CA">
        <w:rPr>
          <w:rFonts w:eastAsia="Times New Roman"/>
          <w:color w:val="000000"/>
        </w:rPr>
        <w:t>backsripping</w:t>
      </w:r>
      <w:proofErr w:type="spellEnd"/>
      <w:r w:rsidRPr="00F064CA">
        <w:rPr>
          <w:rFonts w:eastAsia="Times New Roman"/>
          <w:color w:val="000000"/>
        </w:rPr>
        <w:t>, we created throw-length (T-x) plots by picking the hang</w:t>
      </w:r>
      <w:r w:rsidR="00CC39E1">
        <w:rPr>
          <w:rFonts w:eastAsia="Times New Roman"/>
          <w:color w:val="000000"/>
        </w:rPr>
        <w:t>ing</w:t>
      </w:r>
      <w:r w:rsidRPr="00F064CA">
        <w:rPr>
          <w:rFonts w:eastAsia="Times New Roman"/>
          <w:color w:val="000000"/>
        </w:rPr>
        <w:t xml:space="preserve"> wall and footwall cutoffs for every chosen horizon across the length of the faults</w:t>
      </w:r>
      <w:r w:rsidR="00022590">
        <w:rPr>
          <w:rFonts w:eastAsia="Times New Roman"/>
          <w:color w:val="000000"/>
        </w:rPr>
        <w:t xml:space="preserve"> (</w:t>
      </w:r>
      <w:r w:rsidR="005C5486">
        <w:rPr>
          <w:rFonts w:eastAsia="Times New Roman"/>
          <w:color w:val="000000"/>
        </w:rPr>
        <w:t>appendix</w:t>
      </w:r>
      <w:r w:rsidR="00022590">
        <w:rPr>
          <w:rFonts w:eastAsia="Times New Roman"/>
          <w:color w:val="000000"/>
        </w:rPr>
        <w:t xml:space="preserve"> figures 1-</w:t>
      </w:r>
      <w:r w:rsidR="005C5486">
        <w:rPr>
          <w:rFonts w:eastAsia="Times New Roman"/>
          <w:color w:val="000000"/>
        </w:rPr>
        <w:t>3</w:t>
      </w:r>
      <w:r w:rsidR="00022590">
        <w:rPr>
          <w:rFonts w:eastAsia="Times New Roman"/>
          <w:color w:val="000000"/>
        </w:rPr>
        <w:t>)</w:t>
      </w:r>
      <w:r w:rsidRPr="00F064CA">
        <w:rPr>
          <w:rFonts w:eastAsia="Times New Roman"/>
          <w:color w:val="000000"/>
        </w:rPr>
        <w:t>. In the case of folding or erosion</w:t>
      </w:r>
      <w:r w:rsidR="009579C5">
        <w:rPr>
          <w:rFonts w:eastAsia="Times New Roman"/>
          <w:color w:val="000000"/>
        </w:rPr>
        <w:t xml:space="preserve"> (Figure 4)</w:t>
      </w:r>
      <w:r w:rsidRPr="00F064CA">
        <w:rPr>
          <w:rFonts w:eastAsia="Times New Roman"/>
          <w:color w:val="000000"/>
        </w:rPr>
        <w:t xml:space="preserve">, horizons used to calculate throw were projected across the fold or eroded fault scarp (e.g. Wilson et al., 2013). Throw backstripping involves subtracting the throw of a shallower horizon directly from the throw of a deeper horizon at the same along-strike position, with this being repeated for successively deeper horizons (Chapman &amp; </w:t>
      </w:r>
      <w:proofErr w:type="spellStart"/>
      <w:r w:rsidRPr="00F064CA">
        <w:rPr>
          <w:rFonts w:eastAsia="Times New Roman"/>
          <w:color w:val="000000"/>
        </w:rPr>
        <w:t>Meneilly</w:t>
      </w:r>
      <w:proofErr w:type="spellEnd"/>
      <w:r w:rsidRPr="00F064CA">
        <w:rPr>
          <w:rFonts w:eastAsia="Times New Roman"/>
          <w:color w:val="000000"/>
        </w:rPr>
        <w:t xml:space="preserve">, 1991; Peterson et al., 1992). We opted to use the “original method” of throw backstripping, where throw across different horizons is simply subtracted, as we did not want to make any assumptions about the style of fault growth (see Jackson et al., 2017 for more details on fault displacement backstripping methods). Finally, we used EI analysis to measure variations in </w:t>
      </w:r>
      <w:proofErr w:type="spellStart"/>
      <w:r w:rsidRPr="00F064CA">
        <w:rPr>
          <w:rFonts w:eastAsia="Times New Roman"/>
          <w:color w:val="000000"/>
        </w:rPr>
        <w:t>stratal</w:t>
      </w:r>
      <w:proofErr w:type="spellEnd"/>
      <w:r w:rsidRPr="00F064CA">
        <w:rPr>
          <w:rFonts w:eastAsia="Times New Roman"/>
          <w:color w:val="000000"/>
        </w:rPr>
        <w:t xml:space="preserve"> thickness across the fault by dividing the thickness of hanging wall </w:t>
      </w:r>
      <w:proofErr w:type="spellStart"/>
      <w:r w:rsidRPr="00F064CA">
        <w:rPr>
          <w:rFonts w:eastAsia="Times New Roman"/>
          <w:color w:val="000000"/>
        </w:rPr>
        <w:t>stratal</w:t>
      </w:r>
      <w:proofErr w:type="spellEnd"/>
      <w:r w:rsidRPr="00F064CA">
        <w:rPr>
          <w:rFonts w:eastAsia="Times New Roman"/>
          <w:color w:val="000000"/>
        </w:rPr>
        <w:t xml:space="preserve"> unit by that of the equivalent unit in the footwall (</w:t>
      </w:r>
      <w:proofErr w:type="spellStart"/>
      <w:r w:rsidRPr="00F064CA">
        <w:rPr>
          <w:rFonts w:eastAsia="Times New Roman"/>
          <w:color w:val="000000"/>
        </w:rPr>
        <w:t>Bouroullec</w:t>
      </w:r>
      <w:proofErr w:type="spellEnd"/>
      <w:r w:rsidRPr="00F064CA">
        <w:rPr>
          <w:rFonts w:eastAsia="Times New Roman"/>
          <w:color w:val="000000"/>
        </w:rPr>
        <w:t xml:space="preserve"> et al., 2004; Cartwright et al., 1998; Jackson et al., 2017; Thorsen, 1963)</w:t>
      </w:r>
      <w:r w:rsidR="00022590">
        <w:rPr>
          <w:rFonts w:eastAsia="Times New Roman"/>
          <w:color w:val="000000"/>
        </w:rPr>
        <w:t xml:space="preserve"> (See </w:t>
      </w:r>
      <w:r w:rsidR="005C5486">
        <w:rPr>
          <w:rFonts w:eastAsia="Times New Roman"/>
          <w:color w:val="000000"/>
        </w:rPr>
        <w:t>appendix</w:t>
      </w:r>
      <w:r w:rsidR="00022590">
        <w:rPr>
          <w:rFonts w:eastAsia="Times New Roman"/>
          <w:color w:val="000000"/>
        </w:rPr>
        <w:t xml:space="preserve"> figure 4)</w:t>
      </w:r>
      <w:r w:rsidRPr="00F064CA">
        <w:rPr>
          <w:rFonts w:eastAsia="Times New Roman"/>
          <w:color w:val="000000"/>
        </w:rPr>
        <w:t>. This technique shows the formation and growth of depocenters, and therefore how the faults lengthened (Jackson &amp; Rotevatn, 2013). </w:t>
      </w:r>
    </w:p>
    <w:p w14:paraId="2CCDD483" w14:textId="1C4D176E" w:rsidR="005213FE" w:rsidRPr="00F064CA" w:rsidRDefault="005213FE" w:rsidP="002349AD">
      <w:pPr>
        <w:spacing w:line="480" w:lineRule="auto"/>
        <w:ind w:firstLine="720"/>
        <w:rPr>
          <w:rFonts w:eastAsia="Times New Roman"/>
          <w:sz w:val="24"/>
          <w:szCs w:val="24"/>
        </w:rPr>
      </w:pPr>
      <w:r w:rsidRPr="00F064CA">
        <w:rPr>
          <w:rFonts w:eastAsia="Times New Roman"/>
          <w:color w:val="000000"/>
          <w:sz w:val="24"/>
          <w:szCs w:val="24"/>
        </w:rPr>
        <w:t xml:space="preserve">We also calculated vertical throw gradients by dividing the change in throw by the change in depth of the </w:t>
      </w:r>
      <w:r w:rsidR="00022590">
        <w:rPr>
          <w:rFonts w:eastAsia="Times New Roman"/>
          <w:color w:val="000000"/>
          <w:sz w:val="24"/>
          <w:szCs w:val="24"/>
        </w:rPr>
        <w:t>shallowest</w:t>
      </w:r>
      <w:r w:rsidRPr="00F064CA">
        <w:rPr>
          <w:rFonts w:eastAsia="Times New Roman"/>
          <w:color w:val="000000"/>
          <w:sz w:val="24"/>
          <w:szCs w:val="24"/>
        </w:rPr>
        <w:t xml:space="preserve"> two horizons offset across the fault. We calculated upper-tip throw gradients in order to demonstrate that the top of the fault was interacting with the free </w:t>
      </w:r>
      <w:r w:rsidRPr="00F064CA">
        <w:rPr>
          <w:rFonts w:eastAsia="Times New Roman"/>
          <w:color w:val="000000"/>
          <w:sz w:val="24"/>
          <w:szCs w:val="24"/>
        </w:rPr>
        <w:lastRenderedPageBreak/>
        <w:t xml:space="preserve">surface rather than acting as a blind fault; this is important when trying to understand if faults experienced real tip-line retreat or not (Childs et al., 2003; Walsh &amp; Watterson, 1988). Finally, we calculated fault slip rates by dividing displacement for a </w:t>
      </w:r>
      <w:proofErr w:type="gramStart"/>
      <w:r w:rsidRPr="00F064CA">
        <w:rPr>
          <w:rFonts w:eastAsia="Times New Roman"/>
          <w:color w:val="000000"/>
          <w:sz w:val="24"/>
          <w:szCs w:val="24"/>
        </w:rPr>
        <w:t>particular time</w:t>
      </w:r>
      <w:proofErr w:type="gramEnd"/>
      <w:r w:rsidRPr="00F064CA">
        <w:rPr>
          <w:rFonts w:eastAsia="Times New Roman"/>
          <w:color w:val="000000"/>
          <w:sz w:val="24"/>
          <w:szCs w:val="24"/>
        </w:rPr>
        <w:t xml:space="preserve"> period by the duration of that time period; this was done in order to investigate whether slip rates varied between the different stages of fault growth.</w:t>
      </w:r>
    </w:p>
    <w:p w14:paraId="6F5E6F18" w14:textId="126A0001" w:rsidR="005213FE" w:rsidRPr="00F064CA" w:rsidRDefault="005213FE" w:rsidP="002349AD">
      <w:pPr>
        <w:spacing w:line="480" w:lineRule="auto"/>
        <w:ind w:firstLine="720"/>
        <w:rPr>
          <w:rFonts w:eastAsia="Times New Roman"/>
          <w:sz w:val="24"/>
          <w:szCs w:val="24"/>
        </w:rPr>
      </w:pPr>
      <w:r w:rsidRPr="00F064CA">
        <w:rPr>
          <w:rFonts w:eastAsia="Times New Roman"/>
          <w:color w:val="000000"/>
          <w:sz w:val="24"/>
          <w:szCs w:val="24"/>
        </w:rPr>
        <w:t>Since the basin was sediment-starved from the Early Jurassic until the Late Jurassic, as evidenced by the fault scarp degradation until the deposition of H5 (</w:t>
      </w:r>
      <w:r w:rsidR="008D519D" w:rsidRPr="00F064CA">
        <w:rPr>
          <w:rFonts w:eastAsia="Times New Roman"/>
          <w:color w:val="000000"/>
          <w:sz w:val="24"/>
          <w:szCs w:val="24"/>
        </w:rPr>
        <w:t xml:space="preserve">Figures 4, </w:t>
      </w:r>
      <w:r w:rsidRPr="00F064CA">
        <w:rPr>
          <w:rFonts w:eastAsia="Times New Roman"/>
          <w:color w:val="000000"/>
          <w:sz w:val="24"/>
          <w:szCs w:val="24"/>
        </w:rPr>
        <w:t>6a</w:t>
      </w:r>
      <w:r w:rsidR="008D519D" w:rsidRPr="00F064CA">
        <w:rPr>
          <w:rFonts w:eastAsia="Times New Roman"/>
          <w:color w:val="000000"/>
          <w:sz w:val="24"/>
          <w:szCs w:val="24"/>
        </w:rPr>
        <w:t>,</w:t>
      </w:r>
      <w:r w:rsidRPr="00F064CA">
        <w:rPr>
          <w:rFonts w:eastAsia="Times New Roman"/>
          <w:color w:val="000000"/>
          <w:sz w:val="24"/>
          <w:szCs w:val="24"/>
        </w:rPr>
        <w:t xml:space="preserve"> and 8a), our fault lengthening calculations are upper limit estimations. For example, if active faulting created hanging wall accommodation but the basin was sediment starved, this accommodation would have remained unfilled. Thus, what looks like tip propagation could just be prolonged filling of the hanging wall of an inactive normal fault (see Jackson et al., 2017). It is therefore possible that the faults reached their maximum lengths even quicker than what we estimate. </w:t>
      </w:r>
    </w:p>
    <w:p w14:paraId="1CE447DF" w14:textId="767D7E13" w:rsidR="005213FE" w:rsidRPr="00F064CA" w:rsidRDefault="005213FE" w:rsidP="002349AD">
      <w:pPr>
        <w:spacing w:line="480" w:lineRule="auto"/>
        <w:ind w:firstLine="720"/>
        <w:rPr>
          <w:rFonts w:eastAsia="Times New Roman"/>
          <w:sz w:val="24"/>
          <w:szCs w:val="24"/>
        </w:rPr>
      </w:pPr>
      <w:r w:rsidRPr="00F064CA">
        <w:rPr>
          <w:rFonts w:eastAsia="Times New Roman"/>
          <w:color w:val="000000"/>
          <w:sz w:val="24"/>
          <w:szCs w:val="24"/>
        </w:rPr>
        <w:t xml:space="preserve">We use </w:t>
      </w:r>
      <w:proofErr w:type="spellStart"/>
      <w:r w:rsidRPr="00F064CA">
        <w:rPr>
          <w:rFonts w:eastAsia="Times New Roman"/>
          <w:color w:val="000000"/>
          <w:sz w:val="24"/>
          <w:szCs w:val="24"/>
        </w:rPr>
        <w:t>checkshot</w:t>
      </w:r>
      <w:proofErr w:type="spellEnd"/>
      <w:r w:rsidRPr="00F064CA">
        <w:rPr>
          <w:rFonts w:eastAsia="Times New Roman"/>
          <w:color w:val="000000"/>
          <w:sz w:val="24"/>
          <w:szCs w:val="24"/>
        </w:rPr>
        <w:t xml:space="preserve"> (velocity) data from our four wells to convert throw values from milliseconds two-way time (</w:t>
      </w:r>
      <w:proofErr w:type="spellStart"/>
      <w:r w:rsidRPr="00F064CA">
        <w:rPr>
          <w:rFonts w:eastAsia="Times New Roman"/>
          <w:color w:val="000000"/>
          <w:sz w:val="24"/>
          <w:szCs w:val="24"/>
        </w:rPr>
        <w:t>ms</w:t>
      </w:r>
      <w:proofErr w:type="spellEnd"/>
      <w:r w:rsidRPr="00F064CA">
        <w:rPr>
          <w:rFonts w:eastAsia="Times New Roman"/>
          <w:color w:val="000000"/>
          <w:sz w:val="24"/>
          <w:szCs w:val="24"/>
        </w:rPr>
        <w:t xml:space="preserve"> TWT) to depth (m)</w:t>
      </w:r>
      <w:r w:rsidR="00022590">
        <w:rPr>
          <w:rFonts w:eastAsia="Times New Roman"/>
          <w:color w:val="000000"/>
          <w:sz w:val="24"/>
          <w:szCs w:val="24"/>
        </w:rPr>
        <w:t xml:space="preserve"> (see </w:t>
      </w:r>
      <w:r w:rsidR="005C5486">
        <w:rPr>
          <w:rFonts w:eastAsia="Times New Roman"/>
          <w:color w:val="000000"/>
          <w:sz w:val="24"/>
          <w:szCs w:val="24"/>
        </w:rPr>
        <w:t>appendix</w:t>
      </w:r>
      <w:r w:rsidR="00022590">
        <w:rPr>
          <w:rFonts w:eastAsia="Times New Roman"/>
          <w:color w:val="000000"/>
          <w:sz w:val="24"/>
          <w:szCs w:val="24"/>
        </w:rPr>
        <w:t xml:space="preserve"> figure 5)</w:t>
      </w:r>
      <w:r w:rsidRPr="00F064CA">
        <w:rPr>
          <w:rFonts w:eastAsia="Times New Roman"/>
          <w:color w:val="000000"/>
          <w:sz w:val="24"/>
          <w:szCs w:val="24"/>
        </w:rPr>
        <w:t xml:space="preserve">. Throw values are presented in </w:t>
      </w:r>
      <w:proofErr w:type="spellStart"/>
      <w:r w:rsidRPr="00F064CA">
        <w:rPr>
          <w:rFonts w:eastAsia="Times New Roman"/>
          <w:color w:val="000000"/>
          <w:sz w:val="24"/>
          <w:szCs w:val="24"/>
        </w:rPr>
        <w:t>metres</w:t>
      </w:r>
      <w:proofErr w:type="spellEnd"/>
      <w:r w:rsidRPr="00F064CA">
        <w:rPr>
          <w:rFonts w:eastAsia="Times New Roman"/>
          <w:color w:val="000000"/>
          <w:sz w:val="24"/>
          <w:szCs w:val="24"/>
        </w:rPr>
        <w:t>. Burial-related compaction of sedimentary rocks can result in throw calculations being underestimated, especially when rocks have a high shale content or are deeply buried (&gt;2 km; see Taylor et al., 2008). Decompaction typically decreases throw estimates by &lt;20% (Taylor et al., 2008), so we here give all throw and slip rate values an error to account for maximum of 20% decompaction.</w:t>
      </w:r>
    </w:p>
    <w:p w14:paraId="32B63161" w14:textId="6B6E933A" w:rsidR="00B15511" w:rsidRPr="00F064CA" w:rsidRDefault="002F3B11" w:rsidP="002349AD">
      <w:pPr>
        <w:pStyle w:val="Heading-Main"/>
        <w:spacing w:line="480" w:lineRule="auto"/>
      </w:pPr>
      <w:r w:rsidRPr="00F064CA">
        <w:t>4 Results</w:t>
      </w:r>
      <w:r w:rsidR="0062338A" w:rsidRPr="00F064CA">
        <w:t xml:space="preserve"> </w:t>
      </w:r>
    </w:p>
    <w:p w14:paraId="6EB77176" w14:textId="4D99CB65" w:rsidR="002F3B11" w:rsidRPr="00F064CA" w:rsidRDefault="00B15511" w:rsidP="002349AD">
      <w:pPr>
        <w:pStyle w:val="Affiliation"/>
        <w:spacing w:line="480" w:lineRule="auto"/>
      </w:pPr>
      <w:r w:rsidRPr="00F064CA">
        <w:tab/>
      </w:r>
      <w:r w:rsidR="0062338A" w:rsidRPr="00F064CA">
        <w:t>We have completed a comprehensive geometric and kinematic analysis of seven faults of various sizes (</w:t>
      </w:r>
      <w:r w:rsidR="005C5486">
        <w:t>appendix figures 1-4</w:t>
      </w:r>
      <w:r w:rsidR="0062338A" w:rsidRPr="00F064CA">
        <w:t xml:space="preserve">). We first provide a detailed description of the geometry of three faults (and their related growth strata) that are representative of the various fault sizes </w:t>
      </w:r>
      <w:r w:rsidR="0062338A" w:rsidRPr="00F064CA">
        <w:lastRenderedPageBreak/>
        <w:t>identified in the study area, before describing their kinematics. Fault 1 (F1) represents the largest studied fault, Fault 2 (F2) represents a mid-sized fault, and Fault 3 (F3) represents the smallest studied fault in the dataset.</w:t>
      </w:r>
      <w:r w:rsidR="00022590">
        <w:t xml:space="preserve"> We then present and discuss the results for </w:t>
      </w:r>
      <w:proofErr w:type="gramStart"/>
      <w:r w:rsidR="00022590">
        <w:t>all of</w:t>
      </w:r>
      <w:proofErr w:type="gramEnd"/>
      <w:r w:rsidR="00022590">
        <w:t xml:space="preserve"> the studied faults.</w:t>
      </w:r>
    </w:p>
    <w:p w14:paraId="48DFF671" w14:textId="08D809F6" w:rsidR="001F7C8C" w:rsidRPr="00F064CA" w:rsidRDefault="001F7C8C" w:rsidP="002349AD">
      <w:pPr>
        <w:pStyle w:val="Heading-Main"/>
        <w:spacing w:line="480" w:lineRule="auto"/>
      </w:pPr>
      <w:r w:rsidRPr="00F064CA">
        <w:tab/>
        <w:t xml:space="preserve">4.1 Fault 1 </w:t>
      </w:r>
    </w:p>
    <w:p w14:paraId="0E359C18" w14:textId="1F2FD3AB" w:rsidR="001F7C8C" w:rsidRPr="00F064CA" w:rsidRDefault="001F7C8C" w:rsidP="002349AD">
      <w:pPr>
        <w:pStyle w:val="Heading-Secondary"/>
        <w:spacing w:line="480" w:lineRule="auto"/>
        <w:rPr>
          <w:b/>
          <w:bCs w:val="0"/>
        </w:rPr>
      </w:pPr>
      <w:r w:rsidRPr="00F064CA">
        <w:rPr>
          <w:b/>
          <w:bCs w:val="0"/>
        </w:rPr>
        <w:t>4.1.1 Observations:</w:t>
      </w:r>
    </w:p>
    <w:p w14:paraId="39B206A8" w14:textId="5B12D60C" w:rsidR="001F7C8C" w:rsidRPr="00F064CA" w:rsidRDefault="001F7C8C" w:rsidP="002349AD">
      <w:pPr>
        <w:spacing w:line="480" w:lineRule="auto"/>
        <w:ind w:firstLine="720"/>
        <w:rPr>
          <w:rFonts w:eastAsia="Times New Roman"/>
          <w:sz w:val="24"/>
          <w:szCs w:val="24"/>
        </w:rPr>
      </w:pPr>
      <w:r w:rsidRPr="00F064CA">
        <w:rPr>
          <w:rFonts w:eastAsia="Times New Roman"/>
          <w:color w:val="000000"/>
          <w:sz w:val="24"/>
          <w:szCs w:val="24"/>
        </w:rPr>
        <w:t>Fault 1 (F1), the largest fault in the dataset that has both of its tips imaged, it is ~42 km long, strikes N-S, and dips to the E. Based on along-strike changes in strike and throw (</w:t>
      </w:r>
      <w:r w:rsidR="00022590">
        <w:rPr>
          <w:rFonts w:eastAsia="Times New Roman"/>
          <w:color w:val="000000"/>
          <w:sz w:val="24"/>
          <w:szCs w:val="24"/>
        </w:rPr>
        <w:t>Figure 6c</w:t>
      </w:r>
      <w:r w:rsidRPr="00F064CA">
        <w:rPr>
          <w:rFonts w:eastAsia="Times New Roman"/>
          <w:color w:val="000000"/>
          <w:sz w:val="24"/>
          <w:szCs w:val="24"/>
        </w:rPr>
        <w:t>), we split F1 into a 24 km-long northern segment and an ~18 km-long southern segment (Figures 5 and 6). The upper tip-line of F1 is located in Lower Cretaceous strata, where it physically links to a tier of polygonal faults (</w:t>
      </w:r>
      <w:proofErr w:type="spellStart"/>
      <w:r w:rsidRPr="00F064CA">
        <w:rPr>
          <w:rFonts w:eastAsia="Times New Roman"/>
          <w:color w:val="000000"/>
          <w:sz w:val="24"/>
          <w:szCs w:val="24"/>
        </w:rPr>
        <w:t>Velayatham</w:t>
      </w:r>
      <w:proofErr w:type="spellEnd"/>
      <w:r w:rsidRPr="00F064CA">
        <w:rPr>
          <w:rFonts w:eastAsia="Times New Roman"/>
          <w:color w:val="000000"/>
          <w:sz w:val="24"/>
          <w:szCs w:val="24"/>
        </w:rPr>
        <w:t xml:space="preserve"> et al., 2019) (Figure 4), and its lower tip-line is difficult to locate due to poor seismic imaging in the pre-rift, but F1 appears to tip out deep in the study area or into the basement (Figure 4). F1 shows two clear throw maxima; a northern maximum (680 </w:t>
      </w:r>
      <w:proofErr w:type="spellStart"/>
      <w:r w:rsidRPr="00F064CA">
        <w:rPr>
          <w:rFonts w:eastAsia="Times New Roman"/>
          <w:color w:val="000000"/>
          <w:sz w:val="24"/>
          <w:szCs w:val="24"/>
        </w:rPr>
        <w:t>ms</w:t>
      </w:r>
      <w:proofErr w:type="spellEnd"/>
      <w:r w:rsidRPr="00F064CA">
        <w:rPr>
          <w:rFonts w:eastAsia="Times New Roman"/>
          <w:color w:val="000000"/>
          <w:sz w:val="24"/>
          <w:szCs w:val="24"/>
        </w:rPr>
        <w:t xml:space="preserve"> TWT</w:t>
      </w:r>
      <w:r w:rsidRPr="00F064CA">
        <w:rPr>
          <w:rFonts w:eastAsia="Times New Roman"/>
          <w:color w:val="000000"/>
          <w:sz w:val="24"/>
          <w:szCs w:val="24"/>
          <w:vertAlign w:val="superscript"/>
        </w:rPr>
        <w:t xml:space="preserve"> {+136} </w:t>
      </w:r>
      <w:r w:rsidRPr="00F064CA">
        <w:rPr>
          <w:rFonts w:eastAsia="Times New Roman"/>
          <w:color w:val="000000"/>
          <w:sz w:val="24"/>
          <w:szCs w:val="24"/>
        </w:rPr>
        <w:t xml:space="preserve">or 1000 m </w:t>
      </w:r>
      <w:r w:rsidRPr="00F064CA">
        <w:rPr>
          <w:rFonts w:eastAsia="Times New Roman"/>
          <w:color w:val="000000"/>
          <w:sz w:val="24"/>
          <w:szCs w:val="24"/>
          <w:vertAlign w:val="superscript"/>
        </w:rPr>
        <w:t>{+200}</w:t>
      </w:r>
      <w:r w:rsidRPr="00F064CA">
        <w:rPr>
          <w:rFonts w:eastAsia="Times New Roman"/>
          <w:color w:val="000000"/>
          <w:sz w:val="24"/>
          <w:szCs w:val="24"/>
        </w:rPr>
        <w:t xml:space="preserve"> at H1</w:t>
      </w:r>
      <w:r w:rsidR="00365E29">
        <w:rPr>
          <w:rFonts w:eastAsia="Times New Roman"/>
          <w:color w:val="000000"/>
          <w:sz w:val="24"/>
          <w:szCs w:val="24"/>
        </w:rPr>
        <w:t>; error shows possible decompaction</w:t>
      </w:r>
      <w:r w:rsidRPr="00F064CA">
        <w:rPr>
          <w:rFonts w:eastAsia="Times New Roman"/>
          <w:color w:val="000000"/>
          <w:sz w:val="24"/>
          <w:szCs w:val="24"/>
        </w:rPr>
        <w:t xml:space="preserve">) near the </w:t>
      </w:r>
      <w:proofErr w:type="spellStart"/>
      <w:r w:rsidRPr="00F064CA">
        <w:rPr>
          <w:rFonts w:eastAsia="Times New Roman"/>
          <w:color w:val="000000"/>
          <w:sz w:val="24"/>
          <w:szCs w:val="24"/>
        </w:rPr>
        <w:t>centre</w:t>
      </w:r>
      <w:proofErr w:type="spellEnd"/>
      <w:r w:rsidRPr="00F064CA">
        <w:rPr>
          <w:rFonts w:eastAsia="Times New Roman"/>
          <w:color w:val="000000"/>
          <w:sz w:val="24"/>
          <w:szCs w:val="24"/>
        </w:rPr>
        <w:t xml:space="preserve"> of the northern fault segment, and a southern maximum (433 </w:t>
      </w:r>
      <w:proofErr w:type="spellStart"/>
      <w:r w:rsidRPr="00F064CA">
        <w:rPr>
          <w:rFonts w:eastAsia="Times New Roman"/>
          <w:color w:val="000000"/>
          <w:sz w:val="24"/>
          <w:szCs w:val="24"/>
        </w:rPr>
        <w:t>ms</w:t>
      </w:r>
      <w:proofErr w:type="spellEnd"/>
      <w:r w:rsidRPr="00F064CA">
        <w:rPr>
          <w:rFonts w:eastAsia="Times New Roman"/>
          <w:color w:val="000000"/>
          <w:sz w:val="24"/>
          <w:szCs w:val="24"/>
        </w:rPr>
        <w:t xml:space="preserve"> TWT </w:t>
      </w:r>
      <w:r w:rsidRPr="00F064CA">
        <w:rPr>
          <w:rFonts w:eastAsia="Times New Roman"/>
          <w:color w:val="000000"/>
          <w:sz w:val="24"/>
          <w:szCs w:val="24"/>
          <w:vertAlign w:val="superscript"/>
        </w:rPr>
        <w:t>{+87}</w:t>
      </w:r>
      <w:r w:rsidRPr="00F064CA">
        <w:rPr>
          <w:rFonts w:eastAsia="Times New Roman"/>
          <w:color w:val="000000"/>
          <w:sz w:val="24"/>
          <w:szCs w:val="24"/>
        </w:rPr>
        <w:t xml:space="preserve">, 658 m </w:t>
      </w:r>
      <w:r w:rsidRPr="00F064CA">
        <w:rPr>
          <w:rFonts w:eastAsia="Times New Roman"/>
          <w:color w:val="000000"/>
          <w:sz w:val="24"/>
          <w:szCs w:val="24"/>
          <w:vertAlign w:val="superscript"/>
        </w:rPr>
        <w:t>{+132}</w:t>
      </w:r>
      <w:r w:rsidRPr="00F064CA">
        <w:rPr>
          <w:rFonts w:eastAsia="Times New Roman"/>
          <w:color w:val="000000"/>
          <w:sz w:val="24"/>
          <w:szCs w:val="24"/>
        </w:rPr>
        <w:t xml:space="preserve"> at H1) near the </w:t>
      </w:r>
      <w:proofErr w:type="spellStart"/>
      <w:r w:rsidRPr="00F064CA">
        <w:rPr>
          <w:rFonts w:eastAsia="Times New Roman"/>
          <w:color w:val="000000"/>
          <w:sz w:val="24"/>
          <w:szCs w:val="24"/>
        </w:rPr>
        <w:t>centre</w:t>
      </w:r>
      <w:proofErr w:type="spellEnd"/>
      <w:r w:rsidRPr="00F064CA">
        <w:rPr>
          <w:rFonts w:eastAsia="Times New Roman"/>
          <w:color w:val="000000"/>
          <w:sz w:val="24"/>
          <w:szCs w:val="24"/>
        </w:rPr>
        <w:t xml:space="preserve"> of the southern fault segment. Both segments are generally </w:t>
      </w:r>
      <w:proofErr w:type="spellStart"/>
      <w:r w:rsidRPr="00F064CA">
        <w:rPr>
          <w:rFonts w:eastAsia="Times New Roman"/>
          <w:color w:val="000000"/>
          <w:sz w:val="24"/>
          <w:szCs w:val="24"/>
        </w:rPr>
        <w:t>characterised</w:t>
      </w:r>
      <w:proofErr w:type="spellEnd"/>
      <w:r w:rsidRPr="00F064CA">
        <w:rPr>
          <w:rFonts w:eastAsia="Times New Roman"/>
          <w:color w:val="000000"/>
          <w:sz w:val="24"/>
          <w:szCs w:val="24"/>
        </w:rPr>
        <w:t xml:space="preserve"> by approximately bell-shaped throw distributions, the peak of which is skewed away from the center due to the related throw maxima being offset from the fault segment </w:t>
      </w:r>
      <w:proofErr w:type="spellStart"/>
      <w:r w:rsidRPr="00F064CA">
        <w:rPr>
          <w:rFonts w:eastAsia="Times New Roman"/>
          <w:color w:val="000000"/>
          <w:sz w:val="24"/>
          <w:szCs w:val="24"/>
        </w:rPr>
        <w:t>centres</w:t>
      </w:r>
      <w:proofErr w:type="spellEnd"/>
      <w:r w:rsidRPr="00F064CA">
        <w:rPr>
          <w:rFonts w:eastAsia="Times New Roman"/>
          <w:color w:val="000000"/>
          <w:sz w:val="24"/>
          <w:szCs w:val="24"/>
        </w:rPr>
        <w:t xml:space="preserve"> (Figure 6c).</w:t>
      </w:r>
    </w:p>
    <w:p w14:paraId="3E07C733" w14:textId="43D661B6" w:rsidR="0054095A" w:rsidRPr="00F064CA" w:rsidRDefault="001F7C8C" w:rsidP="002349AD">
      <w:pPr>
        <w:spacing w:line="480" w:lineRule="auto"/>
        <w:ind w:firstLine="720"/>
        <w:rPr>
          <w:rFonts w:eastAsia="Times New Roman"/>
          <w:color w:val="000000"/>
          <w:sz w:val="24"/>
          <w:szCs w:val="24"/>
        </w:rPr>
      </w:pPr>
      <w:r w:rsidRPr="00F064CA">
        <w:rPr>
          <w:rFonts w:eastAsia="Times New Roman"/>
          <w:color w:val="000000"/>
          <w:sz w:val="24"/>
          <w:szCs w:val="24"/>
        </w:rPr>
        <w:t xml:space="preserve">There are clear wedge-shaped stratigraphic packages between H1 and H7 in the hanging wall; these thicken towards F1. In contrast, pre-H1 and post-H7 strata are isopachous (Figure 6a). EI plots show across-fault thickening (i.e. values </w:t>
      </w:r>
      <w:r w:rsidRPr="00F064CA">
        <w:rPr>
          <w:rFonts w:eastAsia="Times New Roman"/>
          <w:color w:val="222222"/>
          <w:sz w:val="24"/>
          <w:szCs w:val="24"/>
        </w:rPr>
        <w:t>≥1</w:t>
      </w:r>
      <w:r w:rsidRPr="00F064CA">
        <w:rPr>
          <w:rFonts w:eastAsia="Times New Roman"/>
          <w:color w:val="000000"/>
          <w:sz w:val="24"/>
          <w:szCs w:val="24"/>
        </w:rPr>
        <w:t xml:space="preserve">) in Unit 1 along the central parts of the northern and southern segments; the unit is, however, isopachous where the two segments link </w:t>
      </w:r>
      <w:r w:rsidRPr="00F064CA">
        <w:rPr>
          <w:rFonts w:eastAsia="Times New Roman"/>
          <w:color w:val="000000"/>
          <w:sz w:val="24"/>
          <w:szCs w:val="24"/>
        </w:rPr>
        <w:lastRenderedPageBreak/>
        <w:t xml:space="preserve">(Figure 7a). In contrast, EI values in Unit 2 are </w:t>
      </w:r>
      <w:r w:rsidRPr="00F064CA">
        <w:rPr>
          <w:rFonts w:eastAsia="Times New Roman"/>
          <w:color w:val="222222"/>
          <w:sz w:val="24"/>
          <w:szCs w:val="24"/>
        </w:rPr>
        <w:t>≥</w:t>
      </w:r>
      <w:r w:rsidRPr="00F064CA">
        <w:rPr>
          <w:rFonts w:eastAsia="Times New Roman"/>
          <w:color w:val="000000"/>
          <w:sz w:val="24"/>
          <w:szCs w:val="24"/>
        </w:rPr>
        <w:t xml:space="preserve">1 across the link between the two segments (Figure 7b).  EI values are </w:t>
      </w:r>
      <w:r w:rsidRPr="00F064CA">
        <w:rPr>
          <w:rFonts w:eastAsia="Times New Roman"/>
          <w:color w:val="222222"/>
          <w:sz w:val="24"/>
          <w:szCs w:val="24"/>
        </w:rPr>
        <w:t>≥</w:t>
      </w:r>
      <w:r w:rsidRPr="00F064CA">
        <w:rPr>
          <w:rFonts w:eastAsia="Times New Roman"/>
          <w:color w:val="000000"/>
          <w:sz w:val="24"/>
          <w:szCs w:val="24"/>
        </w:rPr>
        <w:t>1 across a progressively longer portion of the fault in Units 2-5 (Figures 7b-d), until the youngest interval, Unit 6 (Figure 7e), where the upper tip of the fault is associated with EI values &lt;1.</w:t>
      </w:r>
    </w:p>
    <w:p w14:paraId="7DB62EDF" w14:textId="4BC64375" w:rsidR="001F7C8C" w:rsidRPr="00F064CA" w:rsidRDefault="0054095A" w:rsidP="002349AD">
      <w:pPr>
        <w:pStyle w:val="Abstract"/>
        <w:spacing w:line="480" w:lineRule="auto"/>
      </w:pPr>
      <w:r w:rsidRPr="00F064CA">
        <w:rPr>
          <w:noProof/>
          <w:color w:val="000000"/>
        </w:rPr>
        <w:drawing>
          <wp:inline distT="0" distB="0" distL="0" distR="0" wp14:anchorId="6F0FFAF2" wp14:editId="531B07CE">
            <wp:extent cx="5939790" cy="498729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4987290"/>
                    </a:xfrm>
                    <a:prstGeom prst="rect">
                      <a:avLst/>
                    </a:prstGeom>
                    <a:noFill/>
                    <a:ln>
                      <a:noFill/>
                    </a:ln>
                  </pic:spPr>
                </pic:pic>
              </a:graphicData>
            </a:graphic>
          </wp:inline>
        </w:drawing>
      </w:r>
    </w:p>
    <w:p w14:paraId="1016BFB7" w14:textId="10E85D45" w:rsidR="00D54D8E" w:rsidRPr="00F064CA" w:rsidRDefault="0054095A" w:rsidP="00AA76EA">
      <w:pPr>
        <w:pStyle w:val="Abstract"/>
        <w:spacing w:line="276" w:lineRule="auto"/>
        <w:rPr>
          <w:color w:val="000000"/>
        </w:rPr>
      </w:pPr>
      <w:r w:rsidRPr="00F064CA">
        <w:rPr>
          <w:b/>
          <w:bCs/>
          <w:color w:val="000000"/>
        </w:rPr>
        <w:t>Figure 6.</w:t>
      </w:r>
      <w:r w:rsidRPr="00F064CA">
        <w:rPr>
          <w:color w:val="000000"/>
        </w:rPr>
        <w:t xml:space="preserve"> </w:t>
      </w:r>
      <w:r w:rsidRPr="00F064CA">
        <w:rPr>
          <w:b/>
          <w:bCs/>
          <w:color w:val="000000"/>
        </w:rPr>
        <w:t>a)</w:t>
      </w:r>
      <w:r w:rsidRPr="00F064CA">
        <w:rPr>
          <w:color w:val="000000"/>
        </w:rPr>
        <w:t xml:space="preserve"> seismic profile illustrating F9 at its point of highest throw and its correlated throws and throw gradients, </w:t>
      </w:r>
      <w:r w:rsidRPr="00F064CA">
        <w:rPr>
          <w:b/>
          <w:bCs/>
          <w:color w:val="000000"/>
        </w:rPr>
        <w:t>b)</w:t>
      </w:r>
      <w:r w:rsidRPr="00F064CA">
        <w:rPr>
          <w:color w:val="000000"/>
        </w:rPr>
        <w:t xml:space="preserve"> throw-distance plot illustrating the lateral variations in throw across each seismic unit</w:t>
      </w:r>
      <w:r w:rsidR="002F4A0E" w:rsidRPr="00F064CA">
        <w:rPr>
          <w:color w:val="000000"/>
        </w:rPr>
        <w:t xml:space="preserve">. All throw values should </w:t>
      </w:r>
      <w:proofErr w:type="gramStart"/>
      <w:r w:rsidR="002F4A0E" w:rsidRPr="00F064CA">
        <w:rPr>
          <w:color w:val="000000"/>
        </w:rPr>
        <w:t>be considered to be</w:t>
      </w:r>
      <w:proofErr w:type="gramEnd"/>
      <w:r w:rsidR="002F4A0E" w:rsidRPr="00F064CA">
        <w:rPr>
          <w:color w:val="000000"/>
        </w:rPr>
        <w:t xml:space="preserve"> possible +20% due to decompaction (Taylor et al</w:t>
      </w:r>
      <w:r w:rsidR="0068610B" w:rsidRPr="00F064CA">
        <w:rPr>
          <w:color w:val="000000"/>
        </w:rPr>
        <w:t>.</w:t>
      </w:r>
      <w:r w:rsidR="002F4A0E" w:rsidRPr="00F064CA">
        <w:rPr>
          <w:color w:val="000000"/>
        </w:rPr>
        <w:t>, 2008).</w:t>
      </w:r>
    </w:p>
    <w:p w14:paraId="6CDC4695" w14:textId="7C02DCA5" w:rsidR="0054095A" w:rsidRPr="00F064CA" w:rsidRDefault="00D54D8E" w:rsidP="002349AD">
      <w:pPr>
        <w:spacing w:line="480" w:lineRule="auto"/>
        <w:rPr>
          <w:rFonts w:eastAsia="Times New Roman"/>
          <w:color w:val="000000"/>
          <w:sz w:val="24"/>
          <w:szCs w:val="24"/>
        </w:rPr>
      </w:pPr>
      <w:r w:rsidRPr="00F064CA">
        <w:rPr>
          <w:color w:val="000000"/>
          <w:sz w:val="24"/>
          <w:szCs w:val="24"/>
        </w:rPr>
        <w:br w:type="page"/>
      </w:r>
    </w:p>
    <w:p w14:paraId="2F413C49" w14:textId="77777777" w:rsidR="00D54D8E" w:rsidRPr="00F064CA" w:rsidRDefault="00D54D8E" w:rsidP="002349AD">
      <w:pPr>
        <w:spacing w:line="480" w:lineRule="auto"/>
        <w:rPr>
          <w:rFonts w:eastAsia="Times New Roman"/>
          <w:sz w:val="24"/>
          <w:szCs w:val="24"/>
        </w:rPr>
        <w:sectPr w:rsidR="00D54D8E" w:rsidRPr="00F064CA" w:rsidSect="00CB0521">
          <w:headerReference w:type="default" r:id="rId14"/>
          <w:footerReference w:type="default" r:id="rId15"/>
          <w:headerReference w:type="first" r:id="rId16"/>
          <w:pgSz w:w="12240" w:h="15840"/>
          <w:pgMar w:top="1440" w:right="1440" w:bottom="1440" w:left="1440" w:header="432" w:footer="720" w:gutter="0"/>
          <w:lnNumType w:countBy="1" w:restart="continuous"/>
          <w:cols w:space="720"/>
          <w:docGrid w:linePitch="360"/>
        </w:sectPr>
      </w:pPr>
    </w:p>
    <w:p w14:paraId="619A200C" w14:textId="77777777" w:rsidR="00D54D8E" w:rsidRPr="00F064CA" w:rsidRDefault="00D54D8E" w:rsidP="002349AD">
      <w:pPr>
        <w:spacing w:line="480" w:lineRule="auto"/>
        <w:rPr>
          <w:rFonts w:eastAsia="Times New Roman"/>
          <w:sz w:val="24"/>
          <w:szCs w:val="24"/>
        </w:rPr>
      </w:pPr>
      <w:r w:rsidRPr="00F064CA">
        <w:rPr>
          <w:rFonts w:eastAsia="Times New Roman"/>
          <w:noProof/>
          <w:sz w:val="24"/>
          <w:szCs w:val="24"/>
        </w:rPr>
        <w:lastRenderedPageBreak/>
        <w:drawing>
          <wp:inline distT="0" distB="0" distL="0" distR="0" wp14:anchorId="0A20AF0D" wp14:editId="64140D2A">
            <wp:extent cx="8690667" cy="3103014"/>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71288" cy="3131800"/>
                    </a:xfrm>
                    <a:prstGeom prst="rect">
                      <a:avLst/>
                    </a:prstGeom>
                    <a:noFill/>
                    <a:ln>
                      <a:noFill/>
                    </a:ln>
                  </pic:spPr>
                </pic:pic>
              </a:graphicData>
            </a:graphic>
          </wp:inline>
        </w:drawing>
      </w:r>
    </w:p>
    <w:p w14:paraId="4206A3A7" w14:textId="59D8E172" w:rsidR="00D54D8E" w:rsidRPr="00F064CA" w:rsidRDefault="00D54D8E" w:rsidP="007E211A">
      <w:pPr>
        <w:rPr>
          <w:rFonts w:eastAsia="Times New Roman"/>
          <w:sz w:val="24"/>
          <w:szCs w:val="24"/>
        </w:rPr>
        <w:sectPr w:rsidR="00D54D8E" w:rsidRPr="00F064CA" w:rsidSect="00D54D8E">
          <w:pgSz w:w="15840" w:h="12240" w:orient="landscape"/>
          <w:pgMar w:top="1440" w:right="1440" w:bottom="1440" w:left="1440" w:header="432" w:footer="720" w:gutter="0"/>
          <w:cols w:space="720"/>
          <w:docGrid w:linePitch="360"/>
        </w:sectPr>
      </w:pPr>
      <w:r w:rsidRPr="00F064CA">
        <w:rPr>
          <w:b/>
          <w:bCs/>
          <w:color w:val="000000"/>
          <w:sz w:val="24"/>
          <w:szCs w:val="24"/>
        </w:rPr>
        <w:t>Figure 7.</w:t>
      </w:r>
      <w:r w:rsidRPr="00F064CA">
        <w:rPr>
          <w:color w:val="000000"/>
          <w:sz w:val="24"/>
          <w:szCs w:val="24"/>
        </w:rPr>
        <w:t xml:space="preserve"> Isochrons, expansion index analysis, and throw throughout different stages of the life of Fault 1. The throw through time values are taken from displacement backstripping, which can be seen in detail in the </w:t>
      </w:r>
      <w:r w:rsidR="005C5486">
        <w:rPr>
          <w:color w:val="000000"/>
          <w:sz w:val="24"/>
          <w:szCs w:val="24"/>
        </w:rPr>
        <w:t>appendix</w:t>
      </w:r>
      <w:r w:rsidRPr="00F064CA">
        <w:rPr>
          <w:color w:val="000000"/>
          <w:sz w:val="24"/>
          <w:szCs w:val="24"/>
        </w:rPr>
        <w:t xml:space="preserve"> figures. White dots indicate the length of the fault at the specified interval. </w:t>
      </w:r>
      <w:r w:rsidRPr="00F064CA">
        <w:rPr>
          <w:b/>
          <w:bCs/>
          <w:color w:val="000000"/>
          <w:sz w:val="24"/>
          <w:szCs w:val="24"/>
        </w:rPr>
        <w:t>a)</w:t>
      </w:r>
      <w:r w:rsidRPr="00F064CA">
        <w:rPr>
          <w:color w:val="000000"/>
          <w:sz w:val="24"/>
          <w:szCs w:val="24"/>
        </w:rPr>
        <w:t xml:space="preserve"> Isochron showing the thickness between H1 (209.5 my) and H2 (196 my), maximum throw is 78 m, and length is 19,700m, </w:t>
      </w:r>
      <w:r w:rsidRPr="00F064CA">
        <w:rPr>
          <w:b/>
          <w:bCs/>
          <w:color w:val="000000"/>
          <w:sz w:val="24"/>
          <w:szCs w:val="24"/>
        </w:rPr>
        <w:t>b)</w:t>
      </w:r>
      <w:r w:rsidRPr="00F064CA">
        <w:rPr>
          <w:color w:val="000000"/>
          <w:sz w:val="24"/>
          <w:szCs w:val="24"/>
        </w:rPr>
        <w:t xml:space="preserve"> Isochron showing the thickness between H2 (196 my) and H4 (170 my), maximum throw is 191 m and length is 41,300 m,  </w:t>
      </w:r>
      <w:r w:rsidRPr="00F064CA">
        <w:rPr>
          <w:b/>
          <w:bCs/>
          <w:color w:val="000000"/>
          <w:sz w:val="24"/>
          <w:szCs w:val="24"/>
        </w:rPr>
        <w:t>c)</w:t>
      </w:r>
      <w:r w:rsidRPr="00F064CA">
        <w:rPr>
          <w:color w:val="000000"/>
          <w:sz w:val="24"/>
          <w:szCs w:val="24"/>
        </w:rPr>
        <w:t xml:space="preserve"> Isochron showing the thickness between H4 (170 my) and H5(162.5 my), maximum throw is 438 m and length is 41,100, </w:t>
      </w:r>
      <w:r w:rsidRPr="00F064CA">
        <w:rPr>
          <w:b/>
          <w:bCs/>
          <w:color w:val="000000"/>
          <w:sz w:val="24"/>
          <w:szCs w:val="24"/>
        </w:rPr>
        <w:t>d)</w:t>
      </w:r>
      <w:r w:rsidRPr="00F064CA">
        <w:rPr>
          <w:color w:val="000000"/>
          <w:sz w:val="24"/>
          <w:szCs w:val="24"/>
        </w:rPr>
        <w:t xml:space="preserve"> Isochron showing the thickness between H5 (162.5 my) and H6 (142.3 my), maximum throw is 993 m and length is 42,100, </w:t>
      </w:r>
      <w:r w:rsidRPr="00F064CA">
        <w:rPr>
          <w:b/>
          <w:bCs/>
          <w:color w:val="000000"/>
          <w:sz w:val="24"/>
          <w:szCs w:val="24"/>
        </w:rPr>
        <w:t>e)</w:t>
      </w:r>
      <w:r w:rsidRPr="00F064CA">
        <w:rPr>
          <w:color w:val="000000"/>
          <w:sz w:val="24"/>
          <w:szCs w:val="24"/>
        </w:rPr>
        <w:t xml:space="preserve"> Isochron showing the thickness between H6 (142.3 my) and H7 (137.7) my, maximum throw is 1098 and length is 21,900 m.</w:t>
      </w:r>
      <w:r w:rsidR="002F4A0E" w:rsidRPr="00F064CA">
        <w:rPr>
          <w:color w:val="000000"/>
          <w:sz w:val="24"/>
          <w:szCs w:val="24"/>
        </w:rPr>
        <w:t xml:space="preserve"> All throw values should </w:t>
      </w:r>
      <w:proofErr w:type="gramStart"/>
      <w:r w:rsidR="002F4A0E" w:rsidRPr="00F064CA">
        <w:rPr>
          <w:color w:val="000000"/>
          <w:sz w:val="24"/>
          <w:szCs w:val="24"/>
        </w:rPr>
        <w:t>be considered to be</w:t>
      </w:r>
      <w:proofErr w:type="gramEnd"/>
      <w:r w:rsidR="002F4A0E" w:rsidRPr="00F064CA">
        <w:rPr>
          <w:color w:val="000000"/>
          <w:sz w:val="24"/>
          <w:szCs w:val="24"/>
        </w:rPr>
        <w:t xml:space="preserve"> possible +20% due to decompaction (Taylor et al</w:t>
      </w:r>
      <w:r w:rsidR="0068610B" w:rsidRPr="00F064CA">
        <w:rPr>
          <w:color w:val="000000"/>
          <w:sz w:val="24"/>
          <w:szCs w:val="24"/>
        </w:rPr>
        <w:t>.</w:t>
      </w:r>
      <w:r w:rsidR="002F4A0E" w:rsidRPr="00F064CA">
        <w:rPr>
          <w:color w:val="000000"/>
          <w:sz w:val="24"/>
          <w:szCs w:val="24"/>
        </w:rPr>
        <w:t>, 2008).</w:t>
      </w:r>
    </w:p>
    <w:p w14:paraId="51312B07" w14:textId="72870CE5" w:rsidR="001F7C8C" w:rsidRPr="00F064CA" w:rsidRDefault="001F7C8C" w:rsidP="002349AD">
      <w:pPr>
        <w:spacing w:line="480" w:lineRule="auto"/>
        <w:rPr>
          <w:rFonts w:eastAsia="Times New Roman"/>
          <w:sz w:val="24"/>
          <w:szCs w:val="24"/>
        </w:rPr>
      </w:pPr>
    </w:p>
    <w:p w14:paraId="664C9BDC" w14:textId="76DD284A" w:rsidR="001F7C8C" w:rsidRPr="00F064CA" w:rsidRDefault="00516DB1" w:rsidP="002349AD">
      <w:pPr>
        <w:pStyle w:val="Heading-Secondary"/>
        <w:spacing w:line="480" w:lineRule="auto"/>
        <w:rPr>
          <w:b/>
          <w:bCs w:val="0"/>
        </w:rPr>
      </w:pPr>
      <w:r w:rsidRPr="00F064CA">
        <w:rPr>
          <w:b/>
          <w:bCs w:val="0"/>
        </w:rPr>
        <w:t xml:space="preserve">4.1.2 </w:t>
      </w:r>
      <w:r w:rsidR="001F7C8C" w:rsidRPr="00F064CA">
        <w:rPr>
          <w:b/>
          <w:bCs w:val="0"/>
        </w:rPr>
        <w:t>Interpretations:</w:t>
      </w:r>
    </w:p>
    <w:p w14:paraId="24042B7A" w14:textId="1BF1D6EC" w:rsidR="001F7C8C" w:rsidRPr="00F064CA" w:rsidRDefault="001F7C8C" w:rsidP="002349AD">
      <w:pPr>
        <w:spacing w:line="480" w:lineRule="auto"/>
        <w:ind w:firstLine="720"/>
        <w:rPr>
          <w:rFonts w:eastAsia="Times New Roman"/>
          <w:sz w:val="24"/>
          <w:szCs w:val="24"/>
        </w:rPr>
      </w:pPr>
      <w:r w:rsidRPr="00F064CA">
        <w:rPr>
          <w:rFonts w:eastAsia="Times New Roman"/>
          <w:color w:val="000000"/>
          <w:sz w:val="24"/>
          <w:szCs w:val="24"/>
        </w:rPr>
        <w:t xml:space="preserve">We see across-fault thickening in the hanging wall between H1 and H7 (Units 1-5) in cross section (Figure 6a) and in isochron thickness maps (Figure 7a-e), suggesting F1 was active from 209.5 to 137.7 Ma (Early Jurassic-Early Cretaceous). In detail, however, the EI plots show that different parts of the fault were active at different times. The fact that F1 is associated with two discrete throw maxima (and two associated bell-shaped throw distributions), as well as an EI of </w:t>
      </w:r>
      <w:r w:rsidRPr="00F064CA">
        <w:rPr>
          <w:rFonts w:eastAsia="Times New Roman"/>
          <w:color w:val="545454"/>
          <w:sz w:val="24"/>
          <w:szCs w:val="24"/>
        </w:rPr>
        <w:t>&lt;1</w:t>
      </w:r>
      <w:r w:rsidRPr="00F064CA">
        <w:rPr>
          <w:rFonts w:eastAsia="Times New Roman"/>
          <w:color w:val="000000"/>
          <w:sz w:val="24"/>
          <w:szCs w:val="24"/>
        </w:rPr>
        <w:t xml:space="preserve"> in the middle of the fault in the first time interval (Unit 1; Figure 7a), suggests it formed by the linkage of two, initially separate segments. Linkage likely occurred </w:t>
      </w:r>
      <w:proofErr w:type="spellStart"/>
      <w:r w:rsidRPr="00F064CA">
        <w:rPr>
          <w:rFonts w:eastAsia="Times New Roman"/>
          <w:color w:val="000000"/>
          <w:sz w:val="24"/>
          <w:szCs w:val="24"/>
        </w:rPr>
        <w:t>some time</w:t>
      </w:r>
      <w:proofErr w:type="spellEnd"/>
      <w:r w:rsidRPr="00F064CA">
        <w:rPr>
          <w:rFonts w:eastAsia="Times New Roman"/>
          <w:color w:val="000000"/>
          <w:sz w:val="24"/>
          <w:szCs w:val="24"/>
        </w:rPr>
        <w:t xml:space="preserve"> between the deposition of H2 and H4, based on EI values of &gt;1 only occurring in units above H1. Often, when faults link, their paleo-tip-lines become inactive (Childs et al., 2003). In this case, however, F1 is a footwall-breached relay and the tip of the northern segment continued to accrue displacement on portions of the fault tips bounding the now-breached relay ramp (Figure 7e). The lack of throw in the middle of the fault is likely due to the still-active northern segment paleo-fault tip accommodating strain in the middle of the fault, as well as a minor E-W fault (labeled F1a in Figure 7a) that cuts perpendicularly across F1. F1 reached its maximum length by the deposition of H5 (Unit 3), or possibly sooner, based on the observation of EI values </w:t>
      </w:r>
      <w:r w:rsidRPr="00F064CA">
        <w:rPr>
          <w:rFonts w:eastAsia="Times New Roman"/>
          <w:color w:val="222222"/>
          <w:sz w:val="24"/>
          <w:szCs w:val="24"/>
        </w:rPr>
        <w:t>≥</w:t>
      </w:r>
      <w:r w:rsidRPr="00F064CA">
        <w:rPr>
          <w:rFonts w:eastAsia="Times New Roman"/>
          <w:color w:val="000000"/>
          <w:sz w:val="24"/>
          <w:szCs w:val="24"/>
        </w:rPr>
        <w:t xml:space="preserve">1 across its length for this interval (Figure 7c). During Unit 5, the lateral ends of the fault have an EI value of &lt;1, which suggests that the fault tips became inactive at this time. Additionally, during this last stage of fault growth, the breached relay ramp between the northern and southern segment had an EI value of &lt;1, which suggests that the fault along the previously active relay ramp between the two fault segments became inactive </w:t>
      </w:r>
      <w:r w:rsidRPr="00F064CA">
        <w:rPr>
          <w:rFonts w:eastAsia="Times New Roman"/>
          <w:color w:val="222222"/>
          <w:sz w:val="24"/>
          <w:szCs w:val="24"/>
        </w:rPr>
        <w:t>(Figure 6e)</w:t>
      </w:r>
      <w:r w:rsidRPr="00F064CA">
        <w:rPr>
          <w:rFonts w:eastAsia="Times New Roman"/>
          <w:color w:val="545454"/>
          <w:sz w:val="24"/>
          <w:szCs w:val="24"/>
        </w:rPr>
        <w:t>.</w:t>
      </w:r>
    </w:p>
    <w:p w14:paraId="5007556C" w14:textId="6FA55EDD" w:rsidR="00516DB1" w:rsidRPr="00F064CA" w:rsidRDefault="001F7C8C" w:rsidP="002349AD">
      <w:pPr>
        <w:spacing w:line="480" w:lineRule="auto"/>
        <w:ind w:firstLine="720"/>
        <w:rPr>
          <w:rFonts w:eastAsia="Times New Roman"/>
          <w:color w:val="000000"/>
          <w:sz w:val="24"/>
          <w:szCs w:val="24"/>
        </w:rPr>
      </w:pPr>
      <w:r w:rsidRPr="00F064CA">
        <w:rPr>
          <w:rFonts w:eastAsia="Times New Roman"/>
          <w:color w:val="000000"/>
          <w:sz w:val="24"/>
          <w:szCs w:val="24"/>
        </w:rPr>
        <w:lastRenderedPageBreak/>
        <w:t xml:space="preserve">In summary, according to throw backstripping and EI analysis, F1 initiated after the deposition of H1 (c. 209.5 ma), and within c. 9.4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(13% of its total life) consisted of two separate segments that were 19.7 km and 19.2 km long. During this first phase of activity, it accumulated </w:t>
      </w:r>
      <w:proofErr w:type="gramStart"/>
      <w:r w:rsidRPr="00F064CA">
        <w:rPr>
          <w:rFonts w:eastAsia="Times New Roman"/>
          <w:color w:val="000000"/>
          <w:sz w:val="24"/>
          <w:szCs w:val="24"/>
        </w:rPr>
        <w:t>only  7</w:t>
      </w:r>
      <w:proofErr w:type="gramEnd"/>
      <w:r w:rsidRPr="00F064CA">
        <w:rPr>
          <w:rFonts w:eastAsia="Times New Roman"/>
          <w:color w:val="000000"/>
          <w:sz w:val="24"/>
          <w:szCs w:val="24"/>
        </w:rPr>
        <w:t xml:space="preserve">% of its total throw. Approximately 28.2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later, the two segments </w:t>
      </w:r>
      <w:proofErr w:type="gramStart"/>
      <w:r w:rsidRPr="00F064CA">
        <w:rPr>
          <w:rFonts w:eastAsia="Times New Roman"/>
          <w:color w:val="000000"/>
          <w:sz w:val="24"/>
          <w:szCs w:val="24"/>
        </w:rPr>
        <w:t>linked</w:t>
      </w:r>
      <w:proofErr w:type="gramEnd"/>
      <w:r w:rsidRPr="00F064CA">
        <w:rPr>
          <w:rFonts w:eastAsia="Times New Roman"/>
          <w:color w:val="000000"/>
          <w:sz w:val="24"/>
          <w:szCs w:val="24"/>
        </w:rPr>
        <w:t xml:space="preserve"> and the outermost tips of the newly formed fault system had propagated slightly, meaning it was now 41.3 km long. The fault had therefore reached c. 98% of its maximum length and accrued 17% of its total throw by this point (i.e. 39% of its life). Its maximum length was reached 9.4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later, by which time it had accumulated 52% of its total throw. During the last 4.6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of the </w:t>
      </w:r>
      <w:proofErr w:type="gramStart"/>
      <w:r w:rsidRPr="00F064CA">
        <w:rPr>
          <w:rFonts w:eastAsia="Times New Roman"/>
          <w:color w:val="000000"/>
          <w:sz w:val="24"/>
          <w:szCs w:val="24"/>
        </w:rPr>
        <w:t>faults</w:t>
      </w:r>
      <w:proofErr w:type="gramEnd"/>
      <w:r w:rsidRPr="00F064CA">
        <w:rPr>
          <w:rFonts w:eastAsia="Times New Roman"/>
          <w:color w:val="000000"/>
          <w:sz w:val="24"/>
          <w:szCs w:val="24"/>
        </w:rPr>
        <w:t xml:space="preserve"> life, the remaining 56% of throw was accrued, and the northernmost 0.9 km and southernmost 2.9 km became inactive.</w:t>
      </w:r>
    </w:p>
    <w:p w14:paraId="36353534" w14:textId="3246DB8A" w:rsidR="00516DB1" w:rsidRPr="00F064CA" w:rsidRDefault="00516DB1" w:rsidP="002349AD">
      <w:pPr>
        <w:pStyle w:val="Abstract"/>
        <w:spacing w:line="480" w:lineRule="auto"/>
      </w:pPr>
    </w:p>
    <w:p w14:paraId="63611A31" w14:textId="4754EE62" w:rsidR="00516DB1" w:rsidRPr="00F064CA" w:rsidRDefault="00516DB1" w:rsidP="002349AD">
      <w:pPr>
        <w:pStyle w:val="Heading-Secondary"/>
        <w:spacing w:line="480" w:lineRule="auto"/>
        <w:rPr>
          <w:b/>
          <w:bCs w:val="0"/>
        </w:rPr>
      </w:pPr>
      <w:r w:rsidRPr="00F064CA">
        <w:rPr>
          <w:b/>
          <w:bCs w:val="0"/>
        </w:rPr>
        <w:lastRenderedPageBreak/>
        <w:t>4.2 Fault 2</w:t>
      </w:r>
    </w:p>
    <w:p w14:paraId="2049F0C2" w14:textId="2F7EB014" w:rsidR="00D54D8E" w:rsidRPr="00F064CA" w:rsidRDefault="00D54D8E" w:rsidP="002349AD">
      <w:pPr>
        <w:pStyle w:val="Abstract"/>
        <w:spacing w:line="480" w:lineRule="auto"/>
      </w:pPr>
      <w:r w:rsidRPr="00F064CA">
        <w:rPr>
          <w:noProof/>
        </w:rPr>
        <w:drawing>
          <wp:inline distT="0" distB="0" distL="0" distR="0" wp14:anchorId="79D4C741" wp14:editId="6FEBA4EA">
            <wp:extent cx="5943600" cy="53111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5311140"/>
                    </a:xfrm>
                    <a:prstGeom prst="rect">
                      <a:avLst/>
                    </a:prstGeom>
                    <a:noFill/>
                    <a:ln>
                      <a:noFill/>
                    </a:ln>
                  </pic:spPr>
                </pic:pic>
              </a:graphicData>
            </a:graphic>
          </wp:inline>
        </w:drawing>
      </w:r>
    </w:p>
    <w:p w14:paraId="11D902D9" w14:textId="0E349460" w:rsidR="00D54D8E" w:rsidRPr="00F064CA" w:rsidRDefault="00D54D8E" w:rsidP="007E211A">
      <w:pPr>
        <w:pStyle w:val="Abstract"/>
        <w:rPr>
          <w:color w:val="000000"/>
        </w:rPr>
        <w:sectPr w:rsidR="00D54D8E" w:rsidRPr="00F064CA" w:rsidSect="00E31404">
          <w:pgSz w:w="12240" w:h="15840"/>
          <w:pgMar w:top="1440" w:right="1440" w:bottom="1440" w:left="1440" w:header="432" w:footer="720" w:gutter="0"/>
          <w:cols w:space="720"/>
          <w:docGrid w:linePitch="360"/>
        </w:sectPr>
      </w:pPr>
      <w:r w:rsidRPr="00F064CA">
        <w:rPr>
          <w:b/>
          <w:bCs/>
          <w:color w:val="000000"/>
        </w:rPr>
        <w:t>Figure 8.</w:t>
      </w:r>
      <w:r w:rsidRPr="00F064CA">
        <w:rPr>
          <w:color w:val="000000"/>
        </w:rPr>
        <w:t xml:space="preserve"> </w:t>
      </w:r>
      <w:r w:rsidRPr="00F064CA">
        <w:rPr>
          <w:b/>
          <w:bCs/>
          <w:color w:val="000000"/>
        </w:rPr>
        <w:t>a)</w:t>
      </w:r>
      <w:r w:rsidRPr="00F064CA">
        <w:rPr>
          <w:color w:val="000000"/>
        </w:rPr>
        <w:t xml:space="preserve"> seismic profile illustrating F7 at its point of highest throw and its correlated throws and throw gradients, </w:t>
      </w:r>
      <w:r w:rsidRPr="00F064CA">
        <w:rPr>
          <w:b/>
          <w:bCs/>
          <w:color w:val="000000"/>
        </w:rPr>
        <w:t>b)</w:t>
      </w:r>
      <w:r w:rsidRPr="00F064CA">
        <w:rPr>
          <w:color w:val="000000"/>
        </w:rPr>
        <w:t xml:space="preserve"> throw-distance plot illustrating the lateral variations in throw across each seismic unit</w:t>
      </w:r>
      <w:r w:rsidR="002F4A0E" w:rsidRPr="00F064CA">
        <w:rPr>
          <w:color w:val="000000"/>
        </w:rPr>
        <w:t xml:space="preserve">. All throw values should </w:t>
      </w:r>
      <w:proofErr w:type="gramStart"/>
      <w:r w:rsidR="002F4A0E" w:rsidRPr="00F064CA">
        <w:rPr>
          <w:color w:val="000000"/>
        </w:rPr>
        <w:t>be considered to be</w:t>
      </w:r>
      <w:proofErr w:type="gramEnd"/>
      <w:r w:rsidR="002F4A0E" w:rsidRPr="00F064CA">
        <w:rPr>
          <w:color w:val="000000"/>
        </w:rPr>
        <w:t xml:space="preserve"> possible +20% due to decompaction (Taylor et al</w:t>
      </w:r>
      <w:r w:rsidR="0068610B" w:rsidRPr="00F064CA">
        <w:rPr>
          <w:color w:val="000000"/>
        </w:rPr>
        <w:t>.</w:t>
      </w:r>
      <w:r w:rsidR="002F4A0E" w:rsidRPr="00F064CA">
        <w:rPr>
          <w:color w:val="000000"/>
        </w:rPr>
        <w:t>, 2008).</w:t>
      </w:r>
    </w:p>
    <w:p w14:paraId="1FF5D091" w14:textId="77777777" w:rsidR="00C321AC" w:rsidRPr="00F064CA" w:rsidRDefault="00C321AC" w:rsidP="002349AD">
      <w:pPr>
        <w:pStyle w:val="Abstract"/>
        <w:spacing w:line="480" w:lineRule="auto"/>
      </w:pPr>
      <w:r w:rsidRPr="00F064CA">
        <w:rPr>
          <w:noProof/>
        </w:rPr>
        <w:lastRenderedPageBreak/>
        <w:drawing>
          <wp:inline distT="0" distB="0" distL="0" distR="0" wp14:anchorId="6C2F6836" wp14:editId="557DD37E">
            <wp:extent cx="8617527" cy="3611839"/>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662070" cy="3630508"/>
                    </a:xfrm>
                    <a:prstGeom prst="rect">
                      <a:avLst/>
                    </a:prstGeom>
                    <a:noFill/>
                    <a:ln>
                      <a:noFill/>
                    </a:ln>
                  </pic:spPr>
                </pic:pic>
              </a:graphicData>
            </a:graphic>
          </wp:inline>
        </w:drawing>
      </w:r>
    </w:p>
    <w:p w14:paraId="3BD32A98" w14:textId="79059CC9" w:rsidR="00C321AC" w:rsidRPr="00F064CA" w:rsidRDefault="00C321AC" w:rsidP="002F4A0E">
      <w:pPr>
        <w:rPr>
          <w:rFonts w:eastAsia="Times New Roman"/>
          <w:sz w:val="24"/>
          <w:szCs w:val="24"/>
        </w:rPr>
        <w:sectPr w:rsidR="00C321AC" w:rsidRPr="00F064CA" w:rsidSect="00C321AC">
          <w:pgSz w:w="15840" w:h="12240" w:orient="landscape"/>
          <w:pgMar w:top="1440" w:right="1440" w:bottom="1440" w:left="1440" w:header="432" w:footer="720" w:gutter="0"/>
          <w:cols w:space="720"/>
          <w:docGrid w:linePitch="360"/>
        </w:sectPr>
      </w:pPr>
      <w:r w:rsidRPr="00F064CA">
        <w:rPr>
          <w:rFonts w:eastAsia="Times New Roman"/>
          <w:b/>
          <w:bCs/>
          <w:color w:val="000000"/>
          <w:sz w:val="24"/>
          <w:szCs w:val="24"/>
        </w:rPr>
        <w:t>Figure 9.</w:t>
      </w:r>
      <w:r w:rsidRPr="00F064CA">
        <w:rPr>
          <w:rFonts w:eastAsia="Times New Roman"/>
          <w:color w:val="000000"/>
          <w:sz w:val="24"/>
          <w:szCs w:val="24"/>
        </w:rPr>
        <w:t xml:space="preserve"> Isochrons, expansion index analysis, and throw throughout different stages of the life of Fault 7. The throw through time values are taken from displacement backstripping, which can be seen in detail in the </w:t>
      </w:r>
      <w:r w:rsidR="005C5486">
        <w:rPr>
          <w:rFonts w:eastAsia="Times New Roman"/>
          <w:color w:val="000000"/>
          <w:sz w:val="24"/>
          <w:szCs w:val="24"/>
        </w:rPr>
        <w:t>appendix</w:t>
      </w:r>
      <w:r w:rsidRPr="00F064CA">
        <w:rPr>
          <w:rFonts w:eastAsia="Times New Roman"/>
          <w:color w:val="000000"/>
          <w:sz w:val="24"/>
          <w:szCs w:val="24"/>
        </w:rPr>
        <w:t xml:space="preserve"> figures. White dots indicate the length of the fault at the specified interval. </w:t>
      </w:r>
      <w:r w:rsidRPr="00F064CA">
        <w:rPr>
          <w:rFonts w:eastAsia="Times New Roman"/>
          <w:b/>
          <w:bCs/>
          <w:color w:val="000000"/>
          <w:sz w:val="24"/>
          <w:szCs w:val="24"/>
        </w:rPr>
        <w:t>a)</w:t>
      </w:r>
      <w:r w:rsidRPr="00F064CA">
        <w:rPr>
          <w:rFonts w:eastAsia="Times New Roman"/>
          <w:color w:val="000000"/>
          <w:sz w:val="24"/>
          <w:szCs w:val="24"/>
        </w:rPr>
        <w:t xml:space="preserve"> Isochron showing the thickness between H1 (209.5 my) and H2 (196 my), maximum throw is 55 m, and length is 11,500m, </w:t>
      </w:r>
      <w:r w:rsidRPr="00F064CA">
        <w:rPr>
          <w:rFonts w:eastAsia="Times New Roman"/>
          <w:b/>
          <w:bCs/>
          <w:color w:val="000000"/>
          <w:sz w:val="24"/>
          <w:szCs w:val="24"/>
        </w:rPr>
        <w:t>b)</w:t>
      </w:r>
      <w:r w:rsidRPr="00F064CA">
        <w:rPr>
          <w:rFonts w:eastAsia="Times New Roman"/>
          <w:color w:val="000000"/>
          <w:sz w:val="24"/>
          <w:szCs w:val="24"/>
        </w:rPr>
        <w:t xml:space="preserve"> Isochron showing the thickness between H2 (196 my) and H4 (170 my), maximum throw is 116 m and length is 14,700 m,  </w:t>
      </w:r>
      <w:r w:rsidRPr="00F064CA">
        <w:rPr>
          <w:rFonts w:eastAsia="Times New Roman"/>
          <w:b/>
          <w:bCs/>
          <w:color w:val="000000"/>
          <w:sz w:val="24"/>
          <w:szCs w:val="24"/>
        </w:rPr>
        <w:t>c)</w:t>
      </w:r>
      <w:r w:rsidRPr="00F064CA">
        <w:rPr>
          <w:rFonts w:eastAsia="Times New Roman"/>
          <w:color w:val="000000"/>
          <w:sz w:val="24"/>
          <w:szCs w:val="24"/>
        </w:rPr>
        <w:t xml:space="preserve"> Isochron showing the thickness between H4 (170 my) and H5(162.5 my), maximum throw is 303 m and length is 17,100, </w:t>
      </w:r>
      <w:r w:rsidRPr="00F064CA">
        <w:rPr>
          <w:rFonts w:eastAsia="Times New Roman"/>
          <w:b/>
          <w:bCs/>
          <w:color w:val="000000"/>
          <w:sz w:val="24"/>
          <w:szCs w:val="24"/>
        </w:rPr>
        <w:t>d)</w:t>
      </w:r>
      <w:r w:rsidRPr="00F064CA">
        <w:rPr>
          <w:rFonts w:eastAsia="Times New Roman"/>
          <w:color w:val="000000"/>
          <w:sz w:val="24"/>
          <w:szCs w:val="24"/>
        </w:rPr>
        <w:t xml:space="preserve"> Isochron showing the thickness between H5 (162.5 my) and H6 (142.3 my), maximum throw is 550 m and length is 19,000, </w:t>
      </w:r>
      <w:r w:rsidRPr="00F064CA">
        <w:rPr>
          <w:rFonts w:eastAsia="Times New Roman"/>
          <w:b/>
          <w:bCs/>
          <w:color w:val="000000"/>
          <w:sz w:val="24"/>
          <w:szCs w:val="24"/>
        </w:rPr>
        <w:t>e)</w:t>
      </w:r>
      <w:r w:rsidRPr="00F064CA">
        <w:rPr>
          <w:rFonts w:eastAsia="Times New Roman"/>
          <w:color w:val="000000"/>
          <w:sz w:val="24"/>
          <w:szCs w:val="24"/>
        </w:rPr>
        <w:t xml:space="preserve"> Isochron showing the thickness between H6 (142.3 my) and H7 (137.7) my, maximum throw is 617 and length is 13,900 m.</w:t>
      </w:r>
      <w:r w:rsidR="002F4A0E" w:rsidRPr="00F064CA">
        <w:rPr>
          <w:rFonts w:eastAsia="Times New Roman"/>
          <w:color w:val="000000"/>
          <w:sz w:val="24"/>
          <w:szCs w:val="24"/>
        </w:rPr>
        <w:t xml:space="preserve"> </w:t>
      </w:r>
      <w:r w:rsidR="002F4A0E" w:rsidRPr="00F064CA">
        <w:rPr>
          <w:color w:val="000000"/>
          <w:sz w:val="24"/>
          <w:szCs w:val="24"/>
        </w:rPr>
        <w:t xml:space="preserve">All throw values should </w:t>
      </w:r>
      <w:proofErr w:type="gramStart"/>
      <w:r w:rsidR="002F4A0E" w:rsidRPr="00F064CA">
        <w:rPr>
          <w:color w:val="000000"/>
          <w:sz w:val="24"/>
          <w:szCs w:val="24"/>
        </w:rPr>
        <w:t>be considered to be</w:t>
      </w:r>
      <w:proofErr w:type="gramEnd"/>
      <w:r w:rsidR="002F4A0E" w:rsidRPr="00F064CA">
        <w:rPr>
          <w:color w:val="000000"/>
          <w:sz w:val="24"/>
          <w:szCs w:val="24"/>
        </w:rPr>
        <w:t xml:space="preserve"> possible +20% due to decompaction (Taylor et al</w:t>
      </w:r>
      <w:r w:rsidR="0068610B" w:rsidRPr="00F064CA">
        <w:rPr>
          <w:color w:val="000000"/>
          <w:sz w:val="24"/>
          <w:szCs w:val="24"/>
        </w:rPr>
        <w:t>.</w:t>
      </w:r>
      <w:r w:rsidR="002F4A0E" w:rsidRPr="00F064CA">
        <w:rPr>
          <w:color w:val="000000"/>
          <w:sz w:val="24"/>
          <w:szCs w:val="24"/>
        </w:rPr>
        <w:t>, 2008).</w:t>
      </w:r>
    </w:p>
    <w:p w14:paraId="2A35CD9A" w14:textId="26739977" w:rsidR="00D54D8E" w:rsidRPr="00F064CA" w:rsidRDefault="00D54D8E" w:rsidP="002349AD">
      <w:pPr>
        <w:pStyle w:val="Abstract"/>
        <w:spacing w:line="480" w:lineRule="auto"/>
      </w:pPr>
    </w:p>
    <w:p w14:paraId="1B2E2E94" w14:textId="77777777" w:rsidR="00516DB1" w:rsidRPr="00F064CA" w:rsidRDefault="00516DB1" w:rsidP="002349AD">
      <w:pPr>
        <w:pStyle w:val="Heading-Secondary"/>
        <w:spacing w:line="480" w:lineRule="auto"/>
        <w:rPr>
          <w:b/>
          <w:bCs w:val="0"/>
        </w:rPr>
      </w:pPr>
      <w:r w:rsidRPr="00F064CA">
        <w:rPr>
          <w:b/>
          <w:bCs w:val="0"/>
        </w:rPr>
        <w:t xml:space="preserve">4.2.1 Observations </w:t>
      </w:r>
    </w:p>
    <w:p w14:paraId="55CD2176" w14:textId="693DF32D" w:rsidR="00516DB1" w:rsidRPr="00F064CA" w:rsidRDefault="00516DB1" w:rsidP="002349AD">
      <w:pPr>
        <w:pStyle w:val="NormalWeb"/>
        <w:spacing w:line="480" w:lineRule="auto"/>
        <w:ind w:firstLine="720"/>
        <w:rPr>
          <w:rFonts w:eastAsia="Times New Roman"/>
        </w:rPr>
      </w:pPr>
      <w:r w:rsidRPr="00F064CA">
        <w:rPr>
          <w:rFonts w:eastAsia="Times New Roman"/>
          <w:color w:val="000000"/>
        </w:rPr>
        <w:t xml:space="preserve">Fault 2 (F2) is a 19 km long, SSW-NNE-striking, WNW-dipping normal fault. F2 comprises a long (11 km) central segment that is linked at each end via abrupt bends, to shorter (3-5 km) segments (Figures 8 and 9). The upper tip-line of F1 is located in Lower Cretaceous strata, and its lower tip-line is difficult to locate due to poor seismic imaging in the pre-rift, but F1 appears to tip out deep in the study area or into the basement (Figure 4). F2 presently has three local throw maxima; a central maxima (380 </w:t>
      </w:r>
      <w:proofErr w:type="spellStart"/>
      <w:r w:rsidRPr="00F064CA">
        <w:rPr>
          <w:rFonts w:eastAsia="Times New Roman"/>
          <w:color w:val="000000"/>
        </w:rPr>
        <w:t>ms</w:t>
      </w:r>
      <w:proofErr w:type="spellEnd"/>
      <w:r w:rsidRPr="00F064CA">
        <w:rPr>
          <w:rFonts w:eastAsia="Times New Roman"/>
          <w:color w:val="000000"/>
        </w:rPr>
        <w:t xml:space="preserve"> TWT </w:t>
      </w:r>
      <w:r w:rsidRPr="00F064CA">
        <w:rPr>
          <w:rFonts w:eastAsia="Times New Roman"/>
          <w:color w:val="000000"/>
          <w:vertAlign w:val="superscript"/>
        </w:rPr>
        <w:t>{+76}</w:t>
      </w:r>
      <w:r w:rsidRPr="00F064CA">
        <w:rPr>
          <w:rFonts w:eastAsia="Times New Roman"/>
          <w:color w:val="000000"/>
        </w:rPr>
        <w:t xml:space="preserve">, 620 m </w:t>
      </w:r>
      <w:r w:rsidRPr="00F064CA">
        <w:rPr>
          <w:rFonts w:eastAsia="Times New Roman"/>
          <w:color w:val="000000"/>
          <w:vertAlign w:val="superscript"/>
        </w:rPr>
        <w:t>{+124}</w:t>
      </w:r>
      <w:r w:rsidRPr="00F064CA">
        <w:rPr>
          <w:rFonts w:eastAsia="Times New Roman"/>
          <w:color w:val="000000"/>
        </w:rPr>
        <w:t xml:space="preserve"> at H1) on the main, central segment, a southern maxima (348 </w:t>
      </w:r>
      <w:proofErr w:type="spellStart"/>
      <w:r w:rsidRPr="00F064CA">
        <w:rPr>
          <w:rFonts w:eastAsia="Times New Roman"/>
          <w:color w:val="000000"/>
        </w:rPr>
        <w:t>ms</w:t>
      </w:r>
      <w:proofErr w:type="spellEnd"/>
      <w:r w:rsidRPr="00F064CA">
        <w:rPr>
          <w:rFonts w:eastAsia="Times New Roman"/>
          <w:color w:val="000000"/>
        </w:rPr>
        <w:t xml:space="preserve"> TWT</w:t>
      </w:r>
      <w:r w:rsidRPr="00F064CA">
        <w:rPr>
          <w:rFonts w:eastAsia="Times New Roman"/>
          <w:color w:val="000000"/>
          <w:vertAlign w:val="superscript"/>
        </w:rPr>
        <w:t>{+70}</w:t>
      </w:r>
      <w:r w:rsidRPr="00F064CA">
        <w:rPr>
          <w:rFonts w:eastAsia="Times New Roman"/>
          <w:color w:val="000000"/>
        </w:rPr>
        <w:t>, 560 m</w:t>
      </w:r>
      <w:r w:rsidRPr="00F064CA">
        <w:rPr>
          <w:rFonts w:eastAsia="Times New Roman"/>
          <w:color w:val="000000"/>
          <w:vertAlign w:val="superscript"/>
        </w:rPr>
        <w:t>{+112}</w:t>
      </w:r>
      <w:r w:rsidRPr="00F064CA">
        <w:rPr>
          <w:rFonts w:eastAsia="Times New Roman"/>
          <w:color w:val="000000"/>
        </w:rPr>
        <w:t xml:space="preserve"> at H1) that is located along the southern fault segment, and a smaller, northern maxima (94 </w:t>
      </w:r>
      <w:proofErr w:type="spellStart"/>
      <w:r w:rsidRPr="00F064CA">
        <w:rPr>
          <w:rFonts w:eastAsia="Times New Roman"/>
          <w:color w:val="000000"/>
        </w:rPr>
        <w:t>ms</w:t>
      </w:r>
      <w:proofErr w:type="spellEnd"/>
      <w:r w:rsidRPr="00F064CA">
        <w:rPr>
          <w:rFonts w:eastAsia="Times New Roman"/>
          <w:color w:val="000000"/>
        </w:rPr>
        <w:t xml:space="preserve"> TWT</w:t>
      </w:r>
      <w:r w:rsidRPr="00F064CA">
        <w:rPr>
          <w:rFonts w:eastAsia="Times New Roman"/>
          <w:color w:val="000000"/>
          <w:vertAlign w:val="superscript"/>
        </w:rPr>
        <w:t>{+19}</w:t>
      </w:r>
      <w:r w:rsidRPr="00F064CA">
        <w:rPr>
          <w:rFonts w:eastAsia="Times New Roman"/>
          <w:color w:val="000000"/>
        </w:rPr>
        <w:t>, 150 m</w:t>
      </w:r>
      <w:r w:rsidRPr="00F064CA">
        <w:rPr>
          <w:rFonts w:eastAsia="Times New Roman"/>
          <w:color w:val="000000"/>
          <w:vertAlign w:val="superscript"/>
        </w:rPr>
        <w:t>{+30}</w:t>
      </w:r>
      <w:r w:rsidRPr="00F064CA">
        <w:rPr>
          <w:rFonts w:eastAsia="Times New Roman"/>
          <w:color w:val="000000"/>
        </w:rPr>
        <w:t xml:space="preserve"> at H1) on the northern fault segment (Figure 8b). The throw </w:t>
      </w:r>
      <w:proofErr w:type="spellStart"/>
      <w:r w:rsidRPr="00F064CA">
        <w:rPr>
          <w:rFonts w:eastAsia="Times New Roman"/>
          <w:color w:val="000000"/>
        </w:rPr>
        <w:t>maximas</w:t>
      </w:r>
      <w:proofErr w:type="spellEnd"/>
      <w:r w:rsidRPr="00F064CA">
        <w:rPr>
          <w:rFonts w:eastAsia="Times New Roman"/>
          <w:color w:val="000000"/>
        </w:rPr>
        <w:t xml:space="preserve"> are separated by two throw </w:t>
      </w:r>
      <w:proofErr w:type="spellStart"/>
      <w:r w:rsidRPr="00F064CA">
        <w:rPr>
          <w:rFonts w:eastAsia="Times New Roman"/>
          <w:color w:val="000000"/>
        </w:rPr>
        <w:t>minimas</w:t>
      </w:r>
      <w:proofErr w:type="spellEnd"/>
      <w:r w:rsidRPr="00F064CA">
        <w:rPr>
          <w:rFonts w:eastAsia="Times New Roman"/>
          <w:color w:val="000000"/>
        </w:rPr>
        <w:t xml:space="preserve"> that coincide with the abrupt bends in the map-view trace of F2, where the northern and southern segments connect with the central segment (Figure 9). The main segment has an overall symmetrical throw distribution, and the northern and southern segments are skewed to the south and north respectively (Figure 8b). </w:t>
      </w:r>
    </w:p>
    <w:p w14:paraId="05A35545" w14:textId="1E6CA2E2" w:rsidR="00516DB1" w:rsidRPr="00F064CA" w:rsidRDefault="00516DB1" w:rsidP="002349AD">
      <w:pPr>
        <w:spacing w:line="480" w:lineRule="auto"/>
        <w:ind w:firstLine="720"/>
        <w:rPr>
          <w:rFonts w:eastAsia="Times New Roman"/>
          <w:color w:val="000000"/>
          <w:sz w:val="24"/>
          <w:szCs w:val="24"/>
        </w:rPr>
      </w:pPr>
      <w:r w:rsidRPr="00F064CA">
        <w:rPr>
          <w:rFonts w:eastAsia="Times New Roman"/>
          <w:color w:val="000000"/>
          <w:sz w:val="24"/>
          <w:szCs w:val="24"/>
        </w:rPr>
        <w:t>There are clear wedge-</w:t>
      </w:r>
      <w:proofErr w:type="gramStart"/>
      <w:r w:rsidRPr="00F064CA">
        <w:rPr>
          <w:rFonts w:eastAsia="Times New Roman"/>
          <w:color w:val="000000"/>
          <w:sz w:val="24"/>
          <w:szCs w:val="24"/>
        </w:rPr>
        <w:t>shaped  stratigraphic</w:t>
      </w:r>
      <w:proofErr w:type="gramEnd"/>
      <w:r w:rsidRPr="00F064CA">
        <w:rPr>
          <w:rFonts w:eastAsia="Times New Roman"/>
          <w:color w:val="000000"/>
          <w:sz w:val="24"/>
          <w:szCs w:val="24"/>
        </w:rPr>
        <w:t xml:space="preserve"> packages between H1 and H7 in the hanging wall, which thicken towards F2. Pre-H1 and post-H7 </w:t>
      </w:r>
      <w:proofErr w:type="spellStart"/>
      <w:r w:rsidRPr="00F064CA">
        <w:rPr>
          <w:rFonts w:eastAsia="Times New Roman"/>
          <w:color w:val="000000"/>
          <w:sz w:val="24"/>
          <w:szCs w:val="24"/>
        </w:rPr>
        <w:t>strat</w:t>
      </w:r>
      <w:proofErr w:type="spellEnd"/>
      <w:r w:rsidRPr="00F064CA">
        <w:rPr>
          <w:rFonts w:eastAsia="Times New Roman"/>
          <w:color w:val="000000"/>
          <w:sz w:val="24"/>
          <w:szCs w:val="24"/>
        </w:rPr>
        <w:t xml:space="preserve"> are isopachous (Figure 8</w:t>
      </w:r>
      <w:proofErr w:type="gramStart"/>
      <w:r w:rsidRPr="00F064CA">
        <w:rPr>
          <w:rFonts w:eastAsia="Times New Roman"/>
          <w:color w:val="000000"/>
          <w:sz w:val="24"/>
          <w:szCs w:val="24"/>
        </w:rPr>
        <w:t>a)  EI</w:t>
      </w:r>
      <w:proofErr w:type="gramEnd"/>
      <w:r w:rsidRPr="00F064CA">
        <w:rPr>
          <w:rFonts w:eastAsia="Times New Roman"/>
          <w:color w:val="000000"/>
          <w:sz w:val="24"/>
          <w:szCs w:val="24"/>
        </w:rPr>
        <w:t xml:space="preserve"> plots show values </w:t>
      </w:r>
      <w:r w:rsidRPr="00F064CA">
        <w:rPr>
          <w:rFonts w:eastAsia="Times New Roman"/>
          <w:color w:val="222222"/>
          <w:sz w:val="24"/>
          <w:szCs w:val="24"/>
        </w:rPr>
        <w:t>≥1</w:t>
      </w:r>
      <w:r w:rsidRPr="00F064CA">
        <w:rPr>
          <w:rFonts w:eastAsia="Times New Roman"/>
          <w:color w:val="000000"/>
          <w:sz w:val="24"/>
          <w:szCs w:val="24"/>
        </w:rPr>
        <w:t xml:space="preserve"> along a progressively longer portion of the fault from the oldest to the second youngest stratigraphic intervals (Units 1-4; Figures 9a-d). In Unit </w:t>
      </w:r>
      <w:proofErr w:type="gramStart"/>
      <w:r w:rsidRPr="00F064CA">
        <w:rPr>
          <w:rFonts w:eastAsia="Times New Roman"/>
          <w:color w:val="000000"/>
          <w:sz w:val="24"/>
          <w:szCs w:val="24"/>
        </w:rPr>
        <w:t>5 ,</w:t>
      </w:r>
      <w:proofErr w:type="gramEnd"/>
      <w:r w:rsidRPr="00F064CA">
        <w:rPr>
          <w:rFonts w:eastAsia="Times New Roman"/>
          <w:color w:val="000000"/>
          <w:sz w:val="24"/>
          <w:szCs w:val="24"/>
        </w:rPr>
        <w:t xml:space="preserve"> the lateral tips of the fault have an EI value that is &lt;1 (Figure 9e).</w:t>
      </w:r>
    </w:p>
    <w:p w14:paraId="08DA0187" w14:textId="77777777" w:rsidR="000726F3" w:rsidRPr="00F064CA" w:rsidRDefault="00516DB1" w:rsidP="002349AD">
      <w:pPr>
        <w:pStyle w:val="Heading-Secondary"/>
        <w:spacing w:line="480" w:lineRule="auto"/>
        <w:rPr>
          <w:b/>
          <w:bCs w:val="0"/>
        </w:rPr>
      </w:pPr>
      <w:r w:rsidRPr="00F064CA">
        <w:rPr>
          <w:b/>
          <w:bCs w:val="0"/>
        </w:rPr>
        <w:lastRenderedPageBreak/>
        <w:t xml:space="preserve">4.2.2 </w:t>
      </w:r>
      <w:r w:rsidR="00B275DC" w:rsidRPr="00F064CA">
        <w:rPr>
          <w:b/>
          <w:bCs w:val="0"/>
        </w:rPr>
        <w:t>Interpretations</w:t>
      </w:r>
      <w:r w:rsidR="000726F3" w:rsidRPr="00F064CA">
        <w:rPr>
          <w:b/>
          <w:bCs w:val="0"/>
        </w:rPr>
        <w:t xml:space="preserve"> </w:t>
      </w:r>
    </w:p>
    <w:p w14:paraId="2A4BB378" w14:textId="62D77EB9" w:rsidR="000726F3" w:rsidRPr="00F064CA" w:rsidRDefault="000726F3" w:rsidP="002349AD">
      <w:pPr>
        <w:pStyle w:val="NormalWeb"/>
        <w:spacing w:line="480" w:lineRule="auto"/>
        <w:ind w:firstLine="720"/>
        <w:rPr>
          <w:rFonts w:eastAsia="Times New Roman"/>
        </w:rPr>
      </w:pPr>
      <w:r w:rsidRPr="00F064CA">
        <w:rPr>
          <w:rFonts w:eastAsia="Times New Roman"/>
          <w:color w:val="000000"/>
        </w:rPr>
        <w:t xml:space="preserve">We see across-fault thickening between H1 and H7 (Units 1-5) in cross-section (Figure 8a) and in isochron thickness maps (Figures 9a-e), suggesting F2 was active from 209.5 to 137.7 Ma (Early Jurassic-Early Cretaceous). The fact that EI values </w:t>
      </w:r>
      <w:r w:rsidRPr="00F064CA">
        <w:rPr>
          <w:rFonts w:eastAsia="Times New Roman"/>
          <w:color w:val="222222"/>
        </w:rPr>
        <w:t>≥1</w:t>
      </w:r>
      <w:r w:rsidRPr="00F064CA">
        <w:rPr>
          <w:rFonts w:eastAsia="Times New Roman"/>
          <w:color w:val="000000"/>
        </w:rPr>
        <w:t xml:space="preserve"> are limited to the central segment of the fault in Unit 1 (Figure 9a) suggests that F2 initiated here, an interpretation that is supported by the symmetry of the throw distribution on this segment (Figure 8b). The shorter southern segment is clearly present and active by Unit 3 (Figure 9c) and possibly already by Unit 2 (Figure 9b) times, as evidenced by EI values </w:t>
      </w:r>
      <w:r w:rsidRPr="00F064CA">
        <w:rPr>
          <w:rFonts w:eastAsia="Times New Roman"/>
          <w:color w:val="222222"/>
        </w:rPr>
        <w:t>≥1</w:t>
      </w:r>
      <w:r w:rsidRPr="00F064CA">
        <w:rPr>
          <w:rFonts w:eastAsia="Times New Roman"/>
          <w:color w:val="000000"/>
        </w:rPr>
        <w:t xml:space="preserve"> along these segments in the corresponding interval. The throw maxima on the southern segment is skewed towards the NNE (Figure 8b), which is interpreted as a result of the mechanical interaction of the southern section with the already-existing central segment (Wilkinson et al., 2015). The northern segment is present and active by Unit 3 times</w:t>
      </w:r>
      <w:r w:rsidR="00B0458F">
        <w:rPr>
          <w:rFonts w:eastAsia="Times New Roman"/>
          <w:color w:val="000000"/>
        </w:rPr>
        <w:t xml:space="preserve"> (c. 28.5 </w:t>
      </w:r>
      <w:proofErr w:type="spellStart"/>
      <w:r w:rsidR="00B0458F">
        <w:rPr>
          <w:rFonts w:eastAsia="Times New Roman"/>
          <w:color w:val="000000"/>
        </w:rPr>
        <w:t>myr</w:t>
      </w:r>
      <w:proofErr w:type="spellEnd"/>
      <w:r w:rsidR="00B0458F">
        <w:rPr>
          <w:rFonts w:eastAsia="Times New Roman"/>
          <w:color w:val="000000"/>
        </w:rPr>
        <w:t>)</w:t>
      </w:r>
      <w:r w:rsidRPr="00F064CA">
        <w:rPr>
          <w:rFonts w:eastAsia="Times New Roman"/>
          <w:color w:val="000000"/>
        </w:rPr>
        <w:t xml:space="preserve">, based on the observation of EI values </w:t>
      </w:r>
      <w:r w:rsidRPr="00F064CA">
        <w:rPr>
          <w:rFonts w:eastAsia="Times New Roman"/>
          <w:color w:val="222222"/>
        </w:rPr>
        <w:t>≥1</w:t>
      </w:r>
      <w:r w:rsidRPr="00F064CA">
        <w:rPr>
          <w:rFonts w:eastAsia="Times New Roman"/>
          <w:color w:val="000000"/>
        </w:rPr>
        <w:t xml:space="preserve"> along the segment (Figure 9c). This northern segment may have simply formed due to lateral (i.e. north-northeastward) propagation of the northern tip of the central segment. However, our preferred interpretation is that it initiated as a separate segment, based on: i) the observed EI distribution within Unit 4 (i.e. the EI peak is located centrally along the SSW segment; Figure 9c); ii) the fact the throw maximum is offset to the SW of the </w:t>
      </w:r>
      <w:proofErr w:type="spellStart"/>
      <w:r w:rsidRPr="00F064CA">
        <w:rPr>
          <w:rFonts w:eastAsia="Times New Roman"/>
          <w:color w:val="000000"/>
        </w:rPr>
        <w:t>centre</w:t>
      </w:r>
      <w:proofErr w:type="spellEnd"/>
      <w:r w:rsidRPr="00F064CA">
        <w:rPr>
          <w:rFonts w:eastAsia="Times New Roman"/>
          <w:color w:val="000000"/>
        </w:rPr>
        <w:t xml:space="preserve"> of the mapped trace of the northern segment (Figure 8b); and, iii) the pronounced bend between the central and northern segments, which we infer reflects a now-breached relay ramp (Peacock &amp; Sanderson 1994; Walsh et al., 1999). F1 reached its maximum length by </w:t>
      </w:r>
      <w:r w:rsidR="008D307F">
        <w:rPr>
          <w:rFonts w:eastAsia="Times New Roman"/>
          <w:color w:val="000000"/>
        </w:rPr>
        <w:t xml:space="preserve">the </w:t>
      </w:r>
      <w:r w:rsidRPr="00F064CA">
        <w:rPr>
          <w:rFonts w:eastAsia="Times New Roman"/>
          <w:color w:val="000000"/>
        </w:rPr>
        <w:t>deposition of H5, or possibly sooner, as evidenced by EI</w:t>
      </w:r>
      <w:r w:rsidRPr="00F064CA">
        <w:rPr>
          <w:rFonts w:eastAsia="Times New Roman"/>
          <w:color w:val="222222"/>
        </w:rPr>
        <w:t>≥</w:t>
      </w:r>
      <w:r w:rsidRPr="00F064CA">
        <w:rPr>
          <w:rFonts w:eastAsia="Times New Roman"/>
          <w:color w:val="000000"/>
        </w:rPr>
        <w:t>1 across its length during this interval. EI values drop below 1 on the lateral tips of F2 in Unit 5, which we interpret as the outer 2-2.5 km of the fault becoming inactive (Figure 9e). </w:t>
      </w:r>
    </w:p>
    <w:p w14:paraId="3530C727" w14:textId="2E795257" w:rsidR="000726F3" w:rsidRPr="00F064CA" w:rsidRDefault="000726F3" w:rsidP="002349AD">
      <w:pPr>
        <w:spacing w:line="480" w:lineRule="auto"/>
        <w:ind w:firstLine="720"/>
        <w:rPr>
          <w:rFonts w:eastAsia="Times New Roman"/>
          <w:color w:val="000000"/>
          <w:sz w:val="24"/>
          <w:szCs w:val="24"/>
        </w:rPr>
      </w:pPr>
      <w:r w:rsidRPr="00F064CA">
        <w:rPr>
          <w:rFonts w:eastAsia="Times New Roman"/>
          <w:color w:val="000000"/>
          <w:sz w:val="24"/>
          <w:szCs w:val="24"/>
        </w:rPr>
        <w:lastRenderedPageBreak/>
        <w:t xml:space="preserve">In summary, according to throw backstripping and EI analysis, F2 initiated after the deposition of H1 (c. 209.5 ma), and within c. 9.4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(13% of its total life) was 11.5 km long (60.5% of maximum length). During this first phase of activity, F2 only accumulated c. 13% of its total throw. Approximately 18.8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later, F2 had grown via tip propagation and possibly segment linkage to be 14.7 km long. At this time, the fault had reached 77.4% of maximum length and only 20% of total throw by this point (39.3% of the faults life). C. 9.4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later (i.e. 50.2% of the total life), the central segment of F2 grew via segment linkage to be 17.1 km long, and accumulated c. 52.4% of total throw. Its maximum length was reached within the next 29.9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by which time it had accumulated c. 95.1% of its total throw. During the last 4.6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of the </w:t>
      </w:r>
      <w:proofErr w:type="gramStart"/>
      <w:r w:rsidRPr="00F064CA">
        <w:rPr>
          <w:rFonts w:eastAsia="Times New Roman"/>
          <w:color w:val="000000"/>
          <w:sz w:val="24"/>
          <w:szCs w:val="24"/>
        </w:rPr>
        <w:t>faults</w:t>
      </w:r>
      <w:proofErr w:type="gramEnd"/>
      <w:r w:rsidRPr="00F064CA">
        <w:rPr>
          <w:rFonts w:eastAsia="Times New Roman"/>
          <w:color w:val="000000"/>
          <w:sz w:val="24"/>
          <w:szCs w:val="24"/>
        </w:rPr>
        <w:t xml:space="preserve"> life, the remaining 4.9% of throw was accrued, and the northernmost 2.6 km and southernmost 2.4 km of the fault became inactive.</w:t>
      </w:r>
    </w:p>
    <w:p w14:paraId="7F589337" w14:textId="0414AD5B" w:rsidR="000726F3" w:rsidRPr="00F064CA" w:rsidRDefault="000726F3" w:rsidP="002349AD">
      <w:pPr>
        <w:spacing w:line="480" w:lineRule="auto"/>
        <w:ind w:firstLine="720"/>
        <w:rPr>
          <w:rFonts w:eastAsia="Times New Roman"/>
          <w:color w:val="000000"/>
          <w:sz w:val="24"/>
          <w:szCs w:val="24"/>
        </w:rPr>
      </w:pPr>
    </w:p>
    <w:p w14:paraId="284B1FA7" w14:textId="1F84037C" w:rsidR="000726F3" w:rsidRPr="00F064CA" w:rsidRDefault="000726F3" w:rsidP="002349AD">
      <w:pPr>
        <w:pStyle w:val="Heading-Secondary"/>
        <w:spacing w:line="480" w:lineRule="auto"/>
        <w:rPr>
          <w:b/>
          <w:bCs w:val="0"/>
        </w:rPr>
      </w:pPr>
      <w:r w:rsidRPr="00F064CA">
        <w:rPr>
          <w:b/>
          <w:bCs w:val="0"/>
        </w:rPr>
        <w:lastRenderedPageBreak/>
        <w:t>4.3 Fault 3</w:t>
      </w:r>
    </w:p>
    <w:p w14:paraId="36BC6B3C" w14:textId="77777777" w:rsidR="0045336E" w:rsidRPr="00F064CA" w:rsidRDefault="00C321AC" w:rsidP="002349AD">
      <w:pPr>
        <w:pStyle w:val="Abstract"/>
        <w:spacing w:line="480" w:lineRule="auto"/>
        <w:rPr>
          <w:rFonts w:ascii="Arial" w:hAnsi="Arial" w:cs="Arial"/>
          <w:color w:val="000000"/>
        </w:rPr>
      </w:pPr>
      <w:r w:rsidRPr="00F064CA">
        <w:rPr>
          <w:noProof/>
        </w:rPr>
        <w:drawing>
          <wp:inline distT="0" distB="0" distL="0" distR="0" wp14:anchorId="4BC7C8A7" wp14:editId="4E4EBE32">
            <wp:extent cx="5414010" cy="56159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4010" cy="5615940"/>
                    </a:xfrm>
                    <a:prstGeom prst="rect">
                      <a:avLst/>
                    </a:prstGeom>
                    <a:noFill/>
                    <a:ln>
                      <a:noFill/>
                    </a:ln>
                  </pic:spPr>
                </pic:pic>
              </a:graphicData>
            </a:graphic>
          </wp:inline>
        </w:drawing>
      </w:r>
    </w:p>
    <w:p w14:paraId="268677CD" w14:textId="3508F761" w:rsidR="00C321AC" w:rsidRPr="00F064CA" w:rsidRDefault="0045336E" w:rsidP="007E211A">
      <w:pPr>
        <w:pStyle w:val="Abstract"/>
        <w:rPr>
          <w:color w:val="000000"/>
        </w:rPr>
      </w:pPr>
      <w:r w:rsidRPr="00F064CA">
        <w:rPr>
          <w:b/>
          <w:bCs/>
          <w:color w:val="000000"/>
        </w:rPr>
        <w:t>Figure 10. a)</w:t>
      </w:r>
      <w:r w:rsidRPr="00F064CA">
        <w:rPr>
          <w:color w:val="000000"/>
        </w:rPr>
        <w:t xml:space="preserve"> seismic profile illustrating F3 at its point of highest throw and its correlated throws and throw gradients, </w:t>
      </w:r>
      <w:r w:rsidRPr="00F064CA">
        <w:rPr>
          <w:b/>
          <w:bCs/>
          <w:color w:val="000000"/>
        </w:rPr>
        <w:t>b)</w:t>
      </w:r>
      <w:r w:rsidRPr="00F064CA">
        <w:rPr>
          <w:color w:val="000000"/>
        </w:rPr>
        <w:t xml:space="preserve"> throw-distance plot illustrating the lateral variations in throw across each seismic unit</w:t>
      </w:r>
      <w:r w:rsidR="002F4A0E" w:rsidRPr="00F064CA">
        <w:rPr>
          <w:color w:val="000000"/>
        </w:rPr>
        <w:t xml:space="preserve">. All throw values should </w:t>
      </w:r>
      <w:proofErr w:type="gramStart"/>
      <w:r w:rsidR="002F4A0E" w:rsidRPr="00F064CA">
        <w:rPr>
          <w:color w:val="000000"/>
        </w:rPr>
        <w:t>be considered to be</w:t>
      </w:r>
      <w:proofErr w:type="gramEnd"/>
      <w:r w:rsidR="002F4A0E" w:rsidRPr="00F064CA">
        <w:rPr>
          <w:color w:val="000000"/>
        </w:rPr>
        <w:t xml:space="preserve"> possible +20% due to decompaction (Taylor et al</w:t>
      </w:r>
      <w:r w:rsidR="0068610B" w:rsidRPr="00F064CA">
        <w:rPr>
          <w:color w:val="000000"/>
        </w:rPr>
        <w:t>.</w:t>
      </w:r>
      <w:r w:rsidR="002F4A0E" w:rsidRPr="00F064CA">
        <w:rPr>
          <w:color w:val="000000"/>
        </w:rPr>
        <w:t>, 2008).</w:t>
      </w:r>
    </w:p>
    <w:p w14:paraId="702EBB6A" w14:textId="3407214D" w:rsidR="0045336E" w:rsidRPr="00F064CA" w:rsidRDefault="0045336E" w:rsidP="007E211A">
      <w:pPr>
        <w:pStyle w:val="NormalWeb"/>
        <w:rPr>
          <w:rFonts w:eastAsia="Times New Roman"/>
        </w:rPr>
      </w:pPr>
      <w:r w:rsidRPr="00F064CA">
        <w:rPr>
          <w:noProof/>
          <w:color w:val="000000"/>
        </w:rPr>
        <w:lastRenderedPageBreak/>
        <w:drawing>
          <wp:inline distT="0" distB="0" distL="0" distR="0" wp14:anchorId="3AE3D26F" wp14:editId="2EC2DC92">
            <wp:extent cx="5939790" cy="357759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3577590"/>
                    </a:xfrm>
                    <a:prstGeom prst="rect">
                      <a:avLst/>
                    </a:prstGeom>
                    <a:noFill/>
                    <a:ln>
                      <a:noFill/>
                    </a:ln>
                  </pic:spPr>
                </pic:pic>
              </a:graphicData>
            </a:graphic>
          </wp:inline>
        </w:drawing>
      </w:r>
      <w:r w:rsidRPr="00F064CA">
        <w:rPr>
          <w:rFonts w:eastAsia="Times New Roman"/>
          <w:b/>
          <w:bCs/>
          <w:color w:val="000000"/>
        </w:rPr>
        <w:t>Figure 11.</w:t>
      </w:r>
      <w:r w:rsidRPr="00F064CA">
        <w:rPr>
          <w:rFonts w:eastAsia="Times New Roman"/>
          <w:color w:val="000000"/>
        </w:rPr>
        <w:t xml:space="preserve"> Isochrons, expansion index analysis, and throw throughout different stages of the life of F3. The throw through time values are taken from displacement backstripping, which can be seen in detail in the supplementary figures. White dots indicate the length of the fault at the specified interval. </w:t>
      </w:r>
      <w:r w:rsidRPr="00F064CA">
        <w:rPr>
          <w:rFonts w:eastAsia="Times New Roman"/>
          <w:b/>
          <w:bCs/>
          <w:color w:val="000000"/>
        </w:rPr>
        <w:t>a)</w:t>
      </w:r>
      <w:r w:rsidRPr="00F064CA">
        <w:rPr>
          <w:rFonts w:eastAsia="Times New Roman"/>
          <w:color w:val="000000"/>
        </w:rPr>
        <w:t xml:space="preserve"> Isochron showing the thickness between H4 (170  my) and H5 (162.5 my), maximum throw is 28 m, and length is 6200 m, </w:t>
      </w:r>
      <w:r w:rsidRPr="00F064CA">
        <w:rPr>
          <w:rFonts w:eastAsia="Times New Roman"/>
          <w:b/>
          <w:bCs/>
          <w:color w:val="000000"/>
        </w:rPr>
        <w:t>b)</w:t>
      </w:r>
      <w:r w:rsidRPr="00F064CA">
        <w:rPr>
          <w:rFonts w:eastAsia="Times New Roman"/>
          <w:color w:val="000000"/>
        </w:rPr>
        <w:t xml:space="preserve"> Isochron showing the thickness between H5 (162.5 my) and H5.5 (152 my), maximum throw is 100 m and length is 8800 m,  </w:t>
      </w:r>
      <w:r w:rsidRPr="00F064CA">
        <w:rPr>
          <w:rFonts w:eastAsia="Times New Roman"/>
          <w:b/>
          <w:bCs/>
          <w:color w:val="000000"/>
        </w:rPr>
        <w:t>c)</w:t>
      </w:r>
      <w:r w:rsidRPr="00F064CA">
        <w:rPr>
          <w:rFonts w:eastAsia="Times New Roman"/>
          <w:color w:val="000000"/>
        </w:rPr>
        <w:t xml:space="preserve"> Isochron showing the thickness between H5.5 (152 my) and H5(142.3 my), maximum throw is 149 m and length is 8300 m</w:t>
      </w:r>
      <w:r w:rsidRPr="00F064CA">
        <w:rPr>
          <w:rFonts w:ascii="Arial" w:eastAsia="Times New Roman" w:hAnsi="Arial" w:cs="Arial"/>
          <w:color w:val="000000"/>
        </w:rPr>
        <w:t>.</w:t>
      </w:r>
      <w:r w:rsidR="002F4A0E" w:rsidRPr="00F064CA">
        <w:rPr>
          <w:rFonts w:ascii="Arial" w:eastAsia="Times New Roman" w:hAnsi="Arial" w:cs="Arial"/>
          <w:color w:val="000000"/>
        </w:rPr>
        <w:t xml:space="preserve"> </w:t>
      </w:r>
      <w:r w:rsidR="002F4A0E" w:rsidRPr="00F064CA">
        <w:rPr>
          <w:color w:val="000000"/>
        </w:rPr>
        <w:t xml:space="preserve">All throw values should </w:t>
      </w:r>
      <w:proofErr w:type="gramStart"/>
      <w:r w:rsidR="002F4A0E" w:rsidRPr="00F064CA">
        <w:rPr>
          <w:color w:val="000000"/>
        </w:rPr>
        <w:t>be considered to be</w:t>
      </w:r>
      <w:proofErr w:type="gramEnd"/>
      <w:r w:rsidR="002F4A0E" w:rsidRPr="00F064CA">
        <w:rPr>
          <w:color w:val="000000"/>
        </w:rPr>
        <w:t xml:space="preserve"> possible +20% due to decompaction (Taylor et al</w:t>
      </w:r>
      <w:r w:rsidR="0068610B" w:rsidRPr="00F064CA">
        <w:rPr>
          <w:color w:val="000000"/>
        </w:rPr>
        <w:t>.</w:t>
      </w:r>
      <w:r w:rsidR="002F4A0E" w:rsidRPr="00F064CA">
        <w:rPr>
          <w:color w:val="000000"/>
        </w:rPr>
        <w:t>, 2008).</w:t>
      </w:r>
    </w:p>
    <w:p w14:paraId="28CA8408" w14:textId="77777777" w:rsidR="000726F3" w:rsidRPr="00F064CA" w:rsidRDefault="000726F3" w:rsidP="002349AD">
      <w:pPr>
        <w:pStyle w:val="Heading-Secondary"/>
        <w:spacing w:line="480" w:lineRule="auto"/>
        <w:rPr>
          <w:b/>
          <w:bCs w:val="0"/>
        </w:rPr>
      </w:pPr>
      <w:r w:rsidRPr="00F064CA">
        <w:rPr>
          <w:b/>
          <w:bCs w:val="0"/>
        </w:rPr>
        <w:t>4.3.1 Observations</w:t>
      </w:r>
    </w:p>
    <w:p w14:paraId="0807F5B0" w14:textId="281BE1C2" w:rsidR="000726F3" w:rsidRPr="008D307F" w:rsidRDefault="000726F3" w:rsidP="008D307F">
      <w:pPr>
        <w:spacing w:line="480" w:lineRule="auto"/>
        <w:ind w:firstLine="720"/>
        <w:rPr>
          <w:rFonts w:eastAsia="Times New Roman"/>
          <w:sz w:val="24"/>
          <w:szCs w:val="24"/>
        </w:rPr>
      </w:pPr>
      <w:r w:rsidRPr="00F064CA">
        <w:rPr>
          <w:rFonts w:eastAsia="Times New Roman"/>
          <w:color w:val="000000"/>
          <w:sz w:val="24"/>
          <w:szCs w:val="24"/>
        </w:rPr>
        <w:t xml:space="preserve">Fault 3 (F3) is an 8.8 km long, NNE-SSW-striking, ESE-dipping normal fault. Its plan-view geometry consists of a slightly curved, convex-into-the-footwall segment with a small (1 km) fault branch near its northern tip (Figures 10 and 11). The upper tip-line of F1 </w:t>
      </w:r>
      <w:proofErr w:type="gramStart"/>
      <w:r w:rsidRPr="00F064CA">
        <w:rPr>
          <w:rFonts w:eastAsia="Times New Roman"/>
          <w:color w:val="000000"/>
          <w:sz w:val="24"/>
          <w:szCs w:val="24"/>
        </w:rPr>
        <w:t>is located in</w:t>
      </w:r>
      <w:proofErr w:type="gramEnd"/>
      <w:r w:rsidRPr="00F064CA">
        <w:rPr>
          <w:rFonts w:eastAsia="Times New Roman"/>
          <w:color w:val="000000"/>
          <w:sz w:val="24"/>
          <w:szCs w:val="24"/>
        </w:rPr>
        <w:t xml:space="preserve"> Lower Cretaceous strata, and its lower tip-line is difficult to locate due to poor seismic imaging in the pre-rift, but F1 appears to tip out deep in the study area (Figures 10).</w:t>
      </w:r>
      <w:r w:rsidR="008D307F">
        <w:rPr>
          <w:rFonts w:eastAsia="Times New Roman"/>
          <w:sz w:val="24"/>
          <w:szCs w:val="24"/>
        </w:rPr>
        <w:t xml:space="preserve"> </w:t>
      </w:r>
      <w:r w:rsidRPr="00F064CA">
        <w:rPr>
          <w:rFonts w:eastAsia="Times New Roman"/>
          <w:color w:val="000000"/>
          <w:sz w:val="24"/>
          <w:szCs w:val="24"/>
        </w:rPr>
        <w:t>The present-day throw distribution for F3 shows two throw maxima; the main maxima (165 m</w:t>
      </w:r>
      <w:r w:rsidRPr="00F064CA">
        <w:rPr>
          <w:rFonts w:eastAsia="Times New Roman"/>
          <w:color w:val="000000"/>
          <w:sz w:val="24"/>
          <w:szCs w:val="24"/>
          <w:vertAlign w:val="superscript"/>
        </w:rPr>
        <w:t>{+33}</w:t>
      </w:r>
      <w:r w:rsidRPr="00F064CA">
        <w:rPr>
          <w:rFonts w:eastAsia="Times New Roman"/>
          <w:color w:val="000000"/>
          <w:sz w:val="24"/>
          <w:szCs w:val="24"/>
        </w:rPr>
        <w:t xml:space="preserve">, 83 </w:t>
      </w:r>
      <w:proofErr w:type="spellStart"/>
      <w:r w:rsidRPr="00F064CA">
        <w:rPr>
          <w:rFonts w:eastAsia="Times New Roman"/>
          <w:color w:val="000000"/>
          <w:sz w:val="24"/>
          <w:szCs w:val="24"/>
        </w:rPr>
        <w:t>ms</w:t>
      </w:r>
      <w:proofErr w:type="spellEnd"/>
      <w:r w:rsidRPr="00F064CA">
        <w:rPr>
          <w:rFonts w:eastAsia="Times New Roman"/>
          <w:color w:val="000000"/>
          <w:sz w:val="24"/>
          <w:szCs w:val="24"/>
        </w:rPr>
        <w:t xml:space="preserve"> TWT</w:t>
      </w:r>
      <w:r w:rsidRPr="00F064CA">
        <w:rPr>
          <w:rFonts w:eastAsia="Times New Roman"/>
          <w:color w:val="000000"/>
          <w:sz w:val="24"/>
          <w:szCs w:val="24"/>
          <w:vertAlign w:val="superscript"/>
        </w:rPr>
        <w:t>{+17}</w:t>
      </w:r>
      <w:r w:rsidRPr="00F064CA">
        <w:rPr>
          <w:rFonts w:eastAsia="Times New Roman"/>
          <w:color w:val="000000"/>
          <w:sz w:val="24"/>
          <w:szCs w:val="24"/>
        </w:rPr>
        <w:t xml:space="preserve"> at H4) is located in the center of the main segment, with another, more minor maxima </w:t>
      </w:r>
      <w:r w:rsidRPr="00F064CA">
        <w:rPr>
          <w:rFonts w:eastAsia="Times New Roman"/>
          <w:color w:val="000000"/>
          <w:sz w:val="24"/>
          <w:szCs w:val="24"/>
        </w:rPr>
        <w:lastRenderedPageBreak/>
        <w:t>(59 m</w:t>
      </w:r>
      <w:r w:rsidRPr="00F064CA">
        <w:rPr>
          <w:rFonts w:eastAsia="Times New Roman"/>
          <w:color w:val="000000"/>
          <w:sz w:val="24"/>
          <w:szCs w:val="24"/>
          <w:vertAlign w:val="superscript"/>
        </w:rPr>
        <w:t>{+12}</w:t>
      </w:r>
      <w:r w:rsidRPr="00F064CA">
        <w:rPr>
          <w:rFonts w:eastAsia="Times New Roman"/>
          <w:color w:val="000000"/>
          <w:sz w:val="24"/>
          <w:szCs w:val="24"/>
        </w:rPr>
        <w:t xml:space="preserve">, 37 </w:t>
      </w:r>
      <w:proofErr w:type="spellStart"/>
      <w:r w:rsidRPr="00F064CA">
        <w:rPr>
          <w:rFonts w:eastAsia="Times New Roman"/>
          <w:color w:val="000000"/>
          <w:sz w:val="24"/>
          <w:szCs w:val="24"/>
        </w:rPr>
        <w:t>ms</w:t>
      </w:r>
      <w:proofErr w:type="spellEnd"/>
      <w:r w:rsidRPr="00F064CA">
        <w:rPr>
          <w:rFonts w:eastAsia="Times New Roman"/>
          <w:color w:val="000000"/>
          <w:sz w:val="24"/>
          <w:szCs w:val="24"/>
        </w:rPr>
        <w:t xml:space="preserve"> TWT</w:t>
      </w:r>
      <w:r w:rsidRPr="00F064CA">
        <w:rPr>
          <w:rFonts w:eastAsia="Times New Roman"/>
          <w:color w:val="000000"/>
          <w:sz w:val="24"/>
          <w:szCs w:val="24"/>
          <w:vertAlign w:val="superscript"/>
        </w:rPr>
        <w:t>{+7}</w:t>
      </w:r>
      <w:r w:rsidRPr="00F064CA">
        <w:rPr>
          <w:rFonts w:eastAsia="Times New Roman"/>
          <w:color w:val="000000"/>
          <w:sz w:val="24"/>
          <w:szCs w:val="24"/>
        </w:rPr>
        <w:t xml:space="preserve"> at H4) being associated with a possible northern segment (Figure 10b). </w:t>
      </w:r>
    </w:p>
    <w:p w14:paraId="3746FFC8" w14:textId="346910AB" w:rsidR="000726F3" w:rsidRPr="00F064CA" w:rsidRDefault="000726F3" w:rsidP="002349AD">
      <w:pPr>
        <w:spacing w:line="480" w:lineRule="auto"/>
        <w:rPr>
          <w:rFonts w:eastAsia="Times New Roman"/>
          <w:sz w:val="24"/>
          <w:szCs w:val="24"/>
        </w:rPr>
      </w:pPr>
      <w:r w:rsidRPr="00F064CA">
        <w:rPr>
          <w:rFonts w:eastAsia="Times New Roman"/>
          <w:color w:val="000000"/>
          <w:sz w:val="24"/>
          <w:szCs w:val="24"/>
        </w:rPr>
        <w:tab/>
      </w:r>
      <w:r w:rsidRPr="00F064CA">
        <w:rPr>
          <w:color w:val="000000"/>
          <w:sz w:val="24"/>
          <w:szCs w:val="24"/>
        </w:rPr>
        <w:t xml:space="preserve">There are wedge-shaped stratigraphic packages between H4 and H6 in the hanging wall, which thicken towards F3. In contrast, pre-H4 and post-H6 strata are isopachous (Figure 10a). EI values are </w:t>
      </w:r>
      <w:r w:rsidRPr="00F064CA">
        <w:rPr>
          <w:color w:val="222222"/>
          <w:sz w:val="24"/>
          <w:szCs w:val="24"/>
        </w:rPr>
        <w:t>≥</w:t>
      </w:r>
      <w:r w:rsidRPr="00F064CA">
        <w:rPr>
          <w:color w:val="000000"/>
          <w:sz w:val="24"/>
          <w:szCs w:val="24"/>
        </w:rPr>
        <w:t>1 across a progressively longer portion of the fault from Unit 1-2 (Figures 11a and 11b), and in Unit 3, the outer tips of the fault have EI values &lt;1 (Figure 11c).</w:t>
      </w:r>
      <w:r w:rsidRPr="00F064CA">
        <w:rPr>
          <w:sz w:val="24"/>
          <w:szCs w:val="24"/>
        </w:rPr>
        <w:t xml:space="preserve"> </w:t>
      </w:r>
    </w:p>
    <w:p w14:paraId="4E50EA45" w14:textId="3DB13EA5" w:rsidR="00516DB1" w:rsidRPr="00F064CA" w:rsidRDefault="00516DB1" w:rsidP="002349AD">
      <w:pPr>
        <w:spacing w:line="480" w:lineRule="auto"/>
        <w:ind w:firstLine="720"/>
        <w:rPr>
          <w:rFonts w:eastAsia="Times New Roman"/>
          <w:sz w:val="24"/>
          <w:szCs w:val="24"/>
        </w:rPr>
      </w:pPr>
    </w:p>
    <w:p w14:paraId="53BD2791" w14:textId="0DB285C6" w:rsidR="000726F3" w:rsidRPr="00F064CA" w:rsidRDefault="000726F3" w:rsidP="002349AD">
      <w:pPr>
        <w:pStyle w:val="Heading-Secondary"/>
        <w:spacing w:line="480" w:lineRule="auto"/>
        <w:rPr>
          <w:b/>
          <w:bCs w:val="0"/>
        </w:rPr>
      </w:pPr>
      <w:r w:rsidRPr="00F064CA">
        <w:rPr>
          <w:b/>
          <w:bCs w:val="0"/>
        </w:rPr>
        <w:t>4.3.2 Interpretations</w:t>
      </w:r>
    </w:p>
    <w:p w14:paraId="541D20E1" w14:textId="50B085F3" w:rsidR="000726F3" w:rsidRPr="00F064CA" w:rsidRDefault="000726F3" w:rsidP="002349AD">
      <w:pPr>
        <w:spacing w:line="480" w:lineRule="auto"/>
        <w:rPr>
          <w:rFonts w:eastAsia="Times New Roman"/>
          <w:sz w:val="24"/>
          <w:szCs w:val="24"/>
        </w:rPr>
      </w:pPr>
      <w:r w:rsidRPr="00F064CA">
        <w:rPr>
          <w:rFonts w:eastAsia="Times New Roman"/>
          <w:color w:val="000000"/>
          <w:sz w:val="24"/>
          <w:szCs w:val="24"/>
        </w:rPr>
        <w:tab/>
        <w:t>We see across-</w:t>
      </w:r>
      <w:proofErr w:type="gramStart"/>
      <w:r w:rsidRPr="00F064CA">
        <w:rPr>
          <w:rFonts w:eastAsia="Times New Roman"/>
          <w:color w:val="000000"/>
          <w:sz w:val="24"/>
          <w:szCs w:val="24"/>
        </w:rPr>
        <w:t>fault  hanging</w:t>
      </w:r>
      <w:proofErr w:type="gramEnd"/>
      <w:r w:rsidRPr="00F064CA">
        <w:rPr>
          <w:rFonts w:eastAsia="Times New Roman"/>
          <w:color w:val="000000"/>
          <w:sz w:val="24"/>
          <w:szCs w:val="24"/>
        </w:rPr>
        <w:t xml:space="preserve"> wall thickening between H4 and H6 (Units 1-3) in cross section (Fig 10a) and in isochron thickness maps (Figures 11a-c), suggesting F3 was active from c. 181 Ma to 142.3 Ma (Early Jurassic-Early Cretaceous). F3 likely initiated along its central segment during Unit 1</w:t>
      </w:r>
      <w:r w:rsidRPr="00F064CA">
        <w:rPr>
          <w:rFonts w:eastAsia="Times New Roman"/>
          <w:color w:val="222222"/>
          <w:sz w:val="24"/>
          <w:szCs w:val="24"/>
        </w:rPr>
        <w:t xml:space="preserve"> and reached its maximum length by the time of deposition of Unit 2 (Figure 11b); this is clearly </w:t>
      </w:r>
      <w:r w:rsidRPr="00F064CA">
        <w:rPr>
          <w:rFonts w:eastAsia="Times New Roman"/>
          <w:color w:val="000000"/>
          <w:sz w:val="24"/>
          <w:szCs w:val="24"/>
        </w:rPr>
        <w:t xml:space="preserve">evidenced by EI values </w:t>
      </w:r>
      <w:r w:rsidRPr="00F064CA">
        <w:rPr>
          <w:rFonts w:eastAsia="Times New Roman"/>
          <w:color w:val="222222"/>
          <w:sz w:val="24"/>
          <w:szCs w:val="24"/>
        </w:rPr>
        <w:t xml:space="preserve">≥1 along the faults entire trace-length. Together with the </w:t>
      </w:r>
      <w:r w:rsidRPr="00F064CA">
        <w:rPr>
          <w:rFonts w:eastAsia="Times New Roman"/>
          <w:color w:val="000000"/>
          <w:sz w:val="24"/>
          <w:szCs w:val="24"/>
        </w:rPr>
        <w:t xml:space="preserve">overall bell-shaped (present) distribution </w:t>
      </w:r>
      <w:proofErr w:type="gramStart"/>
      <w:r w:rsidRPr="00F064CA">
        <w:rPr>
          <w:rFonts w:eastAsia="Times New Roman"/>
          <w:color w:val="000000"/>
          <w:sz w:val="24"/>
          <w:szCs w:val="24"/>
        </w:rPr>
        <w:t>of  throw</w:t>
      </w:r>
      <w:proofErr w:type="gramEnd"/>
      <w:r w:rsidRPr="00F064CA">
        <w:rPr>
          <w:rFonts w:eastAsia="Times New Roman"/>
          <w:color w:val="000000"/>
          <w:sz w:val="24"/>
          <w:szCs w:val="24"/>
        </w:rPr>
        <w:t xml:space="preserve"> these EI data (Figure 11) suggest F3 grew as a single fault segment, or possibly as one large fault segment that linked with a very small segment at its northern tip. During Unit 3, EI values were &lt;1 on the northern-most part of the fault, suggesting that the F3’s northern tip became inactive (Figure 11c). </w:t>
      </w:r>
    </w:p>
    <w:p w14:paraId="62BB6E18" w14:textId="70F14F92" w:rsidR="000726F3" w:rsidRPr="00F064CA" w:rsidRDefault="000726F3" w:rsidP="002349AD">
      <w:pPr>
        <w:spacing w:line="480" w:lineRule="auto"/>
        <w:ind w:firstLine="720"/>
        <w:rPr>
          <w:rFonts w:eastAsia="Times New Roman"/>
          <w:color w:val="000000"/>
          <w:sz w:val="24"/>
          <w:szCs w:val="24"/>
        </w:rPr>
      </w:pPr>
      <w:r w:rsidRPr="00F064CA">
        <w:rPr>
          <w:rFonts w:eastAsia="Times New Roman"/>
          <w:color w:val="000000"/>
          <w:sz w:val="24"/>
          <w:szCs w:val="24"/>
        </w:rPr>
        <w:t xml:space="preserve">In summary, according to throw backstripping and EI analysis, F3 initiated after the deposition of H4 (c. 181 ma), and within c. 9.4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(24% of its total life) was c. 6.2 km long (70.5% of maximum length). During this first phase of activity, it accumulated only 18.9% of its total throw. Approximately 19.9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later, F3 propagated to its maximum length of 8.8 km. The fault had therefore reached its maximum length and accrued and accrued 67% of its total throw </w:t>
      </w:r>
      <w:r w:rsidRPr="00F064CA">
        <w:rPr>
          <w:rFonts w:eastAsia="Times New Roman"/>
          <w:color w:val="000000"/>
          <w:sz w:val="24"/>
          <w:szCs w:val="24"/>
        </w:rPr>
        <w:lastRenderedPageBreak/>
        <w:t xml:space="preserve">by this point (i.e. 75% of its life). During the last c. 4.6 </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of the </w:t>
      </w:r>
      <w:proofErr w:type="gramStart"/>
      <w:r w:rsidRPr="00F064CA">
        <w:rPr>
          <w:rFonts w:eastAsia="Times New Roman"/>
          <w:color w:val="000000"/>
          <w:sz w:val="24"/>
          <w:szCs w:val="24"/>
        </w:rPr>
        <w:t>faults</w:t>
      </w:r>
      <w:proofErr w:type="gramEnd"/>
      <w:r w:rsidRPr="00F064CA">
        <w:rPr>
          <w:rFonts w:eastAsia="Times New Roman"/>
          <w:color w:val="000000"/>
          <w:sz w:val="24"/>
          <w:szCs w:val="24"/>
        </w:rPr>
        <w:t xml:space="preserve"> life, the remaining 33% of throw was accrued, and the length of the fault shortened by 600 m on the NNE tip of the fault.</w:t>
      </w:r>
    </w:p>
    <w:p w14:paraId="1960AF09" w14:textId="77777777" w:rsidR="000726F3" w:rsidRPr="00F064CA" w:rsidRDefault="000726F3" w:rsidP="002349AD">
      <w:pPr>
        <w:pStyle w:val="Heading-Secondary"/>
        <w:spacing w:line="480" w:lineRule="auto"/>
        <w:rPr>
          <w:b/>
          <w:bCs w:val="0"/>
        </w:rPr>
      </w:pPr>
      <w:r w:rsidRPr="00F064CA">
        <w:rPr>
          <w:b/>
          <w:bCs w:val="0"/>
        </w:rPr>
        <w:t xml:space="preserve">4.4 Temporal evolution of throw and length </w:t>
      </w:r>
    </w:p>
    <w:p w14:paraId="7ACF158B" w14:textId="3450D921" w:rsidR="000726F3" w:rsidRPr="00F064CA" w:rsidRDefault="000726F3" w:rsidP="002349AD">
      <w:pPr>
        <w:pStyle w:val="NormalWeb"/>
        <w:spacing w:line="480" w:lineRule="auto"/>
        <w:ind w:firstLine="720"/>
        <w:rPr>
          <w:rFonts w:eastAsia="Times New Roman"/>
        </w:rPr>
      </w:pPr>
      <w:r w:rsidRPr="00F064CA">
        <w:rPr>
          <w:rFonts w:eastAsia="Times New Roman"/>
          <w:color w:val="000000"/>
        </w:rPr>
        <w:t xml:space="preserve">Most of the seven studied faults seem to have grown in three distinct stages: a lengthening stage, a throw accumulation stage, and a tip retreat stage. </w:t>
      </w:r>
      <w:proofErr w:type="gramStart"/>
      <w:r w:rsidRPr="00F064CA">
        <w:rPr>
          <w:rFonts w:eastAsia="Times New Roman"/>
          <w:color w:val="000000"/>
        </w:rPr>
        <w:t>All of</w:t>
      </w:r>
      <w:proofErr w:type="gramEnd"/>
      <w:r w:rsidRPr="00F064CA">
        <w:rPr>
          <w:rFonts w:eastAsia="Times New Roman"/>
          <w:color w:val="000000"/>
        </w:rPr>
        <w:t xml:space="preserve"> the faults have an early (i.e. first 20-30% of their lives) relatively rapid lengthening phase, during which time they reach 60-95% of their maximum length (</w:t>
      </w:r>
      <w:r w:rsidR="00571A2B">
        <w:rPr>
          <w:rFonts w:eastAsia="Times New Roman"/>
          <w:color w:val="000000"/>
        </w:rPr>
        <w:t xml:space="preserve">see Figure 5a for isochrons across the study area, </w:t>
      </w:r>
      <w:r w:rsidRPr="00F064CA">
        <w:rPr>
          <w:rFonts w:eastAsia="Times New Roman"/>
          <w:color w:val="000000"/>
        </w:rPr>
        <w:t>Figure 12a</w:t>
      </w:r>
      <w:r w:rsidR="00571A2B">
        <w:rPr>
          <w:rFonts w:eastAsia="Times New Roman"/>
          <w:color w:val="000000"/>
        </w:rPr>
        <w:t xml:space="preserve"> for values</w:t>
      </w:r>
      <w:r w:rsidRPr="00F064CA">
        <w:rPr>
          <w:rFonts w:eastAsia="Times New Roman"/>
          <w:color w:val="000000"/>
        </w:rPr>
        <w:t>). Fault tips then grow slowly via tip propagation or segment linkage, reaching their maximum lengths after 57-93% of their lives</w:t>
      </w:r>
      <w:r w:rsidR="00571A2B">
        <w:rPr>
          <w:rFonts w:eastAsia="Times New Roman"/>
          <w:color w:val="000000"/>
        </w:rPr>
        <w:t xml:space="preserve"> (Figure 5b-c)</w:t>
      </w:r>
      <w:r w:rsidRPr="00F064CA">
        <w:rPr>
          <w:rFonts w:eastAsia="Times New Roman"/>
          <w:color w:val="000000"/>
        </w:rPr>
        <w:t xml:space="preserve">. After they reached their maximum length, </w:t>
      </w:r>
      <w:proofErr w:type="gramStart"/>
      <w:r w:rsidRPr="00F064CA">
        <w:rPr>
          <w:rFonts w:eastAsia="Times New Roman"/>
          <w:color w:val="000000"/>
        </w:rPr>
        <w:t>all of</w:t>
      </w:r>
      <w:proofErr w:type="gramEnd"/>
      <w:r w:rsidRPr="00F064CA">
        <w:rPr>
          <w:rFonts w:eastAsia="Times New Roman"/>
          <w:color w:val="000000"/>
        </w:rPr>
        <w:t xml:space="preserve"> the faults experienced a stage during which their overall at-surface trace-lengths reduced</w:t>
      </w:r>
      <w:r w:rsidR="00571A2B">
        <w:rPr>
          <w:rFonts w:eastAsia="Times New Roman"/>
          <w:color w:val="000000"/>
        </w:rPr>
        <w:t xml:space="preserve"> </w:t>
      </w:r>
      <w:r w:rsidRPr="00F064CA">
        <w:rPr>
          <w:rFonts w:eastAsia="Times New Roman"/>
          <w:color w:val="000000"/>
        </w:rPr>
        <w:t>by up to 2.5 km (up to 25% of their total length) (</w:t>
      </w:r>
      <w:r w:rsidR="00571A2B">
        <w:rPr>
          <w:rFonts w:eastAsia="Times New Roman"/>
          <w:color w:val="000000"/>
        </w:rPr>
        <w:t>Figure</w:t>
      </w:r>
      <w:r w:rsidR="008D307F">
        <w:rPr>
          <w:rFonts w:eastAsia="Times New Roman"/>
          <w:color w:val="000000"/>
        </w:rPr>
        <w:t>s</w:t>
      </w:r>
      <w:r w:rsidR="00571A2B">
        <w:rPr>
          <w:rFonts w:eastAsia="Times New Roman"/>
          <w:color w:val="000000"/>
        </w:rPr>
        <w:t xml:space="preserve"> 12</w:t>
      </w:r>
      <w:r w:rsidR="008D307F">
        <w:rPr>
          <w:rFonts w:eastAsia="Times New Roman"/>
          <w:color w:val="000000"/>
        </w:rPr>
        <w:t>a-b</w:t>
      </w:r>
      <w:r w:rsidRPr="00F064CA">
        <w:rPr>
          <w:rFonts w:eastAsia="Times New Roman"/>
          <w:color w:val="000000"/>
        </w:rPr>
        <w:t>).</w:t>
      </w:r>
    </w:p>
    <w:p w14:paraId="625EDD73" w14:textId="463E9872" w:rsidR="000726F3" w:rsidRPr="00F064CA" w:rsidRDefault="000726F3" w:rsidP="002349AD">
      <w:pPr>
        <w:pStyle w:val="Abstract"/>
        <w:spacing w:line="480" w:lineRule="auto"/>
      </w:pPr>
      <w:r w:rsidRPr="00F064CA">
        <w:tab/>
        <w:t xml:space="preserve">Because of </w:t>
      </w:r>
      <w:proofErr w:type="gramStart"/>
      <w:r w:rsidRPr="00F064CA">
        <w:t>these shared kinematics</w:t>
      </w:r>
      <w:proofErr w:type="gramEnd"/>
      <w:r w:rsidRPr="00F064CA">
        <w:t xml:space="preserve">, all of the faults studied, with the exception of F3, </w:t>
      </w:r>
      <w:r w:rsidRPr="00F064CA">
        <w:rPr>
          <w:color w:val="3C4043"/>
        </w:rPr>
        <w:t>displayed similar temporal changes in their throw-length scaling relationship</w:t>
      </w:r>
      <w:r w:rsidRPr="00F064CA">
        <w:t xml:space="preserve"> (Figures 12b and 12c). The three-stage kinematics identified above also correlate with changes in throw (Figure 12b) and slip rate (Figure 12c). For example, during the lengthening stage, slip rate is relatively low (3.2</w:t>
      </w:r>
      <w:r w:rsidRPr="00F064CA">
        <w:rPr>
          <w:vertAlign w:val="superscript"/>
        </w:rPr>
        <w:t>{+0.68}</w:t>
      </w:r>
      <w:r w:rsidRPr="00F064CA">
        <w:t>-6 m/</w:t>
      </w:r>
      <w:proofErr w:type="spellStart"/>
      <w:r w:rsidRPr="00F064CA">
        <w:t>myr</w:t>
      </w:r>
      <w:proofErr w:type="spellEnd"/>
      <w:r w:rsidRPr="00F064CA">
        <w:t xml:space="preserve"> </w:t>
      </w:r>
      <w:r w:rsidRPr="00F064CA">
        <w:rPr>
          <w:vertAlign w:val="superscript"/>
        </w:rPr>
        <w:t>{+ 1.15}</w:t>
      </w:r>
      <w:r w:rsidRPr="00F064CA">
        <w:t xml:space="preserve">).During the subsequent throw accumulation stage, there was an abrupt increase in throw rate (to 4.9 </w:t>
      </w:r>
      <w:r w:rsidRPr="00F064CA">
        <w:rPr>
          <w:vertAlign w:val="superscript"/>
        </w:rPr>
        <w:t>{+ 0.62}</w:t>
      </w:r>
      <w:r w:rsidRPr="00F064CA">
        <w:t>-28 m/</w:t>
      </w:r>
      <w:proofErr w:type="spellStart"/>
      <w:r w:rsidRPr="00F064CA">
        <w:t>myr</w:t>
      </w:r>
      <w:proofErr w:type="spellEnd"/>
      <w:r w:rsidRPr="00F064CA">
        <w:t xml:space="preserve"> </w:t>
      </w:r>
      <w:r w:rsidRPr="00F064CA">
        <w:rPr>
          <w:vertAlign w:val="superscript"/>
        </w:rPr>
        <w:t>{+ 6}</w:t>
      </w:r>
      <w:r w:rsidRPr="00F064CA">
        <w:t>). Throw rate decreases slightly (7</w:t>
      </w:r>
      <w:r w:rsidRPr="00F064CA">
        <w:rPr>
          <w:vertAlign w:val="superscript"/>
        </w:rPr>
        <w:t>{+0.62}</w:t>
      </w:r>
      <w:r w:rsidRPr="00F064CA">
        <w:t>-20</w:t>
      </w:r>
      <w:r w:rsidRPr="00F064CA">
        <w:rPr>
          <w:vertAlign w:val="superscript"/>
        </w:rPr>
        <w:t>{+4.8}</w:t>
      </w:r>
      <w:r w:rsidRPr="00F064CA">
        <w:t xml:space="preserve"> m/</w:t>
      </w:r>
      <w:proofErr w:type="spellStart"/>
      <w:r w:rsidRPr="00F064CA">
        <w:t>myr</w:t>
      </w:r>
      <w:proofErr w:type="spellEnd"/>
      <w:r w:rsidRPr="00F064CA">
        <w:t>) as the faults die. It should be noted that the throw rate during the first half of the faults life (until deposition of H5) is likely underestimated due to the basin being somewhat sediment starved during this period. A higher slip rate would mean the time difference between the lengthening and throw accumulation stages is smaller.</w:t>
      </w:r>
    </w:p>
    <w:p w14:paraId="6A6B363D" w14:textId="10955161" w:rsidR="0045336E" w:rsidRPr="00F064CA" w:rsidRDefault="0045336E" w:rsidP="007E211A">
      <w:pPr>
        <w:pStyle w:val="Abstract"/>
      </w:pPr>
      <w:r w:rsidRPr="00F064CA">
        <w:rPr>
          <w:noProof/>
        </w:rPr>
        <w:lastRenderedPageBreak/>
        <w:drawing>
          <wp:inline distT="0" distB="0" distL="0" distR="0" wp14:anchorId="657EB296" wp14:editId="582D52C0">
            <wp:extent cx="5817870" cy="7500910"/>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2122" cy="7506392"/>
                    </a:xfrm>
                    <a:prstGeom prst="rect">
                      <a:avLst/>
                    </a:prstGeom>
                    <a:noFill/>
                    <a:ln>
                      <a:noFill/>
                    </a:ln>
                  </pic:spPr>
                </pic:pic>
              </a:graphicData>
            </a:graphic>
          </wp:inline>
        </w:drawing>
      </w:r>
      <w:r w:rsidR="004C6B18" w:rsidRPr="00F064CA">
        <w:rPr>
          <w:b/>
          <w:bCs/>
          <w:color w:val="000000"/>
        </w:rPr>
        <w:t>Figure 12.</w:t>
      </w:r>
      <w:r w:rsidR="004C6B18" w:rsidRPr="00F064CA">
        <w:rPr>
          <w:color w:val="000000"/>
        </w:rPr>
        <w:t xml:space="preserve"> throw and lengthening through time for F1-8 in time and normalized. The lengthening, throw/displacement, and tip retreat stages of faulting are labelled in the normalized graphs.</w:t>
      </w:r>
      <w:r w:rsidR="00857AD8" w:rsidRPr="00F064CA">
        <w:rPr>
          <w:color w:val="000000"/>
        </w:rPr>
        <w:t xml:space="preserve"> All throw values should </w:t>
      </w:r>
      <w:proofErr w:type="gramStart"/>
      <w:r w:rsidR="00857AD8" w:rsidRPr="00F064CA">
        <w:rPr>
          <w:color w:val="000000"/>
        </w:rPr>
        <w:t>be considered to be</w:t>
      </w:r>
      <w:proofErr w:type="gramEnd"/>
      <w:r w:rsidR="00857AD8" w:rsidRPr="00F064CA">
        <w:rPr>
          <w:color w:val="000000"/>
        </w:rPr>
        <w:t xml:space="preserve"> possible +20% due to decompaction (Taylor et al</w:t>
      </w:r>
      <w:r w:rsidR="0068610B" w:rsidRPr="00F064CA">
        <w:rPr>
          <w:color w:val="000000"/>
        </w:rPr>
        <w:t>.</w:t>
      </w:r>
      <w:r w:rsidR="00857AD8" w:rsidRPr="00F064CA">
        <w:rPr>
          <w:color w:val="000000"/>
        </w:rPr>
        <w:t>, 2008).</w:t>
      </w:r>
    </w:p>
    <w:p w14:paraId="41DDE45C" w14:textId="0D45C102" w:rsidR="000726F3" w:rsidRPr="00F064CA" w:rsidRDefault="000726F3" w:rsidP="002349AD">
      <w:pPr>
        <w:pStyle w:val="Heading-Secondary"/>
        <w:spacing w:line="480" w:lineRule="auto"/>
        <w:rPr>
          <w:b/>
          <w:bCs w:val="0"/>
        </w:rPr>
      </w:pPr>
      <w:r w:rsidRPr="00F064CA">
        <w:rPr>
          <w:b/>
          <w:bCs w:val="0"/>
        </w:rPr>
        <w:lastRenderedPageBreak/>
        <w:t>5 Discussion</w:t>
      </w:r>
    </w:p>
    <w:p w14:paraId="480A1EC7" w14:textId="7C090FE1" w:rsidR="000726F3" w:rsidRPr="00F064CA" w:rsidRDefault="000726F3" w:rsidP="002349AD">
      <w:pPr>
        <w:pStyle w:val="Heading-Secondary"/>
        <w:spacing w:line="480" w:lineRule="auto"/>
        <w:rPr>
          <w:b/>
          <w:bCs w:val="0"/>
          <w:color w:val="000000"/>
        </w:rPr>
      </w:pPr>
      <w:r w:rsidRPr="00F064CA">
        <w:rPr>
          <w:b/>
          <w:bCs w:val="0"/>
          <w:color w:val="000000"/>
        </w:rPr>
        <w:t>5.1 Implications for fault growth models</w:t>
      </w:r>
    </w:p>
    <w:p w14:paraId="75FDCF15" w14:textId="073E7EA8" w:rsidR="007E211A" w:rsidRPr="00F064CA" w:rsidRDefault="008D307F" w:rsidP="007E211A">
      <w:pPr>
        <w:pStyle w:val="NormalWeb"/>
        <w:spacing w:line="480" w:lineRule="auto"/>
        <w:rPr>
          <w:rFonts w:eastAsia="Times New Roman"/>
          <w:color w:val="000000"/>
        </w:rPr>
      </w:pPr>
      <w:r>
        <w:rPr>
          <w:rFonts w:eastAsia="Times New Roman"/>
          <w:color w:val="000000"/>
        </w:rPr>
        <w:tab/>
      </w:r>
      <w:r w:rsidR="000726F3" w:rsidRPr="00F064CA">
        <w:rPr>
          <w:rFonts w:eastAsia="Times New Roman"/>
          <w:color w:val="000000"/>
        </w:rPr>
        <w:t>Our study identifies three key stages of fault growth. First, there is an initial lengthening stage (Figure 1</w:t>
      </w:r>
      <w:r w:rsidR="00147251" w:rsidRPr="00F064CA">
        <w:rPr>
          <w:rFonts w:eastAsia="Times New Roman"/>
          <w:color w:val="000000"/>
        </w:rPr>
        <w:t>3</w:t>
      </w:r>
      <w:r w:rsidR="000726F3" w:rsidRPr="00F064CA">
        <w:rPr>
          <w:rFonts w:eastAsia="Times New Roman"/>
          <w:color w:val="000000"/>
        </w:rPr>
        <w:t>a)</w:t>
      </w:r>
      <w:r>
        <w:rPr>
          <w:rFonts w:eastAsia="Times New Roman"/>
          <w:color w:val="000000"/>
        </w:rPr>
        <w:t>;</w:t>
      </w:r>
      <w:r w:rsidR="000726F3" w:rsidRPr="00F064CA">
        <w:rPr>
          <w:rFonts w:eastAsia="Times New Roman"/>
          <w:color w:val="000000"/>
        </w:rPr>
        <w:t xml:space="preserve"> </w:t>
      </w:r>
      <w:proofErr w:type="gramStart"/>
      <w:r w:rsidR="000726F3" w:rsidRPr="00F064CA">
        <w:rPr>
          <w:rFonts w:eastAsia="Times New Roman"/>
          <w:color w:val="000000"/>
        </w:rPr>
        <w:t>all of</w:t>
      </w:r>
      <w:proofErr w:type="gramEnd"/>
      <w:r w:rsidR="000726F3" w:rsidRPr="00F064CA">
        <w:rPr>
          <w:rFonts w:eastAsia="Times New Roman"/>
          <w:color w:val="000000"/>
        </w:rPr>
        <w:t xml:space="preserve"> the faults reach 60-95% of their maximum length within the first 20-30% of their lives. Maximum length is later reached via tip propagation or segment linkage. Second, there is then a throw accumulation stage (Figure 1</w:t>
      </w:r>
      <w:r w:rsidR="00147251" w:rsidRPr="00F064CA">
        <w:rPr>
          <w:rFonts w:eastAsia="Times New Roman"/>
          <w:color w:val="000000"/>
        </w:rPr>
        <w:t>3</w:t>
      </w:r>
      <w:r w:rsidR="000726F3" w:rsidRPr="00F064CA">
        <w:rPr>
          <w:rFonts w:eastAsia="Times New Roman"/>
          <w:color w:val="000000"/>
        </w:rPr>
        <w:t>b) that lasts from ~30-75% of the faults life; during this time, faults lengthen very little and experience an increased slip rate. Third, the tip retreat stage, (Figure 1</w:t>
      </w:r>
      <w:r w:rsidR="00147251" w:rsidRPr="00F064CA">
        <w:rPr>
          <w:rFonts w:eastAsia="Times New Roman"/>
          <w:color w:val="000000"/>
        </w:rPr>
        <w:t>3</w:t>
      </w:r>
      <w:r w:rsidR="000726F3" w:rsidRPr="00F064CA">
        <w:rPr>
          <w:rFonts w:eastAsia="Times New Roman"/>
          <w:color w:val="000000"/>
        </w:rPr>
        <w:t>c and 1</w:t>
      </w:r>
      <w:r w:rsidR="00147251" w:rsidRPr="00F064CA">
        <w:rPr>
          <w:rFonts w:eastAsia="Times New Roman"/>
          <w:color w:val="000000"/>
        </w:rPr>
        <w:t>3</w:t>
      </w:r>
      <w:r w:rsidR="000726F3" w:rsidRPr="00F064CA">
        <w:rPr>
          <w:rFonts w:eastAsia="Times New Roman"/>
          <w:color w:val="000000"/>
        </w:rPr>
        <w:t xml:space="preserve">d) that lasts for the final 25% of the </w:t>
      </w:r>
      <w:proofErr w:type="gramStart"/>
      <w:r w:rsidR="000726F3" w:rsidRPr="00F064CA">
        <w:rPr>
          <w:rFonts w:eastAsia="Times New Roman"/>
          <w:color w:val="000000"/>
        </w:rPr>
        <w:t>faults</w:t>
      </w:r>
      <w:proofErr w:type="gramEnd"/>
      <w:r w:rsidR="000726F3" w:rsidRPr="00F064CA">
        <w:rPr>
          <w:rFonts w:eastAsia="Times New Roman"/>
          <w:color w:val="000000"/>
        </w:rPr>
        <w:t xml:space="preserve"> life during which the faults experience tip-line retreat, and throw is partitioned towards the center of the fault. Our findings are generally consistent with the model of Rotevatn et al. (2019), but we suggest two important amendments. First, the fault maximum length is not always reached during the initial lengthening stage; </w:t>
      </w:r>
      <w:proofErr w:type="spellStart"/>
      <w:r w:rsidR="000726F3" w:rsidRPr="00F064CA">
        <w:rPr>
          <w:rFonts w:eastAsia="Times New Roman"/>
          <w:color w:val="000000"/>
        </w:rPr>
        <w:t>i.e</w:t>
      </w:r>
      <w:proofErr w:type="spellEnd"/>
      <w:r w:rsidR="000726F3" w:rsidRPr="00F064CA">
        <w:rPr>
          <w:rFonts w:eastAsia="Times New Roman"/>
          <w:color w:val="000000"/>
        </w:rPr>
        <w:t xml:space="preserve"> our results demonstrate that, while the bulk of lengthening happens relatively quickly, 5-40% can subsequently occur during lateral tip propagation and/or segment linkage. Variations in when the fault reaches its maximum length is likely controlled by whether a fault links with a nearby segment or not, a process perhaps dictated by the ability of the faults to breach the intervening relay. Second, there could be a stage of tip retreat at the end of the faults’ life (Figures 1</w:t>
      </w:r>
      <w:r w:rsidR="00147251" w:rsidRPr="00F064CA">
        <w:rPr>
          <w:rFonts w:eastAsia="Times New Roman"/>
          <w:color w:val="000000"/>
        </w:rPr>
        <w:t>3</w:t>
      </w:r>
      <w:r w:rsidR="000726F3" w:rsidRPr="00F064CA">
        <w:rPr>
          <w:rFonts w:eastAsia="Times New Roman"/>
          <w:color w:val="000000"/>
        </w:rPr>
        <w:t>c and 1</w:t>
      </w:r>
      <w:r w:rsidR="00147251" w:rsidRPr="00F064CA">
        <w:rPr>
          <w:rFonts w:eastAsia="Times New Roman"/>
          <w:color w:val="000000"/>
        </w:rPr>
        <w:t>3</w:t>
      </w:r>
      <w:r w:rsidR="000726F3" w:rsidRPr="00F064CA">
        <w:rPr>
          <w:rFonts w:eastAsia="Times New Roman"/>
          <w:color w:val="000000"/>
        </w:rPr>
        <w:t>d); i.e. every fault in this study underwent tip retreat, suggesting that this may be a generic aspect of fault evolution than currently appreciated, and that it should thus be included in fault evolution models.</w:t>
      </w:r>
    </w:p>
    <w:p w14:paraId="03D6D356" w14:textId="40E6EC23" w:rsidR="008F4E37" w:rsidRPr="00F064CA" w:rsidRDefault="000726F3" w:rsidP="007E211A">
      <w:pPr>
        <w:pStyle w:val="NormalWeb"/>
        <w:rPr>
          <w:rFonts w:eastAsia="Times New Roman"/>
          <w:color w:val="000000"/>
        </w:rPr>
      </w:pPr>
      <w:r w:rsidRPr="00F064CA">
        <w:rPr>
          <w:rFonts w:eastAsia="Times New Roman"/>
          <w:color w:val="000000"/>
        </w:rPr>
        <w:lastRenderedPageBreak/>
        <w:t> </w:t>
      </w:r>
      <w:r w:rsidR="00147251" w:rsidRPr="00F064CA">
        <w:rPr>
          <w:noProof/>
        </w:rPr>
        <w:drawing>
          <wp:inline distT="0" distB="0" distL="0" distR="0" wp14:anchorId="57F00EFB" wp14:editId="2F7B9FC2">
            <wp:extent cx="5935980" cy="430530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5980" cy="4305300"/>
                    </a:xfrm>
                    <a:prstGeom prst="rect">
                      <a:avLst/>
                    </a:prstGeom>
                    <a:noFill/>
                    <a:ln>
                      <a:noFill/>
                    </a:ln>
                  </pic:spPr>
                </pic:pic>
              </a:graphicData>
            </a:graphic>
          </wp:inline>
        </w:drawing>
      </w:r>
      <w:r w:rsidR="00147251" w:rsidRPr="00F064CA">
        <w:rPr>
          <w:rFonts w:eastAsia="Times New Roman"/>
          <w:b/>
          <w:bCs/>
          <w:color w:val="000000"/>
        </w:rPr>
        <w:t>Figure 13.</w:t>
      </w:r>
      <w:r w:rsidR="00147251" w:rsidRPr="00F064CA">
        <w:rPr>
          <w:rFonts w:eastAsia="Times New Roman"/>
          <w:color w:val="000000"/>
        </w:rPr>
        <w:t xml:space="preserve"> Schematic models showing the phases of fault growth. </w:t>
      </w:r>
      <w:r w:rsidR="00147251" w:rsidRPr="00F064CA">
        <w:rPr>
          <w:rFonts w:eastAsia="Times New Roman"/>
          <w:b/>
          <w:bCs/>
          <w:color w:val="000000"/>
        </w:rPr>
        <w:t>a)</w:t>
      </w:r>
      <w:r w:rsidR="00147251" w:rsidRPr="00F064CA">
        <w:rPr>
          <w:rFonts w:eastAsia="Times New Roman"/>
          <w:color w:val="000000"/>
        </w:rPr>
        <w:t xml:space="preserve"> Fault lengthening stage, when faults establish their near-maximum length within the first 30% of their life </w:t>
      </w:r>
      <w:r w:rsidR="00147251" w:rsidRPr="00F064CA">
        <w:rPr>
          <w:rFonts w:eastAsia="Times New Roman"/>
          <w:b/>
          <w:bCs/>
          <w:color w:val="000000"/>
        </w:rPr>
        <w:t>b)</w:t>
      </w:r>
      <w:r w:rsidR="00147251" w:rsidRPr="00F064CA">
        <w:rPr>
          <w:rFonts w:eastAsia="Times New Roman"/>
          <w:color w:val="000000"/>
        </w:rPr>
        <w:t xml:space="preserve"> Fault throw accrual stage, where faults have already reached their maximum length, and throw rat increases </w:t>
      </w:r>
      <w:r w:rsidR="00147251" w:rsidRPr="00F064CA">
        <w:rPr>
          <w:rFonts w:eastAsia="Times New Roman"/>
          <w:b/>
          <w:bCs/>
          <w:color w:val="000000"/>
        </w:rPr>
        <w:t>c)</w:t>
      </w:r>
      <w:r w:rsidR="00147251" w:rsidRPr="00F064CA">
        <w:rPr>
          <w:rFonts w:eastAsia="Times New Roman"/>
          <w:color w:val="000000"/>
        </w:rPr>
        <w:t xml:space="preserve"> the beginning of the tip retreat stage, where the tips of the fault become inactive and </w:t>
      </w:r>
      <w:r w:rsidR="00147251" w:rsidRPr="00F064CA">
        <w:rPr>
          <w:rFonts w:eastAsia="Times New Roman"/>
          <w:b/>
          <w:bCs/>
          <w:color w:val="000000"/>
        </w:rPr>
        <w:t>d)</w:t>
      </w:r>
      <w:r w:rsidR="00147251" w:rsidRPr="00F064CA">
        <w:rPr>
          <w:rFonts w:eastAsia="Times New Roman"/>
          <w:color w:val="000000"/>
        </w:rPr>
        <w:t xml:space="preserve"> the continuation of the tip retreat stage, where the active fault trace line is progressively shorter</w:t>
      </w:r>
    </w:p>
    <w:p w14:paraId="117473CD" w14:textId="77777777" w:rsidR="007E211A" w:rsidRPr="00F064CA" w:rsidRDefault="007E211A" w:rsidP="007E211A">
      <w:pPr>
        <w:pStyle w:val="NormalWeb"/>
        <w:rPr>
          <w:rFonts w:eastAsia="Times New Roman"/>
        </w:rPr>
      </w:pPr>
    </w:p>
    <w:p w14:paraId="2C9F6816" w14:textId="1151FF74" w:rsidR="000726F3" w:rsidRPr="00F064CA" w:rsidRDefault="000726F3" w:rsidP="002349AD">
      <w:pPr>
        <w:spacing w:line="480" w:lineRule="auto"/>
        <w:ind w:firstLine="720"/>
        <w:rPr>
          <w:rFonts w:eastAsia="Times New Roman"/>
          <w:sz w:val="24"/>
          <w:szCs w:val="24"/>
        </w:rPr>
      </w:pPr>
      <w:r w:rsidRPr="00F064CA">
        <w:rPr>
          <w:rFonts w:eastAsia="Times New Roman"/>
          <w:color w:val="000000"/>
          <w:sz w:val="24"/>
          <w:szCs w:val="24"/>
        </w:rPr>
        <w:t xml:space="preserve">In previous work on normal fault growth models, slip rate is often not quantified. Some work has shown that there is some variability in slip rate on a scale of thousands of years, but that slip rates even out on a longer temporal scale (greater than 300 </w:t>
      </w:r>
      <w:proofErr w:type="spellStart"/>
      <w:r w:rsidRPr="00F064CA">
        <w:rPr>
          <w:rFonts w:eastAsia="Times New Roman"/>
          <w:color w:val="000000"/>
          <w:sz w:val="24"/>
          <w:szCs w:val="24"/>
        </w:rPr>
        <w:t>kry</w:t>
      </w:r>
      <w:proofErr w:type="spellEnd"/>
      <w:r w:rsidRPr="00F064CA">
        <w:rPr>
          <w:rFonts w:eastAsia="Times New Roman"/>
          <w:color w:val="000000"/>
          <w:sz w:val="24"/>
          <w:szCs w:val="24"/>
        </w:rPr>
        <w:t>) or spatial length scale (e.g. entire fault system) (</w:t>
      </w:r>
      <w:proofErr w:type="spellStart"/>
      <w:r w:rsidRPr="00F064CA">
        <w:rPr>
          <w:rFonts w:eastAsia="Times New Roman"/>
          <w:color w:val="000000"/>
          <w:sz w:val="24"/>
          <w:szCs w:val="24"/>
        </w:rPr>
        <w:t>Mouslopoulou</w:t>
      </w:r>
      <w:proofErr w:type="spellEnd"/>
      <w:r w:rsidRPr="00F064CA">
        <w:rPr>
          <w:rFonts w:eastAsia="Times New Roman"/>
          <w:color w:val="000000"/>
          <w:sz w:val="24"/>
          <w:szCs w:val="24"/>
        </w:rPr>
        <w:t xml:space="preserve"> et al., 2009; Nicol et al., 2006). However, our work has shown slip rates that vary significantly on a scale of millions of years, ranging between 3.8 m/</w:t>
      </w:r>
      <w:proofErr w:type="spellStart"/>
      <w:r w:rsidRPr="00F064CA">
        <w:rPr>
          <w:rFonts w:eastAsia="Times New Roman"/>
          <w:color w:val="000000"/>
          <w:sz w:val="24"/>
          <w:szCs w:val="24"/>
        </w:rPr>
        <w:t>m</w:t>
      </w:r>
      <w:r w:rsidR="00F064CA" w:rsidRPr="00F064CA">
        <w:rPr>
          <w:rFonts w:eastAsia="Times New Roman"/>
          <w:color w:val="000000"/>
          <w:sz w:val="24"/>
          <w:szCs w:val="24"/>
        </w:rPr>
        <w:t>yr</w:t>
      </w:r>
      <w:proofErr w:type="spellEnd"/>
      <w:r w:rsidRPr="00F064CA">
        <w:rPr>
          <w:rFonts w:eastAsia="Times New Roman"/>
          <w:color w:val="000000"/>
          <w:sz w:val="24"/>
          <w:szCs w:val="24"/>
        </w:rPr>
        <w:t xml:space="preserve"> and 28 m/</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Long-term fluctuations in slip rate like we see could be a result of changes in regional strain rate (</w:t>
      </w:r>
      <w:proofErr w:type="spellStart"/>
      <w:r w:rsidRPr="00F064CA">
        <w:rPr>
          <w:rFonts w:eastAsia="Times New Roman"/>
          <w:color w:val="000000"/>
          <w:sz w:val="24"/>
          <w:szCs w:val="24"/>
        </w:rPr>
        <w:t>Mouslopoulou</w:t>
      </w:r>
      <w:proofErr w:type="spellEnd"/>
      <w:r w:rsidRPr="00F064CA">
        <w:rPr>
          <w:rFonts w:eastAsia="Times New Roman"/>
          <w:color w:val="000000"/>
          <w:sz w:val="24"/>
          <w:szCs w:val="24"/>
        </w:rPr>
        <w:t xml:space="preserve"> et al., 2009)</w:t>
      </w:r>
      <w:r w:rsidR="00B0458F">
        <w:rPr>
          <w:rFonts w:eastAsia="Times New Roman"/>
          <w:color w:val="000000"/>
          <w:sz w:val="24"/>
          <w:szCs w:val="24"/>
        </w:rPr>
        <w:t xml:space="preserve"> or fault interactions (Cowie &amp; Roberts, 2001)</w:t>
      </w:r>
      <w:r w:rsidRPr="00F064CA">
        <w:rPr>
          <w:rFonts w:eastAsia="Times New Roman"/>
          <w:color w:val="000000"/>
          <w:sz w:val="24"/>
          <w:szCs w:val="24"/>
        </w:rPr>
        <w:t xml:space="preserve">, </w:t>
      </w:r>
      <w:r w:rsidRPr="00F064CA">
        <w:rPr>
          <w:rFonts w:eastAsia="Times New Roman"/>
          <w:color w:val="000000"/>
          <w:sz w:val="24"/>
          <w:szCs w:val="24"/>
        </w:rPr>
        <w:lastRenderedPageBreak/>
        <w:t>however it is possible that further research needs to be done to see how slip rates could vary in different faults over long periods of time.</w:t>
      </w:r>
    </w:p>
    <w:p w14:paraId="7A68E42A" w14:textId="6EB7BE2F" w:rsidR="000726F3" w:rsidRPr="00F064CA" w:rsidRDefault="000726F3" w:rsidP="002349AD">
      <w:pPr>
        <w:spacing w:line="480" w:lineRule="auto"/>
        <w:ind w:firstLine="720"/>
        <w:rPr>
          <w:rFonts w:eastAsia="Times New Roman"/>
          <w:sz w:val="24"/>
          <w:szCs w:val="24"/>
        </w:rPr>
      </w:pPr>
      <w:r w:rsidRPr="00F064CA">
        <w:rPr>
          <w:rFonts w:eastAsia="Times New Roman"/>
          <w:color w:val="000000"/>
          <w:sz w:val="24"/>
          <w:szCs w:val="24"/>
        </w:rPr>
        <w:t xml:space="preserve">Our results also allow us to further refine fault growth models by considering how slip rate varies with time. Previous work shows slip rate is highly variable on timescales of a few thousand years, but that these rates are less variable when viewed on a longer temporal- (i.e. &gt;300 </w:t>
      </w:r>
      <w:proofErr w:type="spellStart"/>
      <w:r w:rsidRPr="00F064CA">
        <w:rPr>
          <w:rFonts w:eastAsia="Times New Roman"/>
          <w:color w:val="000000"/>
          <w:sz w:val="24"/>
          <w:szCs w:val="24"/>
        </w:rPr>
        <w:t>kry</w:t>
      </w:r>
      <w:proofErr w:type="spellEnd"/>
      <w:r w:rsidRPr="00F064CA">
        <w:rPr>
          <w:rFonts w:eastAsia="Times New Roman"/>
          <w:color w:val="000000"/>
          <w:sz w:val="24"/>
          <w:szCs w:val="24"/>
        </w:rPr>
        <w:t>) or spatial-scales (i.e. an entire fault system) (</w:t>
      </w:r>
      <w:proofErr w:type="spellStart"/>
      <w:r w:rsidRPr="00F064CA">
        <w:rPr>
          <w:rFonts w:eastAsia="Times New Roman"/>
          <w:color w:val="000000"/>
          <w:sz w:val="24"/>
          <w:szCs w:val="24"/>
        </w:rPr>
        <w:t>Mouslopoulou</w:t>
      </w:r>
      <w:proofErr w:type="spellEnd"/>
      <w:r w:rsidRPr="00F064CA">
        <w:rPr>
          <w:rFonts w:eastAsia="Times New Roman"/>
          <w:color w:val="000000"/>
          <w:sz w:val="24"/>
          <w:szCs w:val="24"/>
        </w:rPr>
        <w:t xml:space="preserve"> et al., 2009; Nicol et al., 2006). However, our work has shown that slip rates can vary significantly (3.8-28 m/</w:t>
      </w:r>
      <w:proofErr w:type="spellStart"/>
      <w:r w:rsidRPr="00F064CA">
        <w:rPr>
          <w:rFonts w:eastAsia="Times New Roman"/>
          <w:color w:val="000000"/>
          <w:sz w:val="24"/>
          <w:szCs w:val="24"/>
        </w:rPr>
        <w:t>Myr</w:t>
      </w:r>
      <w:proofErr w:type="spellEnd"/>
      <w:r w:rsidRPr="00F064CA">
        <w:rPr>
          <w:rFonts w:eastAsia="Times New Roman"/>
          <w:color w:val="000000"/>
          <w:sz w:val="24"/>
          <w:szCs w:val="24"/>
        </w:rPr>
        <w:t xml:space="preserve">) on temporal-scales spanning several million years. </w:t>
      </w:r>
      <w:r w:rsidR="00B75F01" w:rsidRPr="00F064CA">
        <w:rPr>
          <w:color w:val="000000"/>
          <w:sz w:val="24"/>
          <w:szCs w:val="24"/>
        </w:rPr>
        <w:t>These long-term fluctuations in slip rate may reflect changes in regional strain rate (</w:t>
      </w:r>
      <w:proofErr w:type="spellStart"/>
      <w:r w:rsidR="00B75F01" w:rsidRPr="00F064CA">
        <w:rPr>
          <w:color w:val="000000"/>
          <w:sz w:val="24"/>
          <w:szCs w:val="24"/>
        </w:rPr>
        <w:t>Mouslopoulou</w:t>
      </w:r>
      <w:proofErr w:type="spellEnd"/>
      <w:r w:rsidR="00B75F01" w:rsidRPr="00F064CA">
        <w:rPr>
          <w:color w:val="000000"/>
          <w:sz w:val="24"/>
          <w:szCs w:val="24"/>
        </w:rPr>
        <w:t xml:space="preserve"> et al., 2009), or the observed accelerated slip rates could be a result of strain locali</w:t>
      </w:r>
      <w:r w:rsidR="00F064CA" w:rsidRPr="00F064CA">
        <w:rPr>
          <w:color w:val="000000"/>
          <w:sz w:val="24"/>
          <w:szCs w:val="24"/>
        </w:rPr>
        <w:t>z</w:t>
      </w:r>
      <w:r w:rsidR="00B75F01" w:rsidRPr="00F064CA">
        <w:rPr>
          <w:color w:val="000000"/>
          <w:sz w:val="24"/>
          <w:szCs w:val="24"/>
        </w:rPr>
        <w:t>ation onto larger faults (Cowie &amp; Roberts, 2001; Gupta et al., 1998).</w:t>
      </w:r>
    </w:p>
    <w:p w14:paraId="250606BC" w14:textId="77777777" w:rsidR="000726F3" w:rsidRPr="00F064CA" w:rsidRDefault="000726F3" w:rsidP="002349AD">
      <w:pPr>
        <w:spacing w:line="480" w:lineRule="auto"/>
        <w:ind w:firstLine="720"/>
        <w:rPr>
          <w:rFonts w:eastAsia="Times New Roman"/>
          <w:sz w:val="24"/>
          <w:szCs w:val="24"/>
        </w:rPr>
      </w:pPr>
      <w:r w:rsidRPr="00F064CA">
        <w:rPr>
          <w:rFonts w:eastAsia="Times New Roman"/>
          <w:color w:val="000000"/>
          <w:sz w:val="24"/>
          <w:szCs w:val="24"/>
        </w:rPr>
        <w:t>Additionally, the ‘final’ length of a fault is often mentioned in normal fault databases (Bailey et al., 2005; Cowie &amp; Schultz 1992; Kim &amp; Sanderson, 2005; Schultz &amp; Fossen, 2002; Walsh et al., 1998). We have demonstrated that because some faults may experience a stage of tip retreat at the end of their active lives, their ‘final length’ may be up to 25% smaller than their ‘maximum length’, which could affect displacement/length plots in global normal fault databases. Thus, it is important to extract the displacement/length at the base of the pre-rift, given this records the maximum extensional strain.</w:t>
      </w:r>
    </w:p>
    <w:p w14:paraId="262E52CB" w14:textId="31D164FD" w:rsidR="000726F3" w:rsidRPr="00F064CA" w:rsidRDefault="000726F3" w:rsidP="002349AD">
      <w:pPr>
        <w:pStyle w:val="Heading-Secondary"/>
        <w:spacing w:line="480" w:lineRule="auto"/>
      </w:pPr>
      <w:r w:rsidRPr="00F064CA">
        <w:rPr>
          <w:b/>
          <w:bCs w:val="0"/>
          <w:color w:val="000000"/>
        </w:rPr>
        <w:t>5.2 The role of tip retreat</w:t>
      </w:r>
    </w:p>
    <w:p w14:paraId="4DF71258" w14:textId="087FC7F4" w:rsidR="000726F3" w:rsidRPr="00F064CA" w:rsidRDefault="000726F3" w:rsidP="002349AD">
      <w:pPr>
        <w:spacing w:line="480" w:lineRule="auto"/>
        <w:ind w:firstLine="720"/>
        <w:rPr>
          <w:rFonts w:eastAsia="Times New Roman"/>
          <w:sz w:val="24"/>
          <w:szCs w:val="24"/>
        </w:rPr>
      </w:pPr>
      <w:r w:rsidRPr="00F064CA">
        <w:rPr>
          <w:rFonts w:eastAsia="Times New Roman"/>
          <w:color w:val="000000"/>
          <w:sz w:val="24"/>
          <w:szCs w:val="24"/>
        </w:rPr>
        <w:t xml:space="preserve">Fault tip retreat is present on one or both tips of </w:t>
      </w:r>
      <w:proofErr w:type="gramStart"/>
      <w:r w:rsidRPr="00F064CA">
        <w:rPr>
          <w:rFonts w:eastAsia="Times New Roman"/>
          <w:color w:val="000000"/>
          <w:sz w:val="24"/>
          <w:szCs w:val="24"/>
        </w:rPr>
        <w:t>all of</w:t>
      </w:r>
      <w:proofErr w:type="gramEnd"/>
      <w:r w:rsidRPr="00F064CA">
        <w:rPr>
          <w:rFonts w:eastAsia="Times New Roman"/>
          <w:color w:val="000000"/>
          <w:sz w:val="24"/>
          <w:szCs w:val="24"/>
        </w:rPr>
        <w:t xml:space="preserve"> the faults in our study. This process has, however, only very rarely been described. Meyer et al., (2002) note a stage of tip retreat on Tertiary normal faults in the Vulcan Sub-basin, NW Shelf, Australia. The reasons why fault tips might retreat may have been overlooked because of a historical focus on how normal faults grow </w:t>
      </w:r>
      <w:r w:rsidRPr="00F064CA">
        <w:rPr>
          <w:rFonts w:eastAsia="Times New Roman"/>
          <w:color w:val="000000"/>
          <w:sz w:val="24"/>
          <w:szCs w:val="24"/>
        </w:rPr>
        <w:lastRenderedPageBreak/>
        <w:t xml:space="preserve">as opposed to how they die, and/or because high-quality, age-constrained seismic reflection data, with numerous mappable horizons within fault-related growth strata, are not available. Noting that tip retreat could be a fundamental part of how normal faults evolve is important when trying to understand seismic hazard in areas of active continental extension. For example, earthquake-scaling relationships might suggest that as the active trace-length of a fault decreases, the potential magnitude of earthquakes that could be hosted on that fault may also decrease (Coppersmith &amp; Wells 1994). However, the trace-length of large, mature faults entering the late, tip-retreat stage of their evolution, likely represents only a small portion of the fault surface; these faults could thus generate significantly larger earthquakes than predicted by scaling-relationships. Current structural models for seismic hazard analysis in areas of extensional tectonics do not currently, but maybe should, take fault age or maturity into account (e.g. </w:t>
      </w:r>
      <w:proofErr w:type="spellStart"/>
      <w:r w:rsidRPr="00F064CA">
        <w:rPr>
          <w:rFonts w:eastAsia="Times New Roman"/>
          <w:color w:val="000000"/>
          <w:sz w:val="24"/>
          <w:szCs w:val="24"/>
        </w:rPr>
        <w:t>Manighetti</w:t>
      </w:r>
      <w:proofErr w:type="spellEnd"/>
      <w:r w:rsidRPr="00F064CA">
        <w:rPr>
          <w:rFonts w:eastAsia="Times New Roman"/>
          <w:color w:val="000000"/>
          <w:sz w:val="24"/>
          <w:szCs w:val="24"/>
        </w:rPr>
        <w:t xml:space="preserve"> et al., 2007; Wallace, 1970).                                                            </w:t>
      </w:r>
    </w:p>
    <w:p w14:paraId="1A8794DC" w14:textId="399AF825" w:rsidR="000726F3" w:rsidRPr="00F064CA" w:rsidRDefault="000726F3" w:rsidP="002349AD">
      <w:pPr>
        <w:spacing w:line="480" w:lineRule="auto"/>
        <w:ind w:firstLine="720"/>
        <w:rPr>
          <w:rFonts w:eastAsia="Times New Roman"/>
          <w:color w:val="000000"/>
          <w:sz w:val="24"/>
          <w:szCs w:val="24"/>
        </w:rPr>
      </w:pPr>
      <w:proofErr w:type="gramStart"/>
      <w:r w:rsidRPr="00F064CA">
        <w:rPr>
          <w:rFonts w:eastAsia="Times New Roman"/>
          <w:color w:val="000000"/>
          <w:sz w:val="24"/>
          <w:szCs w:val="24"/>
        </w:rPr>
        <w:t>All of</w:t>
      </w:r>
      <w:proofErr w:type="gramEnd"/>
      <w:r w:rsidRPr="00F064CA">
        <w:rPr>
          <w:rFonts w:eastAsia="Times New Roman"/>
          <w:color w:val="000000"/>
          <w:sz w:val="24"/>
          <w:szCs w:val="24"/>
        </w:rPr>
        <w:t xml:space="preserve"> the studied faults decreased in length (by up to 2.5 km, or 25% of their trace-length) during the last 14 million years (25%) of their lives by retreat of one or both of their lateral tips. This could be explained by two hypotheses. The first hypothesis is that the faults are experiencing a </w:t>
      </w:r>
      <w:proofErr w:type="gramStart"/>
      <w:r w:rsidRPr="00F064CA">
        <w:rPr>
          <w:rFonts w:eastAsia="Times New Roman"/>
          <w:color w:val="000000"/>
          <w:sz w:val="24"/>
          <w:szCs w:val="24"/>
        </w:rPr>
        <w:t>late-stage</w:t>
      </w:r>
      <w:proofErr w:type="gramEnd"/>
      <w:r w:rsidRPr="00F064CA">
        <w:rPr>
          <w:rFonts w:eastAsia="Times New Roman"/>
          <w:color w:val="000000"/>
          <w:sz w:val="24"/>
          <w:szCs w:val="24"/>
        </w:rPr>
        <w:t xml:space="preserve"> of </w:t>
      </w:r>
      <w:r w:rsidRPr="00F064CA">
        <w:rPr>
          <w:rFonts w:eastAsia="Times New Roman"/>
          <w:i/>
          <w:iCs/>
          <w:color w:val="000000"/>
          <w:sz w:val="24"/>
          <w:szCs w:val="24"/>
        </w:rPr>
        <w:t>true</w:t>
      </w:r>
      <w:r w:rsidRPr="00F064CA">
        <w:rPr>
          <w:rFonts w:eastAsia="Times New Roman"/>
          <w:color w:val="000000"/>
          <w:sz w:val="24"/>
          <w:szCs w:val="24"/>
        </w:rPr>
        <w:t xml:space="preserve"> tip retreat; i.e. strain becomes localized near the fault </w:t>
      </w:r>
      <w:proofErr w:type="spellStart"/>
      <w:r w:rsidRPr="00F064CA">
        <w:rPr>
          <w:rFonts w:eastAsia="Times New Roman"/>
          <w:color w:val="000000"/>
          <w:sz w:val="24"/>
          <w:szCs w:val="24"/>
        </w:rPr>
        <w:t>centre</w:t>
      </w:r>
      <w:proofErr w:type="spellEnd"/>
      <w:r w:rsidRPr="00F064CA">
        <w:rPr>
          <w:rFonts w:eastAsia="Times New Roman"/>
          <w:color w:val="000000"/>
          <w:sz w:val="24"/>
          <w:szCs w:val="24"/>
        </w:rPr>
        <w:t>, leading to progressively shorter surface trace. We would expect that fault surface ruptures shorten as the fault gets closer to death (Figure 1</w:t>
      </w:r>
      <w:r w:rsidR="00147251" w:rsidRPr="00F064CA">
        <w:rPr>
          <w:rFonts w:eastAsia="Times New Roman"/>
          <w:color w:val="000000"/>
          <w:sz w:val="24"/>
          <w:szCs w:val="24"/>
        </w:rPr>
        <w:t>4</w:t>
      </w:r>
      <w:r w:rsidRPr="00F064CA">
        <w:rPr>
          <w:rFonts w:eastAsia="Times New Roman"/>
          <w:color w:val="000000"/>
          <w:sz w:val="24"/>
          <w:szCs w:val="24"/>
        </w:rPr>
        <w:t xml:space="preserve">a). An alternate hypothesis </w:t>
      </w:r>
      <w:r w:rsidR="00B0458F">
        <w:rPr>
          <w:rFonts w:eastAsia="Times New Roman"/>
          <w:color w:val="000000"/>
          <w:sz w:val="24"/>
          <w:szCs w:val="24"/>
        </w:rPr>
        <w:t xml:space="preserve">is </w:t>
      </w:r>
      <w:r w:rsidRPr="00F064CA">
        <w:rPr>
          <w:rFonts w:eastAsia="Times New Roman"/>
          <w:color w:val="000000"/>
          <w:sz w:val="24"/>
          <w:szCs w:val="24"/>
        </w:rPr>
        <w:t xml:space="preserve">that tip-line retreat is only </w:t>
      </w:r>
      <w:r w:rsidRPr="00F064CA">
        <w:rPr>
          <w:rFonts w:eastAsia="Times New Roman"/>
          <w:i/>
          <w:iCs/>
          <w:color w:val="000000"/>
          <w:sz w:val="24"/>
          <w:szCs w:val="24"/>
        </w:rPr>
        <w:t>apparent</w:t>
      </w:r>
      <w:r w:rsidRPr="00F064CA">
        <w:rPr>
          <w:rFonts w:eastAsia="Times New Roman"/>
          <w:color w:val="000000"/>
          <w:sz w:val="24"/>
          <w:szCs w:val="24"/>
        </w:rPr>
        <w:t xml:space="preserve"> and is related to the faults having an elliptical geometry during the later stages of faulting, due to it having a plunging upper tip-line (i.e. during deposition of H5-7; Figure 1</w:t>
      </w:r>
      <w:r w:rsidR="00147251" w:rsidRPr="00F064CA">
        <w:rPr>
          <w:rFonts w:eastAsia="Times New Roman"/>
          <w:color w:val="000000"/>
          <w:sz w:val="24"/>
          <w:szCs w:val="24"/>
        </w:rPr>
        <w:t>4</w:t>
      </w:r>
      <w:r w:rsidRPr="00F064CA">
        <w:rPr>
          <w:rFonts w:eastAsia="Times New Roman"/>
          <w:color w:val="000000"/>
          <w:sz w:val="24"/>
          <w:szCs w:val="24"/>
        </w:rPr>
        <w:t xml:space="preserve">b). In this scenario, the fault would have intersected the free-surface along progressively shorter trace-lengths, with the fault tips being blind (Figure 13b). An increase in sediment accumulation rate relative to fault slip rate could drive this progression. The fault </w:t>
      </w:r>
      <w:r w:rsidRPr="00F064CA">
        <w:rPr>
          <w:rFonts w:eastAsia="Times New Roman"/>
          <w:color w:val="000000"/>
          <w:sz w:val="24"/>
          <w:szCs w:val="24"/>
        </w:rPr>
        <w:lastRenderedPageBreak/>
        <w:t>geometries associated with both hypotheses would look similar in seismic data (</w:t>
      </w:r>
      <w:proofErr w:type="spellStart"/>
      <w:r w:rsidRPr="00F064CA">
        <w:rPr>
          <w:rFonts w:eastAsia="Times New Roman"/>
          <w:color w:val="000000"/>
          <w:sz w:val="24"/>
          <w:szCs w:val="24"/>
        </w:rPr>
        <w:t>cf</w:t>
      </w:r>
      <w:proofErr w:type="spellEnd"/>
      <w:r w:rsidRPr="00F064CA">
        <w:rPr>
          <w:rFonts w:eastAsia="Times New Roman"/>
          <w:color w:val="000000"/>
          <w:sz w:val="24"/>
          <w:szCs w:val="24"/>
        </w:rPr>
        <w:t xml:space="preserve"> Figures 1</w:t>
      </w:r>
      <w:r w:rsidR="00147251" w:rsidRPr="00F064CA">
        <w:rPr>
          <w:rFonts w:eastAsia="Times New Roman"/>
          <w:color w:val="000000"/>
          <w:sz w:val="24"/>
          <w:szCs w:val="24"/>
        </w:rPr>
        <w:t>4</w:t>
      </w:r>
      <w:r w:rsidRPr="00F064CA">
        <w:rPr>
          <w:rFonts w:eastAsia="Times New Roman"/>
          <w:color w:val="000000"/>
          <w:sz w:val="24"/>
          <w:szCs w:val="24"/>
        </w:rPr>
        <w:t>a and 1</w:t>
      </w:r>
      <w:r w:rsidR="00147251" w:rsidRPr="00F064CA">
        <w:rPr>
          <w:rFonts w:eastAsia="Times New Roman"/>
          <w:color w:val="000000"/>
          <w:sz w:val="24"/>
          <w:szCs w:val="24"/>
        </w:rPr>
        <w:t>4</w:t>
      </w:r>
      <w:r w:rsidRPr="00F064CA">
        <w:rPr>
          <w:rFonts w:eastAsia="Times New Roman"/>
          <w:color w:val="000000"/>
          <w:sz w:val="24"/>
          <w:szCs w:val="24"/>
        </w:rPr>
        <w:t>b). </w:t>
      </w:r>
    </w:p>
    <w:p w14:paraId="45D6CE12" w14:textId="77777777" w:rsidR="00147251" w:rsidRPr="00F064CA" w:rsidRDefault="00147251" w:rsidP="002349AD">
      <w:pPr>
        <w:pStyle w:val="Abstract"/>
        <w:spacing w:line="480" w:lineRule="auto"/>
      </w:pPr>
      <w:r w:rsidRPr="00F064CA">
        <w:rPr>
          <w:noProof/>
        </w:rPr>
        <w:drawing>
          <wp:inline distT="0" distB="0" distL="0" distR="0" wp14:anchorId="5A80C958" wp14:editId="19B90D50">
            <wp:extent cx="5939790" cy="1844040"/>
            <wp:effectExtent l="0" t="0" r="381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9790" cy="1844040"/>
                    </a:xfrm>
                    <a:prstGeom prst="rect">
                      <a:avLst/>
                    </a:prstGeom>
                    <a:noFill/>
                    <a:ln>
                      <a:noFill/>
                    </a:ln>
                  </pic:spPr>
                </pic:pic>
              </a:graphicData>
            </a:graphic>
          </wp:inline>
        </w:drawing>
      </w:r>
    </w:p>
    <w:p w14:paraId="58F18DB9" w14:textId="71DFA110" w:rsidR="00147251" w:rsidRPr="00F064CA" w:rsidRDefault="00147251" w:rsidP="007E211A">
      <w:pPr>
        <w:rPr>
          <w:rFonts w:eastAsia="Times New Roman"/>
          <w:color w:val="000000"/>
          <w:sz w:val="24"/>
          <w:szCs w:val="24"/>
        </w:rPr>
      </w:pPr>
      <w:r w:rsidRPr="00F064CA">
        <w:rPr>
          <w:rFonts w:eastAsia="Times New Roman"/>
          <w:b/>
          <w:bCs/>
          <w:color w:val="000000"/>
          <w:sz w:val="24"/>
          <w:szCs w:val="24"/>
        </w:rPr>
        <w:t>Figure 14.</w:t>
      </w:r>
      <w:r w:rsidRPr="00F064CA">
        <w:rPr>
          <w:rFonts w:eastAsia="Times New Roman"/>
          <w:color w:val="000000"/>
          <w:sz w:val="24"/>
          <w:szCs w:val="24"/>
        </w:rPr>
        <w:t xml:space="preserve"> Schematics showing </w:t>
      </w:r>
      <w:proofErr w:type="gramStart"/>
      <w:r w:rsidRPr="00F064CA">
        <w:rPr>
          <w:rFonts w:eastAsia="Times New Roman"/>
          <w:color w:val="000000"/>
          <w:sz w:val="24"/>
          <w:szCs w:val="24"/>
        </w:rPr>
        <w:t>a two possibilities</w:t>
      </w:r>
      <w:proofErr w:type="gramEnd"/>
      <w:r w:rsidRPr="00F064CA">
        <w:rPr>
          <w:rFonts w:eastAsia="Times New Roman"/>
          <w:color w:val="000000"/>
          <w:sz w:val="24"/>
          <w:szCs w:val="24"/>
        </w:rPr>
        <w:t xml:space="preserve"> for the apparent tip line retreat in this study. Fault planes along dip are shown, and colored lines indicate the active length of the fault at the time of the deposition of the associated horizons (H1-7). </w:t>
      </w:r>
      <w:r w:rsidRPr="00F064CA">
        <w:rPr>
          <w:rFonts w:eastAsia="Times New Roman"/>
          <w:b/>
          <w:bCs/>
          <w:color w:val="000000"/>
          <w:sz w:val="24"/>
          <w:szCs w:val="24"/>
        </w:rPr>
        <w:t>a)</w:t>
      </w:r>
      <w:r w:rsidRPr="00F064CA">
        <w:rPr>
          <w:rFonts w:eastAsia="Times New Roman"/>
          <w:color w:val="000000"/>
          <w:sz w:val="24"/>
          <w:szCs w:val="24"/>
        </w:rPr>
        <w:t xml:space="preserve"> Fault length remains constant from H1-</w:t>
      </w:r>
      <w:proofErr w:type="gramStart"/>
      <w:r w:rsidRPr="00F064CA">
        <w:rPr>
          <w:rFonts w:eastAsia="Times New Roman"/>
          <w:color w:val="000000"/>
          <w:sz w:val="24"/>
          <w:szCs w:val="24"/>
        </w:rPr>
        <w:t>5, and</w:t>
      </w:r>
      <w:proofErr w:type="gramEnd"/>
      <w:r w:rsidRPr="00F064CA">
        <w:rPr>
          <w:rFonts w:eastAsia="Times New Roman"/>
          <w:color w:val="000000"/>
          <w:sz w:val="24"/>
          <w:szCs w:val="24"/>
        </w:rPr>
        <w:t xml:space="preserve"> becomes active a progressively shorter distances across H6 and H7, which can be interpreted as lateral tip retreat. </w:t>
      </w:r>
      <w:r w:rsidRPr="00F064CA">
        <w:rPr>
          <w:rFonts w:eastAsia="Times New Roman"/>
          <w:b/>
          <w:bCs/>
          <w:color w:val="000000"/>
          <w:sz w:val="24"/>
          <w:szCs w:val="24"/>
        </w:rPr>
        <w:t>b)</w:t>
      </w:r>
      <w:r w:rsidRPr="00F064CA">
        <w:rPr>
          <w:rFonts w:eastAsia="Times New Roman"/>
          <w:color w:val="000000"/>
          <w:sz w:val="24"/>
          <w:szCs w:val="24"/>
        </w:rPr>
        <w:t xml:space="preserve"> the fault remains active across the entire length of the fault, but in the later stages of faulting (H6-7) the fault only breaches the surface in the </w:t>
      </w:r>
      <w:proofErr w:type="spellStart"/>
      <w:r w:rsidRPr="00F064CA">
        <w:rPr>
          <w:rFonts w:eastAsia="Times New Roman"/>
          <w:color w:val="000000"/>
          <w:sz w:val="24"/>
          <w:szCs w:val="24"/>
        </w:rPr>
        <w:t>centre</w:t>
      </w:r>
      <w:proofErr w:type="spellEnd"/>
      <w:r w:rsidRPr="00F064CA">
        <w:rPr>
          <w:rFonts w:eastAsia="Times New Roman"/>
          <w:color w:val="000000"/>
          <w:sz w:val="24"/>
          <w:szCs w:val="24"/>
        </w:rPr>
        <w:t xml:space="preserve"> of the fault, and the fault tips remain active at depth, acting as blind faults. </w:t>
      </w:r>
    </w:p>
    <w:p w14:paraId="2B32D5F1" w14:textId="77777777" w:rsidR="00B45FBE" w:rsidRPr="00F064CA" w:rsidRDefault="00B45FBE" w:rsidP="002349AD">
      <w:pPr>
        <w:spacing w:line="480" w:lineRule="auto"/>
        <w:rPr>
          <w:rFonts w:eastAsia="Times New Roman"/>
          <w:sz w:val="24"/>
          <w:szCs w:val="24"/>
        </w:rPr>
      </w:pPr>
    </w:p>
    <w:p w14:paraId="5E667C0F" w14:textId="505ADB3D" w:rsidR="000726F3" w:rsidRPr="00F064CA" w:rsidRDefault="000726F3" w:rsidP="002349AD">
      <w:pPr>
        <w:spacing w:line="480" w:lineRule="auto"/>
        <w:ind w:firstLine="720"/>
        <w:rPr>
          <w:rFonts w:eastAsia="Times New Roman"/>
          <w:sz w:val="24"/>
          <w:szCs w:val="24"/>
        </w:rPr>
      </w:pPr>
      <w:r w:rsidRPr="00F064CA">
        <w:rPr>
          <w:rFonts w:eastAsia="Times New Roman"/>
          <w:color w:val="000000"/>
          <w:sz w:val="24"/>
          <w:szCs w:val="24"/>
        </w:rPr>
        <w:t>We argue that we are seeing true fault tip retreat because if retreat was only apparent and related to the faults elliptical shape, we would expect vertical throw gradients across the horizons to be similar to those encountered on blind normal faults (Childs et al., 2003; Meyer et al., 2002; Walsh &amp; Watterson 1988). For a blind fault, only modest strain can be accommodated by the rock volume without upward tip propagation. In the case of the upper tip of a blind fault, a maximum vertical displacement gradient of &lt;0.1 is typical (</w:t>
      </w:r>
      <w:proofErr w:type="spellStart"/>
      <w:r w:rsidRPr="00F064CA">
        <w:rPr>
          <w:rFonts w:eastAsia="Times New Roman"/>
          <w:color w:val="000000"/>
          <w:sz w:val="24"/>
          <w:szCs w:val="24"/>
        </w:rPr>
        <w:t>Baudon</w:t>
      </w:r>
      <w:proofErr w:type="spellEnd"/>
      <w:r w:rsidRPr="00F064CA">
        <w:rPr>
          <w:rFonts w:eastAsia="Times New Roman"/>
          <w:color w:val="000000"/>
          <w:sz w:val="24"/>
          <w:szCs w:val="24"/>
        </w:rPr>
        <w:t xml:space="preserve"> &amp; Cartwright, 2009; Childs et al., 2003; Meyer et al., 2002; Walsh &amp; Watterson, 1998). We measured the maximum vertical displacement gradients between H6 and H7 in the </w:t>
      </w:r>
      <w:proofErr w:type="spellStart"/>
      <w:r w:rsidRPr="00F064CA">
        <w:rPr>
          <w:rFonts w:eastAsia="Times New Roman"/>
          <w:color w:val="000000"/>
          <w:sz w:val="24"/>
          <w:szCs w:val="24"/>
        </w:rPr>
        <w:t>centre</w:t>
      </w:r>
      <w:proofErr w:type="spellEnd"/>
      <w:r w:rsidRPr="00F064CA">
        <w:rPr>
          <w:rFonts w:eastAsia="Times New Roman"/>
          <w:color w:val="000000"/>
          <w:sz w:val="24"/>
          <w:szCs w:val="24"/>
        </w:rPr>
        <w:t xml:space="preserve"> of the faults and found values between 2-7 (Figures 6b, 8b, and 10b), more than an order-of-magnitude higher than that typically found for blind faults (Walsh &amp; Watterson, 1988) (Figure 13). Such high vertical displacement gradients suggest that the </w:t>
      </w:r>
      <w:r w:rsidRPr="00F064CA">
        <w:rPr>
          <w:rFonts w:eastAsia="Times New Roman"/>
          <w:i/>
          <w:iCs/>
          <w:color w:val="000000"/>
          <w:sz w:val="24"/>
          <w:szCs w:val="24"/>
        </w:rPr>
        <w:t>entire length</w:t>
      </w:r>
      <w:r w:rsidRPr="00F064CA">
        <w:rPr>
          <w:rFonts w:eastAsia="Times New Roman"/>
          <w:color w:val="000000"/>
          <w:sz w:val="24"/>
          <w:szCs w:val="24"/>
        </w:rPr>
        <w:t xml:space="preserve"> of the upper tip-line must have intersected the free-</w:t>
      </w:r>
      <w:r w:rsidRPr="00F064CA">
        <w:rPr>
          <w:rFonts w:eastAsia="Times New Roman"/>
          <w:color w:val="000000"/>
          <w:sz w:val="24"/>
          <w:szCs w:val="24"/>
        </w:rPr>
        <w:lastRenderedPageBreak/>
        <w:t>surface (</w:t>
      </w:r>
      <w:proofErr w:type="spellStart"/>
      <w:r w:rsidRPr="00F064CA">
        <w:rPr>
          <w:rFonts w:eastAsia="Times New Roman"/>
          <w:color w:val="000000"/>
          <w:sz w:val="24"/>
          <w:szCs w:val="24"/>
        </w:rPr>
        <w:t>Baudon</w:t>
      </w:r>
      <w:proofErr w:type="spellEnd"/>
      <w:r w:rsidRPr="00F064CA">
        <w:rPr>
          <w:rFonts w:eastAsia="Times New Roman"/>
          <w:color w:val="000000"/>
          <w:sz w:val="24"/>
          <w:szCs w:val="24"/>
        </w:rPr>
        <w:t xml:space="preserve"> &amp; Cartwright, 2009; Childs et al., 2003; Meyer et al., 2002), and that a portion of the fault had become inactive during the later stages of the fault</w:t>
      </w:r>
      <w:r w:rsidR="001B3F4B">
        <w:rPr>
          <w:rFonts w:eastAsia="Times New Roman"/>
          <w:color w:val="000000"/>
          <w:sz w:val="24"/>
          <w:szCs w:val="24"/>
        </w:rPr>
        <w:t>s</w:t>
      </w:r>
      <w:r w:rsidRPr="00F064CA">
        <w:rPr>
          <w:rFonts w:eastAsia="Times New Roman"/>
          <w:color w:val="000000"/>
          <w:sz w:val="24"/>
          <w:szCs w:val="24"/>
        </w:rPr>
        <w:t xml:space="preserve"> li</w:t>
      </w:r>
      <w:r w:rsidR="001B3F4B">
        <w:rPr>
          <w:rFonts w:eastAsia="Times New Roman"/>
          <w:color w:val="000000"/>
          <w:sz w:val="24"/>
          <w:szCs w:val="24"/>
        </w:rPr>
        <w:t>fe</w:t>
      </w:r>
      <w:r w:rsidRPr="00F064CA">
        <w:rPr>
          <w:rFonts w:eastAsia="Times New Roman"/>
          <w:color w:val="000000"/>
          <w:sz w:val="24"/>
          <w:szCs w:val="24"/>
        </w:rPr>
        <w:t>, before the deposition of H6 and H7. </w:t>
      </w:r>
    </w:p>
    <w:p w14:paraId="69480D5F" w14:textId="453ED09F" w:rsidR="001F7C8C" w:rsidRPr="00F064CA" w:rsidRDefault="000726F3" w:rsidP="002349AD">
      <w:pPr>
        <w:spacing w:line="480" w:lineRule="auto"/>
        <w:ind w:firstLine="720"/>
        <w:rPr>
          <w:rFonts w:eastAsia="Times New Roman"/>
          <w:sz w:val="24"/>
          <w:szCs w:val="24"/>
        </w:rPr>
      </w:pPr>
      <w:r w:rsidRPr="00F064CA">
        <w:rPr>
          <w:rFonts w:eastAsia="Times New Roman"/>
          <w:color w:val="000000"/>
          <w:sz w:val="24"/>
          <w:szCs w:val="24"/>
        </w:rPr>
        <w:t xml:space="preserve">When verifying that the tip </w:t>
      </w:r>
      <w:proofErr w:type="gramStart"/>
      <w:r w:rsidRPr="00F064CA">
        <w:rPr>
          <w:rFonts w:eastAsia="Times New Roman"/>
          <w:color w:val="000000"/>
          <w:sz w:val="24"/>
          <w:szCs w:val="24"/>
        </w:rPr>
        <w:t>retreat</w:t>
      </w:r>
      <w:proofErr w:type="gramEnd"/>
      <w:r w:rsidRPr="00F064CA">
        <w:rPr>
          <w:rFonts w:eastAsia="Times New Roman"/>
          <w:color w:val="000000"/>
          <w:sz w:val="24"/>
          <w:szCs w:val="24"/>
        </w:rPr>
        <w:t xml:space="preserve"> we see is real, it is important to ensure that the faults are not sediment-starved during the latter stages of their development (post-Jurassic). A reported example of possible tip retreat comes from the East African Rift (Morley, 2002); however, in this case it is possible that the faults became inactive earlier than assumed, and what appears to be tip retreat is only (passive) sediment filling of a starved basin. In our study, we argue the faults were not sediment-starved at the end of their lives (</w:t>
      </w:r>
      <w:proofErr w:type="spellStart"/>
      <w:r w:rsidRPr="00F064CA">
        <w:rPr>
          <w:rFonts w:eastAsia="Times New Roman"/>
          <w:color w:val="000000"/>
          <w:sz w:val="24"/>
          <w:szCs w:val="24"/>
        </w:rPr>
        <w:t>Berriasian-Hauterivian</w:t>
      </w:r>
      <w:proofErr w:type="spellEnd"/>
      <w:r w:rsidRPr="00F064CA">
        <w:rPr>
          <w:rFonts w:eastAsia="Times New Roman"/>
          <w:color w:val="000000"/>
          <w:sz w:val="24"/>
          <w:szCs w:val="24"/>
        </w:rPr>
        <w:t xml:space="preserve">), given appreciable amounts of sediment were deposited in the footwall of the faults during deposition of H5 to H7 (Figures 6a, 7a and 9a). </w:t>
      </w:r>
    </w:p>
    <w:p w14:paraId="69D87446" w14:textId="7A596B0F" w:rsidR="002F3B11" w:rsidRPr="00F064CA" w:rsidRDefault="000726F3" w:rsidP="002349AD">
      <w:pPr>
        <w:pStyle w:val="Heading-Secondary"/>
        <w:spacing w:line="480" w:lineRule="auto"/>
        <w:rPr>
          <w:b/>
          <w:bCs w:val="0"/>
        </w:rPr>
      </w:pPr>
      <w:r w:rsidRPr="00F064CA">
        <w:rPr>
          <w:b/>
          <w:bCs w:val="0"/>
        </w:rPr>
        <w:t>6</w:t>
      </w:r>
      <w:r w:rsidR="002F3B11" w:rsidRPr="00F064CA">
        <w:rPr>
          <w:b/>
          <w:bCs w:val="0"/>
        </w:rPr>
        <w:t xml:space="preserve"> Conclusions</w:t>
      </w:r>
    </w:p>
    <w:p w14:paraId="48BA5325" w14:textId="2A516FCF" w:rsidR="000726F3" w:rsidRPr="00F064CA" w:rsidRDefault="000726F3" w:rsidP="002349AD">
      <w:pPr>
        <w:pStyle w:val="Abstract"/>
        <w:spacing w:line="480" w:lineRule="auto"/>
      </w:pPr>
      <w:r w:rsidRPr="00F064CA">
        <w:tab/>
      </w:r>
      <w:proofErr w:type="gramStart"/>
      <w:r w:rsidRPr="00F064CA">
        <w:t>The majority of</w:t>
      </w:r>
      <w:proofErr w:type="gramEnd"/>
      <w:r w:rsidRPr="00F064CA">
        <w:t xml:space="preserve"> the studied faults have three distinct stages of fault evolution. During the first stage, the “lengthening stage”, the faults accumulate at least between 60-95% of </w:t>
      </w:r>
      <w:r w:rsidR="001B3F4B">
        <w:t>their</w:t>
      </w:r>
      <w:r w:rsidRPr="00F064CA">
        <w:t xml:space="preserve"> final length and accrues between 10-20% of throw. This stage lasts for up to 30% of the faults’ life. The second stage, termed the “throw stage”, fault throw rate increases, and the remainder of maximum fault length is reached. We also suggest that there could be a third stage of fault growth added to previous fault models, the tip retreat stage, where the active trace line of the fault decreases by up to 25% and throw continues to be accrued. More evidence is needed to determine how prevalent tip retreat is, but it could be an important part of late stage fault growth and should be included in future fault growth models.</w:t>
      </w:r>
    </w:p>
    <w:p w14:paraId="73F80CAB" w14:textId="10B9B980" w:rsidR="00B120F3" w:rsidRPr="00F064CA" w:rsidRDefault="1ACF9879" w:rsidP="002349AD">
      <w:pPr>
        <w:pStyle w:val="Heading-Main"/>
        <w:spacing w:line="480" w:lineRule="auto"/>
      </w:pPr>
      <w:r w:rsidRPr="00F064CA">
        <w:lastRenderedPageBreak/>
        <w:t>Acknowledgments</w:t>
      </w:r>
    </w:p>
    <w:p w14:paraId="05D5B71E" w14:textId="59F5F3A4" w:rsidR="00275AA0" w:rsidRPr="00F064CA" w:rsidRDefault="00C13178" w:rsidP="002349AD">
      <w:pPr>
        <w:spacing w:line="480" w:lineRule="auto"/>
        <w:rPr>
          <w:rFonts w:eastAsia="Times New Roman"/>
          <w:sz w:val="24"/>
          <w:szCs w:val="24"/>
        </w:rPr>
      </w:pPr>
      <w:r w:rsidRPr="00F064CA">
        <w:rPr>
          <w:rFonts w:eastAsia="Times New Roman"/>
          <w:color w:val="000000"/>
          <w:sz w:val="24"/>
          <w:szCs w:val="24"/>
        </w:rPr>
        <w:tab/>
        <w:t xml:space="preserve">We thank the Imperial College for providing Bailey Lathrop with the Presidential scholarship to fund her PhD research. We thank Geoscience Australia for making </w:t>
      </w:r>
      <w:proofErr w:type="gramStart"/>
      <w:r w:rsidRPr="00F064CA">
        <w:rPr>
          <w:rFonts w:eastAsia="Times New Roman"/>
          <w:color w:val="000000"/>
          <w:sz w:val="24"/>
          <w:szCs w:val="24"/>
        </w:rPr>
        <w:t>all of</w:t>
      </w:r>
      <w:proofErr w:type="gramEnd"/>
      <w:r w:rsidRPr="00F064CA">
        <w:rPr>
          <w:rFonts w:eastAsia="Times New Roman"/>
          <w:color w:val="000000"/>
          <w:sz w:val="24"/>
          <w:szCs w:val="24"/>
        </w:rPr>
        <w:t xml:space="preserve"> the data used in this study </w:t>
      </w:r>
      <w:proofErr w:type="spellStart"/>
      <w:r w:rsidRPr="00F064CA">
        <w:rPr>
          <w:rFonts w:eastAsia="Times New Roman"/>
          <w:color w:val="000000"/>
          <w:sz w:val="24"/>
          <w:szCs w:val="24"/>
        </w:rPr>
        <w:t>publically</w:t>
      </w:r>
      <w:proofErr w:type="spellEnd"/>
      <w:r w:rsidRPr="00F064CA">
        <w:rPr>
          <w:rFonts w:eastAsia="Times New Roman"/>
          <w:color w:val="000000"/>
          <w:sz w:val="24"/>
          <w:szCs w:val="24"/>
        </w:rPr>
        <w:t xml:space="preserve"> available</w:t>
      </w:r>
      <w:r w:rsidR="00461690">
        <w:rPr>
          <w:rFonts w:eastAsia="Times New Roman"/>
          <w:color w:val="000000"/>
          <w:sz w:val="24"/>
          <w:szCs w:val="24"/>
        </w:rPr>
        <w:t>. The Glencoe 3D seismic dataset and associated wells can be downloaded from</w:t>
      </w:r>
      <w:r w:rsidRPr="00F064CA">
        <w:rPr>
          <w:rFonts w:eastAsia="Times New Roman"/>
          <w:color w:val="000000"/>
          <w:sz w:val="24"/>
          <w:szCs w:val="24"/>
        </w:rPr>
        <w:t xml:space="preserve"> https://www.ga.gov.au/nopims. We thank Schlumberger for providing access to Petrel software. We also thank the Imperial College Basins Research Group (BRG) for their input and help throughout this research, and many colleagues with whom we have had beneficial conversations with at EGU and TSG conferences.</w:t>
      </w:r>
    </w:p>
    <w:p w14:paraId="5A91F46B" w14:textId="1120D0B7" w:rsidR="008A6077" w:rsidRPr="00F064CA" w:rsidRDefault="00B120F3" w:rsidP="002349AD">
      <w:pPr>
        <w:pStyle w:val="Heading-Main"/>
        <w:spacing w:line="480" w:lineRule="auto"/>
      </w:pPr>
      <w:r w:rsidRPr="00F064CA">
        <w:t>References</w:t>
      </w:r>
    </w:p>
    <w:p w14:paraId="585D66D7"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Bailey, W. R., Walsh, J. J., &amp; </w:t>
      </w:r>
      <w:proofErr w:type="spellStart"/>
      <w:r w:rsidRPr="00F064CA">
        <w:rPr>
          <w:rFonts w:eastAsia="Times New Roman"/>
          <w:sz w:val="24"/>
          <w:szCs w:val="24"/>
        </w:rPr>
        <w:t>Manzocchi</w:t>
      </w:r>
      <w:proofErr w:type="spellEnd"/>
      <w:r w:rsidRPr="00F064CA">
        <w:rPr>
          <w:rFonts w:eastAsia="Times New Roman"/>
          <w:sz w:val="24"/>
          <w:szCs w:val="24"/>
        </w:rPr>
        <w:t xml:space="preserve">, T. (2005). Fault populations, strain distribution and basement fault reactivation in the East </w:t>
      </w:r>
      <w:proofErr w:type="spellStart"/>
      <w:r w:rsidRPr="00F064CA">
        <w:rPr>
          <w:rFonts w:eastAsia="Times New Roman"/>
          <w:sz w:val="24"/>
          <w:szCs w:val="24"/>
        </w:rPr>
        <w:t>Pennines</w:t>
      </w:r>
      <w:proofErr w:type="spellEnd"/>
      <w:r w:rsidRPr="00F064CA">
        <w:rPr>
          <w:rFonts w:eastAsia="Times New Roman"/>
          <w:sz w:val="24"/>
          <w:szCs w:val="24"/>
        </w:rPr>
        <w:t xml:space="preserve"> Coalfield, UK.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27</w:t>
      </w:r>
      <w:r w:rsidRPr="00F064CA">
        <w:rPr>
          <w:rFonts w:eastAsia="Times New Roman"/>
          <w:sz w:val="24"/>
          <w:szCs w:val="24"/>
        </w:rPr>
        <w:t>, 913–928. https://doi.org/10.1016/j.jsg.2004.10.014</w:t>
      </w:r>
    </w:p>
    <w:p w14:paraId="123F2245"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proofErr w:type="spellStart"/>
      <w:r w:rsidRPr="00F064CA">
        <w:rPr>
          <w:rFonts w:eastAsia="Times New Roman"/>
          <w:sz w:val="24"/>
          <w:szCs w:val="24"/>
        </w:rPr>
        <w:t>Baudon</w:t>
      </w:r>
      <w:proofErr w:type="spellEnd"/>
      <w:r w:rsidRPr="00F064CA">
        <w:rPr>
          <w:rFonts w:eastAsia="Times New Roman"/>
          <w:sz w:val="24"/>
          <w:szCs w:val="24"/>
        </w:rPr>
        <w:t xml:space="preserve">, C., &amp; Cartwright, J. A. (2008). 3D seismic </w:t>
      </w:r>
      <w:proofErr w:type="spellStart"/>
      <w:r w:rsidRPr="00F064CA">
        <w:rPr>
          <w:rFonts w:eastAsia="Times New Roman"/>
          <w:sz w:val="24"/>
          <w:szCs w:val="24"/>
        </w:rPr>
        <w:t>characterisation</w:t>
      </w:r>
      <w:proofErr w:type="spellEnd"/>
      <w:r w:rsidRPr="00F064CA">
        <w:rPr>
          <w:rFonts w:eastAsia="Times New Roman"/>
          <w:sz w:val="24"/>
          <w:szCs w:val="24"/>
        </w:rPr>
        <w:t xml:space="preserve"> of an array of blind normal faults in the Levant Basin, Eastern Mediterranean.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30</w:t>
      </w:r>
      <w:r w:rsidRPr="00F064CA">
        <w:rPr>
          <w:rFonts w:eastAsia="Times New Roman"/>
          <w:sz w:val="24"/>
          <w:szCs w:val="24"/>
        </w:rPr>
        <w:t>(6), 746–760. https://doi.org/10.1016/j.jsg.2007.12.008</w:t>
      </w:r>
    </w:p>
    <w:p w14:paraId="1B127494"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Bilal, A., </w:t>
      </w:r>
      <w:proofErr w:type="spellStart"/>
      <w:r w:rsidRPr="00F064CA">
        <w:rPr>
          <w:rFonts w:eastAsia="Times New Roman"/>
          <w:sz w:val="24"/>
          <w:szCs w:val="24"/>
        </w:rPr>
        <w:t>Mcclay</w:t>
      </w:r>
      <w:proofErr w:type="spellEnd"/>
      <w:r w:rsidRPr="00F064CA">
        <w:rPr>
          <w:rFonts w:eastAsia="Times New Roman"/>
          <w:sz w:val="24"/>
          <w:szCs w:val="24"/>
        </w:rPr>
        <w:t xml:space="preserve">, K. E. N., &amp; </w:t>
      </w:r>
      <w:proofErr w:type="spellStart"/>
      <w:r w:rsidRPr="00F064CA">
        <w:rPr>
          <w:rFonts w:eastAsia="Times New Roman"/>
          <w:sz w:val="24"/>
          <w:szCs w:val="24"/>
        </w:rPr>
        <w:t>Scarselli</w:t>
      </w:r>
      <w:proofErr w:type="spellEnd"/>
      <w:r w:rsidRPr="00F064CA">
        <w:rPr>
          <w:rFonts w:eastAsia="Times New Roman"/>
          <w:sz w:val="24"/>
          <w:szCs w:val="24"/>
        </w:rPr>
        <w:t xml:space="preserve">, N. (2020). Fault-scarp degradation in the central </w:t>
      </w:r>
      <w:proofErr w:type="spellStart"/>
      <w:r w:rsidRPr="00F064CA">
        <w:rPr>
          <w:rFonts w:eastAsia="Times New Roman"/>
          <w:sz w:val="24"/>
          <w:szCs w:val="24"/>
        </w:rPr>
        <w:t>Exmouth</w:t>
      </w:r>
      <w:proofErr w:type="spellEnd"/>
      <w:r w:rsidRPr="00F064CA">
        <w:rPr>
          <w:rFonts w:eastAsia="Times New Roman"/>
          <w:sz w:val="24"/>
          <w:szCs w:val="24"/>
        </w:rPr>
        <w:t xml:space="preserve"> Plateau, North West Shelf, Australia. </w:t>
      </w:r>
      <w:r w:rsidRPr="00F064CA">
        <w:rPr>
          <w:rFonts w:eastAsia="Times New Roman"/>
          <w:i/>
          <w:iCs/>
          <w:sz w:val="24"/>
          <w:szCs w:val="24"/>
        </w:rPr>
        <w:t>Geological Society, London, Special Publications</w:t>
      </w:r>
      <w:r w:rsidRPr="00F064CA">
        <w:rPr>
          <w:rFonts w:eastAsia="Times New Roman"/>
          <w:sz w:val="24"/>
          <w:szCs w:val="24"/>
        </w:rPr>
        <w:t xml:space="preserve">, </w:t>
      </w:r>
      <w:r w:rsidRPr="00F064CA">
        <w:rPr>
          <w:rFonts w:eastAsia="Times New Roman"/>
          <w:i/>
          <w:iCs/>
          <w:sz w:val="24"/>
          <w:szCs w:val="24"/>
        </w:rPr>
        <w:t>476</w:t>
      </w:r>
      <w:r w:rsidRPr="00F064CA">
        <w:rPr>
          <w:rFonts w:eastAsia="Times New Roman"/>
          <w:sz w:val="24"/>
          <w:szCs w:val="24"/>
        </w:rPr>
        <w:t>(1), 231–257.</w:t>
      </w:r>
    </w:p>
    <w:p w14:paraId="2E0F1E7E"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proofErr w:type="spellStart"/>
      <w:r w:rsidRPr="00F064CA">
        <w:rPr>
          <w:rFonts w:eastAsia="Times New Roman"/>
          <w:sz w:val="24"/>
          <w:szCs w:val="24"/>
        </w:rPr>
        <w:t>Bouroullec</w:t>
      </w:r>
      <w:proofErr w:type="spellEnd"/>
      <w:r w:rsidRPr="00F064CA">
        <w:rPr>
          <w:rFonts w:eastAsia="Times New Roman"/>
          <w:sz w:val="24"/>
          <w:szCs w:val="24"/>
        </w:rPr>
        <w:t xml:space="preserve">, R., Cartwright, J. A., Johnson, H. D., </w:t>
      </w:r>
      <w:proofErr w:type="spellStart"/>
      <w:r w:rsidRPr="00F064CA">
        <w:rPr>
          <w:rFonts w:eastAsia="Times New Roman"/>
          <w:sz w:val="24"/>
          <w:szCs w:val="24"/>
        </w:rPr>
        <w:t>Lansigu</w:t>
      </w:r>
      <w:proofErr w:type="spellEnd"/>
      <w:r w:rsidRPr="00F064CA">
        <w:rPr>
          <w:rFonts w:eastAsia="Times New Roman"/>
          <w:sz w:val="24"/>
          <w:szCs w:val="24"/>
        </w:rPr>
        <w:t xml:space="preserve">, C., </w:t>
      </w:r>
      <w:proofErr w:type="spellStart"/>
      <w:r w:rsidRPr="00F064CA">
        <w:rPr>
          <w:rFonts w:eastAsia="Times New Roman"/>
          <w:sz w:val="24"/>
          <w:szCs w:val="24"/>
        </w:rPr>
        <w:t>Quemener</w:t>
      </w:r>
      <w:proofErr w:type="spellEnd"/>
      <w:r w:rsidRPr="00F064CA">
        <w:rPr>
          <w:rFonts w:eastAsia="Times New Roman"/>
          <w:sz w:val="24"/>
          <w:szCs w:val="24"/>
        </w:rPr>
        <w:t xml:space="preserve">, J., &amp; </w:t>
      </w:r>
      <w:proofErr w:type="spellStart"/>
      <w:r w:rsidRPr="00F064CA">
        <w:rPr>
          <w:rFonts w:eastAsia="Times New Roman"/>
          <w:sz w:val="24"/>
          <w:szCs w:val="24"/>
        </w:rPr>
        <w:t>Savanier</w:t>
      </w:r>
      <w:proofErr w:type="spellEnd"/>
      <w:r w:rsidRPr="00F064CA">
        <w:rPr>
          <w:rFonts w:eastAsia="Times New Roman"/>
          <w:sz w:val="24"/>
          <w:szCs w:val="24"/>
        </w:rPr>
        <w:t xml:space="preserve">, D. (2004). </w:t>
      </w:r>
      <w:proofErr w:type="spellStart"/>
      <w:r w:rsidRPr="00F064CA">
        <w:rPr>
          <w:rFonts w:eastAsia="Times New Roman"/>
          <w:sz w:val="24"/>
          <w:szCs w:val="24"/>
        </w:rPr>
        <w:t>Syndepositional</w:t>
      </w:r>
      <w:proofErr w:type="spellEnd"/>
      <w:r w:rsidRPr="00F064CA">
        <w:rPr>
          <w:rFonts w:eastAsia="Times New Roman"/>
          <w:sz w:val="24"/>
          <w:szCs w:val="24"/>
        </w:rPr>
        <w:t xml:space="preserve"> faulting in the </w:t>
      </w:r>
      <w:proofErr w:type="spellStart"/>
      <w:r w:rsidRPr="00F064CA">
        <w:rPr>
          <w:rFonts w:eastAsia="Times New Roman"/>
          <w:sz w:val="24"/>
          <w:szCs w:val="24"/>
        </w:rPr>
        <w:t>Gres</w:t>
      </w:r>
      <w:proofErr w:type="spellEnd"/>
      <w:r w:rsidRPr="00F064CA">
        <w:rPr>
          <w:rFonts w:eastAsia="Times New Roman"/>
          <w:sz w:val="24"/>
          <w:szCs w:val="24"/>
        </w:rPr>
        <w:t xml:space="preserve"> </w:t>
      </w:r>
      <w:proofErr w:type="gramStart"/>
      <w:r w:rsidRPr="00F064CA">
        <w:rPr>
          <w:rFonts w:eastAsia="Times New Roman"/>
          <w:sz w:val="24"/>
          <w:szCs w:val="24"/>
        </w:rPr>
        <w:t>d ’</w:t>
      </w:r>
      <w:proofErr w:type="gramEnd"/>
      <w:r w:rsidRPr="00F064CA">
        <w:rPr>
          <w:rFonts w:eastAsia="Times New Roman"/>
          <w:sz w:val="24"/>
          <w:szCs w:val="24"/>
        </w:rPr>
        <w:t xml:space="preserve"> </w:t>
      </w:r>
      <w:proofErr w:type="spellStart"/>
      <w:r w:rsidRPr="00F064CA">
        <w:rPr>
          <w:rFonts w:eastAsia="Times New Roman"/>
          <w:sz w:val="24"/>
          <w:szCs w:val="24"/>
        </w:rPr>
        <w:t>Annot</w:t>
      </w:r>
      <w:proofErr w:type="spellEnd"/>
      <w:r w:rsidRPr="00F064CA">
        <w:rPr>
          <w:rFonts w:eastAsia="Times New Roman"/>
          <w:sz w:val="24"/>
          <w:szCs w:val="24"/>
        </w:rPr>
        <w:t xml:space="preserve"> Formation, SE France : high-</w:t>
      </w:r>
      <w:r w:rsidRPr="00F064CA">
        <w:rPr>
          <w:rFonts w:eastAsia="Times New Roman"/>
          <w:sz w:val="24"/>
          <w:szCs w:val="24"/>
        </w:rPr>
        <w:lastRenderedPageBreak/>
        <w:t xml:space="preserve">resolution kinematic analysis and stratigraphic response to growth faulting. </w:t>
      </w:r>
      <w:r w:rsidRPr="00F064CA">
        <w:rPr>
          <w:rFonts w:eastAsia="Times New Roman"/>
          <w:i/>
          <w:iCs/>
          <w:sz w:val="24"/>
          <w:szCs w:val="24"/>
        </w:rPr>
        <w:t>Geological Society Special Publication</w:t>
      </w:r>
      <w:r w:rsidRPr="00F064CA">
        <w:rPr>
          <w:rFonts w:eastAsia="Times New Roman"/>
          <w:sz w:val="24"/>
          <w:szCs w:val="24"/>
        </w:rPr>
        <w:t xml:space="preserve">, </w:t>
      </w:r>
      <w:r w:rsidRPr="00F064CA">
        <w:rPr>
          <w:rFonts w:eastAsia="Times New Roman"/>
          <w:i/>
          <w:iCs/>
          <w:sz w:val="24"/>
          <w:szCs w:val="24"/>
        </w:rPr>
        <w:t>221</w:t>
      </w:r>
      <w:r w:rsidRPr="00F064CA">
        <w:rPr>
          <w:rFonts w:eastAsia="Times New Roman"/>
          <w:sz w:val="24"/>
          <w:szCs w:val="24"/>
        </w:rPr>
        <w:t>, 241–265.</w:t>
      </w:r>
    </w:p>
    <w:p w14:paraId="1511A19E"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Brown, A. R. (2011). Interpretation of Three-Dimensional Seismic Data. </w:t>
      </w:r>
      <w:r w:rsidRPr="00F064CA">
        <w:rPr>
          <w:rFonts w:eastAsia="Times New Roman"/>
          <w:i/>
          <w:iCs/>
          <w:sz w:val="24"/>
          <w:szCs w:val="24"/>
        </w:rPr>
        <w:t>AAPG Memoir 42, /SEG Investigation in Geophysics</w:t>
      </w:r>
      <w:r w:rsidRPr="00F064CA">
        <w:rPr>
          <w:rFonts w:eastAsia="Times New Roman"/>
          <w:sz w:val="24"/>
          <w:szCs w:val="24"/>
        </w:rPr>
        <w:t xml:space="preserve">, </w:t>
      </w:r>
      <w:r w:rsidRPr="00F064CA">
        <w:rPr>
          <w:rFonts w:eastAsia="Times New Roman"/>
          <w:i/>
          <w:iCs/>
          <w:sz w:val="24"/>
          <w:szCs w:val="24"/>
        </w:rPr>
        <w:t>9</w:t>
      </w:r>
      <w:r w:rsidRPr="00F064CA">
        <w:rPr>
          <w:rFonts w:eastAsia="Times New Roman"/>
          <w:sz w:val="24"/>
          <w:szCs w:val="24"/>
        </w:rPr>
        <w:t>(42).</w:t>
      </w:r>
    </w:p>
    <w:p w14:paraId="6071D5B5"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Cartwright, J. A., &amp; Dewhurst, D. N. (1998). Layer-bound compaction faults in fine-grained sediments. </w:t>
      </w:r>
      <w:r w:rsidRPr="00F064CA">
        <w:rPr>
          <w:rFonts w:eastAsia="Times New Roman"/>
          <w:i/>
          <w:iCs/>
          <w:sz w:val="24"/>
          <w:szCs w:val="24"/>
        </w:rPr>
        <w:t>GSA Bulletin</w:t>
      </w:r>
      <w:r w:rsidRPr="00F064CA">
        <w:rPr>
          <w:rFonts w:eastAsia="Times New Roman"/>
          <w:sz w:val="24"/>
          <w:szCs w:val="24"/>
        </w:rPr>
        <w:t xml:space="preserve">, </w:t>
      </w:r>
      <w:r w:rsidRPr="00F064CA">
        <w:rPr>
          <w:rFonts w:eastAsia="Times New Roman"/>
          <w:i/>
          <w:iCs/>
          <w:sz w:val="24"/>
          <w:szCs w:val="24"/>
        </w:rPr>
        <w:t>110</w:t>
      </w:r>
      <w:r w:rsidRPr="00F064CA">
        <w:rPr>
          <w:rFonts w:eastAsia="Times New Roman"/>
          <w:sz w:val="24"/>
          <w:szCs w:val="24"/>
        </w:rPr>
        <w:t>(10), 1242–1257.</w:t>
      </w:r>
    </w:p>
    <w:p w14:paraId="0A205A26"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Cartwright, J. A., Trudgill, B. D., &amp; Mansfield, C. S. (1995). Fault growth by segment linkage: an explanation for scatter in maximum displacement and trace length data from the Canyonlands Grabens of SE Utah.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17</w:t>
      </w:r>
      <w:r w:rsidRPr="00F064CA">
        <w:rPr>
          <w:rFonts w:eastAsia="Times New Roman"/>
          <w:sz w:val="24"/>
          <w:szCs w:val="24"/>
        </w:rPr>
        <w:t>(9), 1319–1326. https://doi.org/10.1016/0191-8141(95)00033-A</w:t>
      </w:r>
    </w:p>
    <w:p w14:paraId="162F0BAB"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Chapman, T. J., &amp; </w:t>
      </w:r>
      <w:proofErr w:type="spellStart"/>
      <w:r w:rsidRPr="00F064CA">
        <w:rPr>
          <w:rFonts w:eastAsia="Times New Roman"/>
          <w:sz w:val="24"/>
          <w:szCs w:val="24"/>
        </w:rPr>
        <w:t>Meneilly</w:t>
      </w:r>
      <w:proofErr w:type="spellEnd"/>
      <w:r w:rsidRPr="00F064CA">
        <w:rPr>
          <w:rFonts w:eastAsia="Times New Roman"/>
          <w:sz w:val="24"/>
          <w:szCs w:val="24"/>
        </w:rPr>
        <w:t xml:space="preserve">, A. W. (1991). The displacement patterns associated with a reverse-reactivated, normal growth fault. </w:t>
      </w:r>
      <w:r w:rsidRPr="00F064CA">
        <w:rPr>
          <w:rFonts w:eastAsia="Times New Roman"/>
          <w:i/>
          <w:iCs/>
          <w:sz w:val="24"/>
          <w:szCs w:val="24"/>
        </w:rPr>
        <w:t>Geological Society Special Publication</w:t>
      </w:r>
      <w:r w:rsidRPr="00F064CA">
        <w:rPr>
          <w:rFonts w:eastAsia="Times New Roman"/>
          <w:sz w:val="24"/>
          <w:szCs w:val="24"/>
        </w:rPr>
        <w:t xml:space="preserve">, </w:t>
      </w:r>
      <w:r w:rsidRPr="00F064CA">
        <w:rPr>
          <w:rFonts w:eastAsia="Times New Roman"/>
          <w:i/>
          <w:iCs/>
          <w:sz w:val="24"/>
          <w:szCs w:val="24"/>
        </w:rPr>
        <w:t>56</w:t>
      </w:r>
      <w:r w:rsidRPr="00F064CA">
        <w:rPr>
          <w:rFonts w:eastAsia="Times New Roman"/>
          <w:sz w:val="24"/>
          <w:szCs w:val="24"/>
        </w:rPr>
        <w:t>, 183–191.</w:t>
      </w:r>
    </w:p>
    <w:p w14:paraId="25DF6AE0"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Childs, C., Holdsworth, R. E., Jackson, C. A.-L., </w:t>
      </w:r>
      <w:proofErr w:type="spellStart"/>
      <w:r w:rsidRPr="00F064CA">
        <w:rPr>
          <w:rFonts w:eastAsia="Times New Roman"/>
          <w:sz w:val="24"/>
          <w:szCs w:val="24"/>
        </w:rPr>
        <w:t>Manzocchi</w:t>
      </w:r>
      <w:proofErr w:type="spellEnd"/>
      <w:r w:rsidRPr="00F064CA">
        <w:rPr>
          <w:rFonts w:eastAsia="Times New Roman"/>
          <w:sz w:val="24"/>
          <w:szCs w:val="24"/>
        </w:rPr>
        <w:t xml:space="preserve">, T., Walsh, J. J., &amp; Yielding, G. (2017). Introduction to the geometry and growth of normal faults. </w:t>
      </w:r>
      <w:r w:rsidRPr="00F064CA">
        <w:rPr>
          <w:rFonts w:eastAsia="Times New Roman"/>
          <w:i/>
          <w:iCs/>
          <w:sz w:val="24"/>
          <w:szCs w:val="24"/>
        </w:rPr>
        <w:t>Geological Society, London, Special Publications</w:t>
      </w:r>
      <w:r w:rsidRPr="00F064CA">
        <w:rPr>
          <w:rFonts w:eastAsia="Times New Roman"/>
          <w:sz w:val="24"/>
          <w:szCs w:val="24"/>
        </w:rPr>
        <w:t>, SP439.23. https://doi.org/10.1144/SP439.24</w:t>
      </w:r>
    </w:p>
    <w:p w14:paraId="0713DF5B"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Childs, C., Nicol, A., Walsh, J. J., &amp; Watterson, J. (2003). The growth and propagation of </w:t>
      </w:r>
      <w:proofErr w:type="spellStart"/>
      <w:r w:rsidRPr="00F064CA">
        <w:rPr>
          <w:rFonts w:eastAsia="Times New Roman"/>
          <w:sz w:val="24"/>
          <w:szCs w:val="24"/>
        </w:rPr>
        <w:t>synsedimentary</w:t>
      </w:r>
      <w:proofErr w:type="spellEnd"/>
      <w:r w:rsidRPr="00F064CA">
        <w:rPr>
          <w:rFonts w:eastAsia="Times New Roman"/>
          <w:sz w:val="24"/>
          <w:szCs w:val="24"/>
        </w:rPr>
        <w:t xml:space="preserve"> faults. </w:t>
      </w:r>
      <w:r w:rsidRPr="00F064CA">
        <w:rPr>
          <w:rFonts w:eastAsia="Times New Roman"/>
          <w:i/>
          <w:iCs/>
          <w:sz w:val="24"/>
          <w:szCs w:val="24"/>
        </w:rPr>
        <w:t>File:///C:/Users/Balat/OneDrive - Imperial College London/Papers/Aapg_1987_0071_0008_0925.Pdf</w:t>
      </w:r>
      <w:r w:rsidRPr="00F064CA">
        <w:rPr>
          <w:rFonts w:eastAsia="Times New Roman"/>
          <w:sz w:val="24"/>
          <w:szCs w:val="24"/>
        </w:rPr>
        <w:t xml:space="preserve">, </w:t>
      </w:r>
      <w:r w:rsidRPr="00F064CA">
        <w:rPr>
          <w:rFonts w:eastAsia="Times New Roman"/>
          <w:i/>
          <w:iCs/>
          <w:sz w:val="24"/>
          <w:szCs w:val="24"/>
        </w:rPr>
        <w:t>8141</w:t>
      </w:r>
      <w:r w:rsidRPr="00F064CA">
        <w:rPr>
          <w:rFonts w:eastAsia="Times New Roman"/>
          <w:sz w:val="24"/>
          <w:szCs w:val="24"/>
        </w:rPr>
        <w:t>(May). https://doi.org/10.1016/S0191-8141(02)00054-8</w:t>
      </w:r>
    </w:p>
    <w:p w14:paraId="206C6094"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lastRenderedPageBreak/>
        <w:t xml:space="preserve">Cowie, P. A., &amp; Scholz, C. H. (1992). Displacement-length scaling relationship for faults: data synthesis and discussion.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14</w:t>
      </w:r>
      <w:r w:rsidRPr="00F064CA">
        <w:rPr>
          <w:rFonts w:eastAsia="Times New Roman"/>
          <w:sz w:val="24"/>
          <w:szCs w:val="24"/>
        </w:rPr>
        <w:t>(10), 1149–1156. https://doi.org/10.1016/0191-8141(92)90066-6</w:t>
      </w:r>
    </w:p>
    <w:p w14:paraId="78C1E248"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proofErr w:type="spellStart"/>
      <w:r w:rsidRPr="00F064CA">
        <w:rPr>
          <w:rFonts w:eastAsia="Times New Roman"/>
          <w:sz w:val="24"/>
          <w:szCs w:val="24"/>
        </w:rPr>
        <w:t>Dawers</w:t>
      </w:r>
      <w:proofErr w:type="spellEnd"/>
      <w:r w:rsidRPr="00F064CA">
        <w:rPr>
          <w:rFonts w:eastAsia="Times New Roman"/>
          <w:sz w:val="24"/>
          <w:szCs w:val="24"/>
        </w:rPr>
        <w:t xml:space="preserve">, N. H., Anders, M. H., &amp; Scholz, C. H. (1993). Growth of normal faults: displacement-length scaling. </w:t>
      </w:r>
      <w:r w:rsidRPr="00F064CA">
        <w:rPr>
          <w:rFonts w:eastAsia="Times New Roman"/>
          <w:i/>
          <w:iCs/>
          <w:sz w:val="24"/>
          <w:szCs w:val="24"/>
        </w:rPr>
        <w:t>Geology</w:t>
      </w:r>
      <w:r w:rsidRPr="00F064CA">
        <w:rPr>
          <w:rFonts w:eastAsia="Times New Roman"/>
          <w:sz w:val="24"/>
          <w:szCs w:val="24"/>
        </w:rPr>
        <w:t>. https://doi.org/10.1130/0091-7613(1993)021&lt;</w:t>
      </w:r>
      <w:proofErr w:type="gramStart"/>
      <w:r w:rsidRPr="00F064CA">
        <w:rPr>
          <w:rFonts w:eastAsia="Times New Roman"/>
          <w:sz w:val="24"/>
          <w:szCs w:val="24"/>
        </w:rPr>
        <w:t>1107:GONFDL</w:t>
      </w:r>
      <w:proofErr w:type="gramEnd"/>
      <w:r w:rsidRPr="00F064CA">
        <w:rPr>
          <w:rFonts w:eastAsia="Times New Roman"/>
          <w:sz w:val="24"/>
          <w:szCs w:val="24"/>
        </w:rPr>
        <w:t>&gt;2.3.CO;2</w:t>
      </w:r>
    </w:p>
    <w:p w14:paraId="4112E02A"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Ford, M., </w:t>
      </w:r>
      <w:proofErr w:type="spellStart"/>
      <w:r w:rsidRPr="00F064CA">
        <w:rPr>
          <w:rFonts w:eastAsia="Times New Roman"/>
          <w:sz w:val="24"/>
          <w:szCs w:val="24"/>
        </w:rPr>
        <w:t>Hemelsdaël</w:t>
      </w:r>
      <w:proofErr w:type="spellEnd"/>
      <w:r w:rsidRPr="00F064CA">
        <w:rPr>
          <w:rFonts w:eastAsia="Times New Roman"/>
          <w:sz w:val="24"/>
          <w:szCs w:val="24"/>
        </w:rPr>
        <w:t xml:space="preserve">, R., Mancini, M., &amp; </w:t>
      </w:r>
      <w:proofErr w:type="spellStart"/>
      <w:r w:rsidRPr="00F064CA">
        <w:rPr>
          <w:rFonts w:eastAsia="Times New Roman"/>
          <w:sz w:val="24"/>
          <w:szCs w:val="24"/>
        </w:rPr>
        <w:t>Palyvos</w:t>
      </w:r>
      <w:proofErr w:type="spellEnd"/>
      <w:r w:rsidRPr="00F064CA">
        <w:rPr>
          <w:rFonts w:eastAsia="Times New Roman"/>
          <w:sz w:val="24"/>
          <w:szCs w:val="24"/>
        </w:rPr>
        <w:t xml:space="preserve">, N. (2016). Rift migration and lateral propagation: evolution of normal faults and sediment-routing systems of the western Corinth rift (Greece). </w:t>
      </w:r>
      <w:r w:rsidRPr="00F064CA">
        <w:rPr>
          <w:rFonts w:eastAsia="Times New Roman"/>
          <w:i/>
          <w:iCs/>
          <w:sz w:val="24"/>
          <w:szCs w:val="24"/>
        </w:rPr>
        <w:t>Geological Society, London, Special Publications 439</w:t>
      </w:r>
      <w:r w:rsidRPr="00F064CA">
        <w:rPr>
          <w:rFonts w:eastAsia="Times New Roman"/>
          <w:sz w:val="24"/>
          <w:szCs w:val="24"/>
        </w:rPr>
        <w:t>, (April 2012), SP439.15. https://doi.org/10.1144/SP439.15</w:t>
      </w:r>
    </w:p>
    <w:p w14:paraId="0C2E766A"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Fossen, H., &amp; Rotevatn, A. (2016). Fault linkage and relay structures in extensional settings-A review. </w:t>
      </w:r>
      <w:r w:rsidRPr="00F064CA">
        <w:rPr>
          <w:rFonts w:eastAsia="Times New Roman"/>
          <w:i/>
          <w:iCs/>
          <w:sz w:val="24"/>
          <w:szCs w:val="24"/>
        </w:rPr>
        <w:t>Earth-Science Reviews</w:t>
      </w:r>
      <w:r w:rsidRPr="00F064CA">
        <w:rPr>
          <w:rFonts w:eastAsia="Times New Roman"/>
          <w:sz w:val="24"/>
          <w:szCs w:val="24"/>
        </w:rPr>
        <w:t xml:space="preserve">, </w:t>
      </w:r>
      <w:r w:rsidRPr="00F064CA">
        <w:rPr>
          <w:rFonts w:eastAsia="Times New Roman"/>
          <w:i/>
          <w:iCs/>
          <w:sz w:val="24"/>
          <w:szCs w:val="24"/>
        </w:rPr>
        <w:t>154</w:t>
      </w:r>
      <w:r w:rsidRPr="00F064CA">
        <w:rPr>
          <w:rFonts w:eastAsia="Times New Roman"/>
          <w:sz w:val="24"/>
          <w:szCs w:val="24"/>
        </w:rPr>
        <w:t>, 14–28. https://doi.org/10.1016/j.earscirev.2015.11.014</w:t>
      </w:r>
    </w:p>
    <w:p w14:paraId="6D817B19"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Freitag, U. A., Sanderson, D. J., Lonergan, L., &amp; Bevan, T. G. (2017). Comparison of upwards splaying and upwards merging segmented normal faults.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Volume 100</w:t>
      </w:r>
      <w:r w:rsidRPr="00F064CA">
        <w:rPr>
          <w:rFonts w:eastAsia="Times New Roman"/>
          <w:sz w:val="24"/>
          <w:szCs w:val="24"/>
        </w:rPr>
        <w:t>(2017), 1–11. https://doi.org/10.1016/j.jsg.2017.05.005</w:t>
      </w:r>
    </w:p>
    <w:p w14:paraId="1B5C6FEF"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Gupta, A., &amp; Scholz, C. H. (1998). Utility of elastic models in predicting fault displacement fields. </w:t>
      </w:r>
      <w:r w:rsidRPr="00F064CA">
        <w:rPr>
          <w:rFonts w:eastAsia="Times New Roman"/>
          <w:i/>
          <w:iCs/>
          <w:sz w:val="24"/>
          <w:szCs w:val="24"/>
        </w:rPr>
        <w:t>Journal of Geophysical Research</w:t>
      </w:r>
      <w:r w:rsidRPr="00F064CA">
        <w:rPr>
          <w:rFonts w:eastAsia="Times New Roman"/>
          <w:sz w:val="24"/>
          <w:szCs w:val="24"/>
        </w:rPr>
        <w:t xml:space="preserve">, </w:t>
      </w:r>
      <w:r w:rsidRPr="00F064CA">
        <w:rPr>
          <w:rFonts w:eastAsia="Times New Roman"/>
          <w:i/>
          <w:iCs/>
          <w:sz w:val="24"/>
          <w:szCs w:val="24"/>
        </w:rPr>
        <w:t>103</w:t>
      </w:r>
      <w:r w:rsidRPr="00F064CA">
        <w:rPr>
          <w:rFonts w:eastAsia="Times New Roman"/>
          <w:sz w:val="24"/>
          <w:szCs w:val="24"/>
        </w:rPr>
        <w:t>, 823–834.</w:t>
      </w:r>
    </w:p>
    <w:p w14:paraId="443EF56C"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proofErr w:type="spellStart"/>
      <w:r w:rsidRPr="00F064CA">
        <w:rPr>
          <w:rFonts w:eastAsia="Times New Roman"/>
          <w:sz w:val="24"/>
          <w:szCs w:val="24"/>
        </w:rPr>
        <w:t>Henstra</w:t>
      </w:r>
      <w:proofErr w:type="spellEnd"/>
      <w:r w:rsidRPr="00F064CA">
        <w:rPr>
          <w:rFonts w:eastAsia="Times New Roman"/>
          <w:sz w:val="24"/>
          <w:szCs w:val="24"/>
        </w:rPr>
        <w:t xml:space="preserve">, G. A., Rotevatn, A., &amp; </w:t>
      </w:r>
      <w:proofErr w:type="spellStart"/>
      <w:r w:rsidRPr="00F064CA">
        <w:rPr>
          <w:rFonts w:eastAsia="Times New Roman"/>
          <w:sz w:val="24"/>
          <w:szCs w:val="24"/>
        </w:rPr>
        <w:t>Gawthorpe</w:t>
      </w:r>
      <w:proofErr w:type="spellEnd"/>
      <w:r w:rsidRPr="00F064CA">
        <w:rPr>
          <w:rFonts w:eastAsia="Times New Roman"/>
          <w:sz w:val="24"/>
          <w:szCs w:val="24"/>
        </w:rPr>
        <w:t xml:space="preserve">, R. L. (2015). Evolution of a major segmented normal fault during multiphase </w:t>
      </w:r>
      <w:proofErr w:type="gramStart"/>
      <w:r w:rsidRPr="00F064CA">
        <w:rPr>
          <w:rFonts w:eastAsia="Times New Roman"/>
          <w:sz w:val="24"/>
          <w:szCs w:val="24"/>
        </w:rPr>
        <w:t>rifting :</w:t>
      </w:r>
      <w:proofErr w:type="gramEnd"/>
      <w:r w:rsidRPr="00F064CA">
        <w:rPr>
          <w:rFonts w:eastAsia="Times New Roman"/>
          <w:sz w:val="24"/>
          <w:szCs w:val="24"/>
        </w:rPr>
        <w:t xml:space="preserve"> The origin of plan-view zigzag geometry.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74</w:t>
      </w:r>
      <w:r w:rsidRPr="00F064CA">
        <w:rPr>
          <w:rFonts w:eastAsia="Times New Roman"/>
          <w:sz w:val="24"/>
          <w:szCs w:val="24"/>
        </w:rPr>
        <w:t>, 45–63.</w:t>
      </w:r>
    </w:p>
    <w:p w14:paraId="3E5A02A8"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lastRenderedPageBreak/>
        <w:t xml:space="preserve">Jackson, C. A.-L., Bell, R. E., Rotevatn, A., &amp; Tvedt, A. B. M. (2017). Techniques to determine the kinematics of </w:t>
      </w:r>
      <w:proofErr w:type="spellStart"/>
      <w:r w:rsidRPr="00F064CA">
        <w:rPr>
          <w:rFonts w:eastAsia="Times New Roman"/>
          <w:sz w:val="24"/>
          <w:szCs w:val="24"/>
        </w:rPr>
        <w:t>synsedimentary</w:t>
      </w:r>
      <w:proofErr w:type="spellEnd"/>
      <w:r w:rsidRPr="00F064CA">
        <w:rPr>
          <w:rFonts w:eastAsia="Times New Roman"/>
          <w:sz w:val="24"/>
          <w:szCs w:val="24"/>
        </w:rPr>
        <w:t xml:space="preserve"> normal faults and implications for fault growth models. </w:t>
      </w:r>
      <w:r w:rsidRPr="00F064CA">
        <w:rPr>
          <w:rFonts w:eastAsia="Times New Roman"/>
          <w:i/>
          <w:iCs/>
          <w:sz w:val="24"/>
          <w:szCs w:val="24"/>
        </w:rPr>
        <w:t>Geological Society, London, Special Publications</w:t>
      </w:r>
      <w:r w:rsidRPr="00F064CA">
        <w:rPr>
          <w:rFonts w:eastAsia="Times New Roman"/>
          <w:sz w:val="24"/>
          <w:szCs w:val="24"/>
        </w:rPr>
        <w:t>, SP439.22. https://doi.org/10.1144/SP439.22</w:t>
      </w:r>
    </w:p>
    <w:p w14:paraId="1E24B961"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Jackson, C. A. L., &amp; Rotevatn, A. (2013). 3D seismic analysis of the structure and evolution of a salt-influenced normal fault zone: A test of competing fault growth models.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54</w:t>
      </w:r>
      <w:r w:rsidRPr="00F064CA">
        <w:rPr>
          <w:rFonts w:eastAsia="Times New Roman"/>
          <w:sz w:val="24"/>
          <w:szCs w:val="24"/>
        </w:rPr>
        <w:t>, 215–234. https://doi.org/10.1016/j.jsg.2013.06.012</w:t>
      </w:r>
    </w:p>
    <w:p w14:paraId="01E8899F"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Kim, Y. S., &amp; Sanderson, D. J. (2005). The relationship between displacement and length of faults: A review. </w:t>
      </w:r>
      <w:r w:rsidRPr="00F064CA">
        <w:rPr>
          <w:rFonts w:eastAsia="Times New Roman"/>
          <w:i/>
          <w:iCs/>
          <w:sz w:val="24"/>
          <w:szCs w:val="24"/>
        </w:rPr>
        <w:t>Earth-Science Reviews</w:t>
      </w:r>
      <w:r w:rsidRPr="00F064CA">
        <w:rPr>
          <w:rFonts w:eastAsia="Times New Roman"/>
          <w:sz w:val="24"/>
          <w:szCs w:val="24"/>
        </w:rPr>
        <w:t xml:space="preserve">, </w:t>
      </w:r>
      <w:r w:rsidRPr="00F064CA">
        <w:rPr>
          <w:rFonts w:eastAsia="Times New Roman"/>
          <w:i/>
          <w:iCs/>
          <w:sz w:val="24"/>
          <w:szCs w:val="24"/>
        </w:rPr>
        <w:t>68</w:t>
      </w:r>
      <w:r w:rsidRPr="00F064CA">
        <w:rPr>
          <w:rFonts w:eastAsia="Times New Roman"/>
          <w:sz w:val="24"/>
          <w:szCs w:val="24"/>
        </w:rPr>
        <w:t>(3–4), 317–334. https://doi.org/10.1016/j.earscirev.2004.06.003</w:t>
      </w:r>
    </w:p>
    <w:p w14:paraId="50F441E6"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Longley, I. M., </w:t>
      </w:r>
      <w:proofErr w:type="spellStart"/>
      <w:r w:rsidRPr="00F064CA">
        <w:rPr>
          <w:rFonts w:eastAsia="Times New Roman"/>
          <w:sz w:val="24"/>
          <w:szCs w:val="24"/>
        </w:rPr>
        <w:t>Buessenschuett</w:t>
      </w:r>
      <w:proofErr w:type="spellEnd"/>
      <w:r w:rsidRPr="00F064CA">
        <w:rPr>
          <w:rFonts w:eastAsia="Times New Roman"/>
          <w:sz w:val="24"/>
          <w:szCs w:val="24"/>
        </w:rPr>
        <w:t xml:space="preserve">, C., </w:t>
      </w:r>
      <w:proofErr w:type="spellStart"/>
      <w:r w:rsidRPr="00F064CA">
        <w:rPr>
          <w:rFonts w:eastAsia="Times New Roman"/>
          <w:sz w:val="24"/>
          <w:szCs w:val="24"/>
        </w:rPr>
        <w:t>Clydsdale</w:t>
      </w:r>
      <w:proofErr w:type="spellEnd"/>
      <w:r w:rsidRPr="00F064CA">
        <w:rPr>
          <w:rFonts w:eastAsia="Times New Roman"/>
          <w:sz w:val="24"/>
          <w:szCs w:val="24"/>
        </w:rPr>
        <w:t xml:space="preserve">, L., Cubitt, C. J., Davis, C. J., Johnson, R. C., … Thompson, N. B. (2002). The North West Shelf of Australia - A Woodside Perspective. </w:t>
      </w:r>
      <w:r w:rsidRPr="00F064CA">
        <w:rPr>
          <w:rFonts w:eastAsia="Times New Roman"/>
          <w:i/>
          <w:iCs/>
          <w:sz w:val="24"/>
          <w:szCs w:val="24"/>
        </w:rPr>
        <w:t>Proceedings of the Petroleum Exploration Society of Australia Symposium</w:t>
      </w:r>
      <w:r w:rsidRPr="00F064CA">
        <w:rPr>
          <w:rFonts w:eastAsia="Times New Roman"/>
          <w:sz w:val="24"/>
          <w:szCs w:val="24"/>
        </w:rPr>
        <w:t>, 27–88.</w:t>
      </w:r>
    </w:p>
    <w:p w14:paraId="4590E3AE"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proofErr w:type="spellStart"/>
      <w:r w:rsidRPr="00F064CA">
        <w:rPr>
          <w:rFonts w:eastAsia="Times New Roman"/>
          <w:sz w:val="24"/>
          <w:szCs w:val="24"/>
        </w:rPr>
        <w:t>Manighetti</w:t>
      </w:r>
      <w:proofErr w:type="spellEnd"/>
      <w:r w:rsidRPr="00F064CA">
        <w:rPr>
          <w:rFonts w:eastAsia="Times New Roman"/>
          <w:sz w:val="24"/>
          <w:szCs w:val="24"/>
        </w:rPr>
        <w:t xml:space="preserve">, I., </w:t>
      </w:r>
      <w:proofErr w:type="spellStart"/>
      <w:r w:rsidRPr="00F064CA">
        <w:rPr>
          <w:rFonts w:eastAsia="Times New Roman"/>
          <w:sz w:val="24"/>
          <w:szCs w:val="24"/>
        </w:rPr>
        <w:t>Campillo</w:t>
      </w:r>
      <w:proofErr w:type="spellEnd"/>
      <w:r w:rsidRPr="00F064CA">
        <w:rPr>
          <w:rFonts w:eastAsia="Times New Roman"/>
          <w:sz w:val="24"/>
          <w:szCs w:val="24"/>
        </w:rPr>
        <w:t xml:space="preserve">, M., Bouley, S., &amp; Cotton, F. (2007). Earthquake scaling, fault segmentation, and structural maturity. </w:t>
      </w:r>
      <w:r w:rsidRPr="00F064CA">
        <w:rPr>
          <w:rFonts w:eastAsia="Times New Roman"/>
          <w:i/>
          <w:iCs/>
          <w:sz w:val="24"/>
          <w:szCs w:val="24"/>
        </w:rPr>
        <w:t>Earth and Planetary Science Letters</w:t>
      </w:r>
      <w:r w:rsidRPr="00F064CA">
        <w:rPr>
          <w:rFonts w:eastAsia="Times New Roman"/>
          <w:sz w:val="24"/>
          <w:szCs w:val="24"/>
        </w:rPr>
        <w:t xml:space="preserve">, </w:t>
      </w:r>
      <w:r w:rsidRPr="00F064CA">
        <w:rPr>
          <w:rFonts w:eastAsia="Times New Roman"/>
          <w:i/>
          <w:iCs/>
          <w:sz w:val="24"/>
          <w:szCs w:val="24"/>
        </w:rPr>
        <w:t>253</w:t>
      </w:r>
      <w:r w:rsidRPr="00F064CA">
        <w:rPr>
          <w:rFonts w:eastAsia="Times New Roman"/>
          <w:sz w:val="24"/>
          <w:szCs w:val="24"/>
        </w:rPr>
        <w:t>, 429–438. https://doi.org/10.1016/j.epsl.2006.11.004</w:t>
      </w:r>
    </w:p>
    <w:p w14:paraId="627B73DC"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Marshall, N. G., &amp; Lang, S. C. (2013). A New Sequence Stratigraphic Framework for the North West </w:t>
      </w:r>
      <w:proofErr w:type="gramStart"/>
      <w:r w:rsidRPr="00F064CA">
        <w:rPr>
          <w:rFonts w:eastAsia="Times New Roman"/>
          <w:sz w:val="24"/>
          <w:szCs w:val="24"/>
        </w:rPr>
        <w:t>Shelf ,</w:t>
      </w:r>
      <w:proofErr w:type="gramEnd"/>
      <w:r w:rsidRPr="00F064CA">
        <w:rPr>
          <w:rFonts w:eastAsia="Times New Roman"/>
          <w:sz w:val="24"/>
          <w:szCs w:val="24"/>
        </w:rPr>
        <w:t xml:space="preserve"> Australia. </w:t>
      </w:r>
      <w:r w:rsidRPr="00F064CA">
        <w:rPr>
          <w:rFonts w:eastAsia="Times New Roman"/>
          <w:i/>
          <w:iCs/>
          <w:sz w:val="24"/>
          <w:szCs w:val="24"/>
        </w:rPr>
        <w:t>The Sedimentary Basins of Western Australia 4: Proceedings PESA Symposium</w:t>
      </w:r>
      <w:r w:rsidRPr="00F064CA">
        <w:rPr>
          <w:rFonts w:eastAsia="Times New Roman"/>
          <w:sz w:val="24"/>
          <w:szCs w:val="24"/>
        </w:rPr>
        <w:t>, 1–32.</w:t>
      </w:r>
    </w:p>
    <w:p w14:paraId="35189D1C"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lastRenderedPageBreak/>
        <w:t xml:space="preserve">Meyer, V., Nicol, A., Childs, C., Walsh, J. J., &amp; Watterson, J. (2002). Progressive </w:t>
      </w:r>
      <w:proofErr w:type="spellStart"/>
      <w:r w:rsidRPr="00F064CA">
        <w:rPr>
          <w:rFonts w:eastAsia="Times New Roman"/>
          <w:sz w:val="24"/>
          <w:szCs w:val="24"/>
        </w:rPr>
        <w:t>localisation</w:t>
      </w:r>
      <w:proofErr w:type="spellEnd"/>
      <w:r w:rsidRPr="00F064CA">
        <w:rPr>
          <w:rFonts w:eastAsia="Times New Roman"/>
          <w:sz w:val="24"/>
          <w:szCs w:val="24"/>
        </w:rPr>
        <w:t xml:space="preserve"> of strain during the evolution of a normal fault population.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24</w:t>
      </w:r>
      <w:r w:rsidRPr="00F064CA">
        <w:rPr>
          <w:rFonts w:eastAsia="Times New Roman"/>
          <w:sz w:val="24"/>
          <w:szCs w:val="24"/>
        </w:rPr>
        <w:t>(8), 1215–1231. https://doi.org/10.1016/S0191-8141(01)00104-3</w:t>
      </w:r>
    </w:p>
    <w:p w14:paraId="0C4FFB04"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Morley, C. K. (2002). Evolution of large normal faults: Evidence from seismic reflection data. </w:t>
      </w:r>
      <w:r w:rsidRPr="00F064CA">
        <w:rPr>
          <w:rFonts w:eastAsia="Times New Roman"/>
          <w:i/>
          <w:iCs/>
          <w:sz w:val="24"/>
          <w:szCs w:val="24"/>
        </w:rPr>
        <w:t>AAPG Bulletin</w:t>
      </w:r>
      <w:r w:rsidRPr="00F064CA">
        <w:rPr>
          <w:rFonts w:eastAsia="Times New Roman"/>
          <w:sz w:val="24"/>
          <w:szCs w:val="24"/>
        </w:rPr>
        <w:t xml:space="preserve">, </w:t>
      </w:r>
      <w:r w:rsidRPr="00F064CA">
        <w:rPr>
          <w:rFonts w:eastAsia="Times New Roman"/>
          <w:i/>
          <w:iCs/>
          <w:sz w:val="24"/>
          <w:szCs w:val="24"/>
        </w:rPr>
        <w:t>86</w:t>
      </w:r>
      <w:r w:rsidRPr="00F064CA">
        <w:rPr>
          <w:rFonts w:eastAsia="Times New Roman"/>
          <w:sz w:val="24"/>
          <w:szCs w:val="24"/>
        </w:rPr>
        <w:t>(6), 961–978. https://doi.org/10.1306/61EEDBFC-173E-11D7-8645000102C1865D</w:t>
      </w:r>
    </w:p>
    <w:p w14:paraId="735D72A3"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proofErr w:type="spellStart"/>
      <w:r w:rsidRPr="00F064CA">
        <w:rPr>
          <w:rFonts w:eastAsia="Times New Roman"/>
          <w:sz w:val="24"/>
          <w:szCs w:val="24"/>
        </w:rPr>
        <w:t>Mouslopoulou</w:t>
      </w:r>
      <w:proofErr w:type="spellEnd"/>
      <w:r w:rsidRPr="00F064CA">
        <w:rPr>
          <w:rFonts w:eastAsia="Times New Roman"/>
          <w:sz w:val="24"/>
          <w:szCs w:val="24"/>
        </w:rPr>
        <w:t xml:space="preserve">, V., Walsh, J. J., &amp; Nicol, A. (2009). Fault displacement rates on a range of timescales. </w:t>
      </w:r>
      <w:r w:rsidRPr="00F064CA">
        <w:rPr>
          <w:rFonts w:eastAsia="Times New Roman"/>
          <w:i/>
          <w:iCs/>
          <w:sz w:val="24"/>
          <w:szCs w:val="24"/>
        </w:rPr>
        <w:t>Earth and Planetary Science Letters</w:t>
      </w:r>
      <w:r w:rsidRPr="00F064CA">
        <w:rPr>
          <w:rFonts w:eastAsia="Times New Roman"/>
          <w:sz w:val="24"/>
          <w:szCs w:val="24"/>
        </w:rPr>
        <w:t xml:space="preserve">, </w:t>
      </w:r>
      <w:r w:rsidRPr="00F064CA">
        <w:rPr>
          <w:rFonts w:eastAsia="Times New Roman"/>
          <w:i/>
          <w:iCs/>
          <w:sz w:val="24"/>
          <w:szCs w:val="24"/>
        </w:rPr>
        <w:t>278</w:t>
      </w:r>
      <w:r w:rsidRPr="00F064CA">
        <w:rPr>
          <w:rFonts w:eastAsia="Times New Roman"/>
          <w:sz w:val="24"/>
          <w:szCs w:val="24"/>
        </w:rPr>
        <w:t>(3–4), 186–197. https://doi.org/10.1016/j.epsl.2008.11.031</w:t>
      </w:r>
    </w:p>
    <w:p w14:paraId="6303BB2B"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Nicol, A., Childs, C., Walsh, J. J., </w:t>
      </w:r>
      <w:proofErr w:type="spellStart"/>
      <w:r w:rsidRPr="00F064CA">
        <w:rPr>
          <w:rFonts w:eastAsia="Times New Roman"/>
          <w:sz w:val="24"/>
          <w:szCs w:val="24"/>
        </w:rPr>
        <w:t>Manzocchi</w:t>
      </w:r>
      <w:proofErr w:type="spellEnd"/>
      <w:r w:rsidRPr="00F064CA">
        <w:rPr>
          <w:rFonts w:eastAsia="Times New Roman"/>
          <w:sz w:val="24"/>
          <w:szCs w:val="24"/>
        </w:rPr>
        <w:t xml:space="preserve">, T., </w:t>
      </w:r>
      <w:proofErr w:type="spellStart"/>
      <w:r w:rsidRPr="00F064CA">
        <w:rPr>
          <w:rFonts w:eastAsia="Times New Roman"/>
          <w:sz w:val="24"/>
          <w:szCs w:val="24"/>
        </w:rPr>
        <w:t>Scho</w:t>
      </w:r>
      <w:proofErr w:type="spellEnd"/>
      <w:r w:rsidRPr="00F064CA">
        <w:rPr>
          <w:rFonts w:eastAsia="Times New Roman"/>
          <w:sz w:val="24"/>
          <w:szCs w:val="24"/>
        </w:rPr>
        <w:t xml:space="preserve">, M. P. J., Hutt, L., … Group, F. A. (2016). Interactions and growth of faults in an outcrop-scale system. </w:t>
      </w:r>
      <w:r w:rsidRPr="00F064CA">
        <w:rPr>
          <w:rFonts w:eastAsia="Times New Roman"/>
          <w:i/>
          <w:iCs/>
          <w:sz w:val="24"/>
          <w:szCs w:val="24"/>
        </w:rPr>
        <w:t>The Geological Society of London Special Publication</w:t>
      </w:r>
      <w:r w:rsidRPr="00F064CA">
        <w:rPr>
          <w:rFonts w:eastAsia="Times New Roman"/>
          <w:sz w:val="24"/>
          <w:szCs w:val="24"/>
        </w:rPr>
        <w:t xml:space="preserve">, </w:t>
      </w:r>
      <w:r w:rsidRPr="00F064CA">
        <w:rPr>
          <w:rFonts w:eastAsia="Times New Roman"/>
          <w:i/>
          <w:iCs/>
          <w:sz w:val="24"/>
          <w:szCs w:val="24"/>
        </w:rPr>
        <w:t>439</w:t>
      </w:r>
      <w:r w:rsidRPr="00F064CA">
        <w:rPr>
          <w:rFonts w:eastAsia="Times New Roman"/>
          <w:sz w:val="24"/>
          <w:szCs w:val="24"/>
        </w:rPr>
        <w:t>, 23–39. https://doi.org/10.1144/SP439.9</w:t>
      </w:r>
    </w:p>
    <w:p w14:paraId="21304673"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Nicol, A., Walsh, J. J., Berryman, K., &amp; Villamor, P. (2006). Interdependence of fault displacement rates and </w:t>
      </w:r>
      <w:proofErr w:type="spellStart"/>
      <w:r w:rsidRPr="00F064CA">
        <w:rPr>
          <w:rFonts w:eastAsia="Times New Roman"/>
          <w:sz w:val="24"/>
          <w:szCs w:val="24"/>
        </w:rPr>
        <w:t>paleoearthquakes</w:t>
      </w:r>
      <w:proofErr w:type="spellEnd"/>
      <w:r w:rsidRPr="00F064CA">
        <w:rPr>
          <w:rFonts w:eastAsia="Times New Roman"/>
          <w:sz w:val="24"/>
          <w:szCs w:val="24"/>
        </w:rPr>
        <w:t xml:space="preserve"> in an active rift. </w:t>
      </w:r>
      <w:r w:rsidRPr="00F064CA">
        <w:rPr>
          <w:rFonts w:eastAsia="Times New Roman"/>
          <w:i/>
          <w:iCs/>
          <w:sz w:val="24"/>
          <w:szCs w:val="24"/>
        </w:rPr>
        <w:t>Geology</w:t>
      </w:r>
      <w:r w:rsidRPr="00F064CA">
        <w:rPr>
          <w:rFonts w:eastAsia="Times New Roman"/>
          <w:sz w:val="24"/>
          <w:szCs w:val="24"/>
        </w:rPr>
        <w:t xml:space="preserve">, </w:t>
      </w:r>
      <w:r w:rsidRPr="00F064CA">
        <w:rPr>
          <w:rFonts w:eastAsia="Times New Roman"/>
          <w:i/>
          <w:iCs/>
          <w:sz w:val="24"/>
          <w:szCs w:val="24"/>
        </w:rPr>
        <w:t>34</w:t>
      </w:r>
      <w:r w:rsidRPr="00F064CA">
        <w:rPr>
          <w:rFonts w:eastAsia="Times New Roman"/>
          <w:sz w:val="24"/>
          <w:szCs w:val="24"/>
        </w:rPr>
        <w:t>(10), 865–868. https://doi.org/10.1130/G22335.1</w:t>
      </w:r>
    </w:p>
    <w:p w14:paraId="39B49F4D" w14:textId="496836C5" w:rsidR="0083293B"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Nugraha, H. D., Hodgson, D. M., Reeve, M. T., Jackson, C. A. L., &amp; Johnson, H. D. (2019). Tectonic and oceanographic process interactions archived in Late Cretaceous to Present deep ‐ marine stratigraphy on the </w:t>
      </w:r>
      <w:proofErr w:type="spellStart"/>
      <w:r w:rsidRPr="00F064CA">
        <w:rPr>
          <w:rFonts w:eastAsia="Times New Roman"/>
          <w:sz w:val="24"/>
          <w:szCs w:val="24"/>
        </w:rPr>
        <w:t>Exmouth</w:t>
      </w:r>
      <w:proofErr w:type="spellEnd"/>
      <w:r w:rsidRPr="00F064CA">
        <w:rPr>
          <w:rFonts w:eastAsia="Times New Roman"/>
          <w:sz w:val="24"/>
          <w:szCs w:val="24"/>
        </w:rPr>
        <w:t xml:space="preserve"> </w:t>
      </w:r>
      <w:proofErr w:type="gramStart"/>
      <w:r w:rsidRPr="00F064CA">
        <w:rPr>
          <w:rFonts w:eastAsia="Times New Roman"/>
          <w:sz w:val="24"/>
          <w:szCs w:val="24"/>
        </w:rPr>
        <w:t>Plateau ,</w:t>
      </w:r>
      <w:proofErr w:type="gramEnd"/>
      <w:r w:rsidRPr="00F064CA">
        <w:rPr>
          <w:rFonts w:eastAsia="Times New Roman"/>
          <w:sz w:val="24"/>
          <w:szCs w:val="24"/>
        </w:rPr>
        <w:t xml:space="preserve"> offshore NW Australia. </w:t>
      </w:r>
      <w:r w:rsidRPr="00F064CA">
        <w:rPr>
          <w:rFonts w:eastAsia="Times New Roman"/>
          <w:i/>
          <w:iCs/>
          <w:sz w:val="24"/>
          <w:szCs w:val="24"/>
        </w:rPr>
        <w:t>Basin Research</w:t>
      </w:r>
      <w:r w:rsidRPr="00F064CA">
        <w:rPr>
          <w:rFonts w:eastAsia="Times New Roman"/>
          <w:sz w:val="24"/>
          <w:szCs w:val="24"/>
        </w:rPr>
        <w:t xml:space="preserve">, </w:t>
      </w:r>
      <w:r w:rsidRPr="00F064CA">
        <w:rPr>
          <w:rFonts w:eastAsia="Times New Roman"/>
          <w:i/>
          <w:iCs/>
          <w:sz w:val="24"/>
          <w:szCs w:val="24"/>
        </w:rPr>
        <w:t>31</w:t>
      </w:r>
      <w:r w:rsidRPr="00F064CA">
        <w:rPr>
          <w:rFonts w:eastAsia="Times New Roman"/>
          <w:sz w:val="24"/>
          <w:szCs w:val="24"/>
        </w:rPr>
        <w:t xml:space="preserve">(2018), 405–430. </w:t>
      </w:r>
      <w:hyperlink r:id="rId25" w:history="1">
        <w:r w:rsidR="0083293B" w:rsidRPr="002539E7">
          <w:rPr>
            <w:rStyle w:val="Hyperlink"/>
            <w:rFonts w:eastAsia="Times New Roman"/>
            <w:sz w:val="24"/>
            <w:szCs w:val="24"/>
          </w:rPr>
          <w:t>https://doi.org/10.1111/bre.12328</w:t>
        </w:r>
      </w:hyperlink>
    </w:p>
    <w:p w14:paraId="57E7C007"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lastRenderedPageBreak/>
        <w:t xml:space="preserve">Rotevatn, A., Jackson, C. A. L., Tvedt, A. B. M., Bell, R. E., &amp; </w:t>
      </w:r>
      <w:proofErr w:type="spellStart"/>
      <w:r w:rsidRPr="00F064CA">
        <w:rPr>
          <w:rFonts w:eastAsia="Times New Roman"/>
          <w:sz w:val="24"/>
          <w:szCs w:val="24"/>
        </w:rPr>
        <w:t>Blækkan</w:t>
      </w:r>
      <w:proofErr w:type="spellEnd"/>
      <w:r w:rsidRPr="00F064CA">
        <w:rPr>
          <w:rFonts w:eastAsia="Times New Roman"/>
          <w:sz w:val="24"/>
          <w:szCs w:val="24"/>
        </w:rPr>
        <w:t xml:space="preserve">, I. (2018). How do normal faults grow? </w:t>
      </w:r>
      <w:r w:rsidRPr="00F064CA">
        <w:rPr>
          <w:rFonts w:eastAsia="Times New Roman"/>
          <w:i/>
          <w:iCs/>
          <w:sz w:val="24"/>
          <w:szCs w:val="24"/>
        </w:rPr>
        <w:t>Journal of Structural Geology</w:t>
      </w:r>
      <w:r w:rsidRPr="00F064CA">
        <w:rPr>
          <w:rFonts w:eastAsia="Times New Roman"/>
          <w:sz w:val="24"/>
          <w:szCs w:val="24"/>
        </w:rPr>
        <w:t>, (August), 0–1. https://doi.org/10.1016/j.jsg.2018.08.005</w:t>
      </w:r>
    </w:p>
    <w:p w14:paraId="70BEB058"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Schultz, R. A., &amp; Fossen, H. (2002). Displacement-length scaling in three dimensions: The importance of aspect ratio and application to deformation bands.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24</w:t>
      </w:r>
      <w:r w:rsidRPr="00F064CA">
        <w:rPr>
          <w:rFonts w:eastAsia="Times New Roman"/>
          <w:sz w:val="24"/>
          <w:szCs w:val="24"/>
        </w:rPr>
        <w:t>(9), 1389–1411. https://doi.org/10.1016/S0191-8141(01)00146-8</w:t>
      </w:r>
    </w:p>
    <w:p w14:paraId="5E801E12"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Stagg, H. M. J., </w:t>
      </w:r>
      <w:proofErr w:type="spellStart"/>
      <w:r w:rsidRPr="00F064CA">
        <w:rPr>
          <w:rFonts w:eastAsia="Times New Roman"/>
          <w:sz w:val="24"/>
          <w:szCs w:val="24"/>
        </w:rPr>
        <w:t>Colwel</w:t>
      </w:r>
      <w:proofErr w:type="spellEnd"/>
      <w:r w:rsidRPr="00F064CA">
        <w:rPr>
          <w:rFonts w:eastAsia="Times New Roman"/>
          <w:sz w:val="24"/>
          <w:szCs w:val="24"/>
        </w:rPr>
        <w:t xml:space="preserve">, J. B., </w:t>
      </w:r>
      <w:proofErr w:type="spellStart"/>
      <w:r w:rsidRPr="00F064CA">
        <w:rPr>
          <w:rFonts w:eastAsia="Times New Roman"/>
          <w:sz w:val="24"/>
          <w:szCs w:val="24"/>
        </w:rPr>
        <w:t>Direen</w:t>
      </w:r>
      <w:proofErr w:type="spellEnd"/>
      <w:r w:rsidRPr="00F064CA">
        <w:rPr>
          <w:rFonts w:eastAsia="Times New Roman"/>
          <w:sz w:val="24"/>
          <w:szCs w:val="24"/>
        </w:rPr>
        <w:t xml:space="preserve">, N. G., Brien, P. E. O., </w:t>
      </w:r>
      <w:proofErr w:type="spellStart"/>
      <w:r w:rsidRPr="00F064CA">
        <w:rPr>
          <w:rFonts w:eastAsia="Times New Roman"/>
          <w:sz w:val="24"/>
          <w:szCs w:val="24"/>
        </w:rPr>
        <w:t>Bernardel</w:t>
      </w:r>
      <w:proofErr w:type="spellEnd"/>
      <w:r w:rsidRPr="00F064CA">
        <w:rPr>
          <w:rFonts w:eastAsia="Times New Roman"/>
          <w:sz w:val="24"/>
          <w:szCs w:val="24"/>
        </w:rPr>
        <w:t xml:space="preserve">, G., </w:t>
      </w:r>
      <w:proofErr w:type="spellStart"/>
      <w:r w:rsidRPr="00F064CA">
        <w:rPr>
          <w:rFonts w:eastAsia="Times New Roman"/>
          <w:sz w:val="24"/>
          <w:szCs w:val="24"/>
        </w:rPr>
        <w:t>Borissova</w:t>
      </w:r>
      <w:proofErr w:type="spellEnd"/>
      <w:r w:rsidRPr="00F064CA">
        <w:rPr>
          <w:rFonts w:eastAsia="Times New Roman"/>
          <w:sz w:val="24"/>
          <w:szCs w:val="24"/>
        </w:rPr>
        <w:t xml:space="preserve">, I., … </w:t>
      </w:r>
      <w:proofErr w:type="spellStart"/>
      <w:r w:rsidRPr="00F064CA">
        <w:rPr>
          <w:rFonts w:eastAsia="Times New Roman"/>
          <w:sz w:val="24"/>
          <w:szCs w:val="24"/>
        </w:rPr>
        <w:t>Ishirara</w:t>
      </w:r>
      <w:proofErr w:type="spellEnd"/>
      <w:r w:rsidRPr="00F064CA">
        <w:rPr>
          <w:rFonts w:eastAsia="Times New Roman"/>
          <w:sz w:val="24"/>
          <w:szCs w:val="24"/>
        </w:rPr>
        <w:t xml:space="preserve">, T. (2005). Geology of the continental margin of Enderby and </w:t>
      </w:r>
      <w:proofErr w:type="gramStart"/>
      <w:r w:rsidRPr="00F064CA">
        <w:rPr>
          <w:rFonts w:eastAsia="Times New Roman"/>
          <w:sz w:val="24"/>
          <w:szCs w:val="24"/>
        </w:rPr>
        <w:t>Mac .</w:t>
      </w:r>
      <w:proofErr w:type="gramEnd"/>
      <w:r w:rsidRPr="00F064CA">
        <w:rPr>
          <w:rFonts w:eastAsia="Times New Roman"/>
          <w:sz w:val="24"/>
          <w:szCs w:val="24"/>
        </w:rPr>
        <w:t xml:space="preserve"> Robertson </w:t>
      </w:r>
      <w:proofErr w:type="gramStart"/>
      <w:r w:rsidRPr="00F064CA">
        <w:rPr>
          <w:rFonts w:eastAsia="Times New Roman"/>
          <w:sz w:val="24"/>
          <w:szCs w:val="24"/>
        </w:rPr>
        <w:t>Lands ,</w:t>
      </w:r>
      <w:proofErr w:type="gramEnd"/>
      <w:r w:rsidRPr="00F064CA">
        <w:rPr>
          <w:rFonts w:eastAsia="Times New Roman"/>
          <w:sz w:val="24"/>
          <w:szCs w:val="24"/>
        </w:rPr>
        <w:t xml:space="preserve"> East Antarctica : Insights from a regional data set. </w:t>
      </w:r>
      <w:r w:rsidRPr="00F064CA">
        <w:rPr>
          <w:rFonts w:eastAsia="Times New Roman"/>
          <w:i/>
          <w:iCs/>
          <w:sz w:val="24"/>
          <w:szCs w:val="24"/>
        </w:rPr>
        <w:t>Marine Geophysical Researches</w:t>
      </w:r>
      <w:r w:rsidRPr="00F064CA">
        <w:rPr>
          <w:rFonts w:eastAsia="Times New Roman"/>
          <w:sz w:val="24"/>
          <w:szCs w:val="24"/>
        </w:rPr>
        <w:t xml:space="preserve">, </w:t>
      </w:r>
      <w:r w:rsidRPr="00F064CA">
        <w:rPr>
          <w:rFonts w:eastAsia="Times New Roman"/>
          <w:i/>
          <w:iCs/>
          <w:sz w:val="24"/>
          <w:szCs w:val="24"/>
        </w:rPr>
        <w:t>25</w:t>
      </w:r>
      <w:r w:rsidRPr="00F064CA">
        <w:rPr>
          <w:rFonts w:eastAsia="Times New Roman"/>
          <w:sz w:val="24"/>
          <w:szCs w:val="24"/>
        </w:rPr>
        <w:t>, 183–219. https://doi.org/10.1007/s11001-005-1316-1</w:t>
      </w:r>
    </w:p>
    <w:p w14:paraId="740E8D59"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Stagg, H. M. J., &amp; </w:t>
      </w:r>
      <w:proofErr w:type="spellStart"/>
      <w:r w:rsidRPr="00F064CA">
        <w:rPr>
          <w:rFonts w:eastAsia="Times New Roman"/>
          <w:sz w:val="24"/>
          <w:szCs w:val="24"/>
        </w:rPr>
        <w:t>Colwelp</w:t>
      </w:r>
      <w:proofErr w:type="spellEnd"/>
      <w:r w:rsidRPr="00F064CA">
        <w:rPr>
          <w:rFonts w:eastAsia="Times New Roman"/>
          <w:sz w:val="24"/>
          <w:szCs w:val="24"/>
        </w:rPr>
        <w:t xml:space="preserve">, J. B. (1994). The Structural Foundations of the Northern Carnarvon </w:t>
      </w:r>
      <w:proofErr w:type="gramStart"/>
      <w:r w:rsidRPr="00F064CA">
        <w:rPr>
          <w:rFonts w:eastAsia="Times New Roman"/>
          <w:sz w:val="24"/>
          <w:szCs w:val="24"/>
        </w:rPr>
        <w:t>Basin .</w:t>
      </w:r>
      <w:proofErr w:type="gramEnd"/>
      <w:r w:rsidRPr="00F064CA">
        <w:rPr>
          <w:rFonts w:eastAsia="Times New Roman"/>
          <w:sz w:val="24"/>
          <w:szCs w:val="24"/>
        </w:rPr>
        <w:t xml:space="preserve"> </w:t>
      </w:r>
      <w:r w:rsidRPr="00F064CA">
        <w:rPr>
          <w:rFonts w:eastAsia="Times New Roman"/>
          <w:i/>
          <w:iCs/>
          <w:sz w:val="24"/>
          <w:szCs w:val="24"/>
        </w:rPr>
        <w:t>The Sedimentary Basins of Western Australia: Proceedings of Petroleum Exploration Society of Australia Symposium, Perth</w:t>
      </w:r>
      <w:r w:rsidRPr="00F064CA">
        <w:rPr>
          <w:rFonts w:eastAsia="Times New Roman"/>
          <w:sz w:val="24"/>
          <w:szCs w:val="24"/>
        </w:rPr>
        <w:t>, 349–372.</w:t>
      </w:r>
    </w:p>
    <w:p w14:paraId="6D51965A"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Thorsen, C. E. (1963). Age of growth faulting in Southeast Louisiana. </w:t>
      </w:r>
      <w:r w:rsidRPr="00F064CA">
        <w:rPr>
          <w:rFonts w:eastAsia="Times New Roman"/>
          <w:i/>
          <w:iCs/>
          <w:sz w:val="24"/>
          <w:szCs w:val="24"/>
        </w:rPr>
        <w:t>Gulf Coast Association of Geological Societies Transactions</w:t>
      </w:r>
      <w:r w:rsidRPr="00F064CA">
        <w:rPr>
          <w:rFonts w:eastAsia="Times New Roman"/>
          <w:sz w:val="24"/>
          <w:szCs w:val="24"/>
        </w:rPr>
        <w:t xml:space="preserve">, </w:t>
      </w:r>
      <w:r w:rsidRPr="00F064CA">
        <w:rPr>
          <w:rFonts w:eastAsia="Times New Roman"/>
          <w:i/>
          <w:iCs/>
          <w:sz w:val="24"/>
          <w:szCs w:val="24"/>
        </w:rPr>
        <w:t>3</w:t>
      </w:r>
      <w:r w:rsidRPr="00F064CA">
        <w:rPr>
          <w:rFonts w:eastAsia="Times New Roman"/>
          <w:sz w:val="24"/>
          <w:szCs w:val="24"/>
        </w:rPr>
        <w:t>, 103–110.</w:t>
      </w:r>
    </w:p>
    <w:p w14:paraId="6E01E0D2"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Tindale, K., Newell, N., </w:t>
      </w:r>
      <w:proofErr w:type="spellStart"/>
      <w:r w:rsidRPr="00F064CA">
        <w:rPr>
          <w:rFonts w:eastAsia="Times New Roman"/>
          <w:sz w:val="24"/>
          <w:szCs w:val="24"/>
        </w:rPr>
        <w:t>Keall</w:t>
      </w:r>
      <w:proofErr w:type="spellEnd"/>
      <w:r w:rsidRPr="00F064CA">
        <w:rPr>
          <w:rFonts w:eastAsia="Times New Roman"/>
          <w:sz w:val="24"/>
          <w:szCs w:val="24"/>
        </w:rPr>
        <w:t xml:space="preserve">, J., &amp; Smith, N. (1998). Structural Evolution and Charge History of the </w:t>
      </w:r>
      <w:proofErr w:type="spellStart"/>
      <w:r w:rsidRPr="00F064CA">
        <w:rPr>
          <w:rFonts w:eastAsia="Times New Roman"/>
          <w:sz w:val="24"/>
          <w:szCs w:val="24"/>
        </w:rPr>
        <w:t>Exmouth</w:t>
      </w:r>
      <w:proofErr w:type="spellEnd"/>
      <w:r w:rsidRPr="00F064CA">
        <w:rPr>
          <w:rFonts w:eastAsia="Times New Roman"/>
          <w:sz w:val="24"/>
          <w:szCs w:val="24"/>
        </w:rPr>
        <w:t xml:space="preserve"> Sub-basin, Northern Carnarvon Basin, Western Australia. </w:t>
      </w:r>
      <w:r w:rsidRPr="00F064CA">
        <w:rPr>
          <w:rFonts w:eastAsia="Times New Roman"/>
          <w:i/>
          <w:iCs/>
          <w:sz w:val="24"/>
          <w:szCs w:val="24"/>
        </w:rPr>
        <w:t>The Sedimentary Basins of Western Australia 2: Proceedings of Petroleum Exploration Society of Australia Symposium.</w:t>
      </w:r>
    </w:p>
    <w:p w14:paraId="591AC84E"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lastRenderedPageBreak/>
        <w:t xml:space="preserve">Tvedt, A. B. M., Rotevatn, A., &amp; Jackson, C. A. L. (2016). Supra-salt normal fault growth during the rise and fall of a diapir: Perspectives from 3D seismic reflection data, Norwegian North Sea.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91</w:t>
      </w:r>
      <w:r w:rsidRPr="00F064CA">
        <w:rPr>
          <w:rFonts w:eastAsia="Times New Roman"/>
          <w:sz w:val="24"/>
          <w:szCs w:val="24"/>
        </w:rPr>
        <w:t>, 1–26. https://doi.org/10.1016/j.jsg.2016.08.001</w:t>
      </w:r>
    </w:p>
    <w:p w14:paraId="73834774"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Wallace, R. E. (1970). Earthquake Recurrence Intervals on the San Andreas Fault. </w:t>
      </w:r>
      <w:r w:rsidRPr="00F064CA">
        <w:rPr>
          <w:rFonts w:eastAsia="Times New Roman"/>
          <w:i/>
          <w:iCs/>
          <w:sz w:val="24"/>
          <w:szCs w:val="24"/>
        </w:rPr>
        <w:t>Geological Society of America Bulletin</w:t>
      </w:r>
      <w:r w:rsidRPr="00F064CA">
        <w:rPr>
          <w:rFonts w:eastAsia="Times New Roman"/>
          <w:sz w:val="24"/>
          <w:szCs w:val="24"/>
        </w:rPr>
        <w:t xml:space="preserve">, </w:t>
      </w:r>
      <w:r w:rsidRPr="00F064CA">
        <w:rPr>
          <w:rFonts w:eastAsia="Times New Roman"/>
          <w:i/>
          <w:iCs/>
          <w:sz w:val="24"/>
          <w:szCs w:val="24"/>
        </w:rPr>
        <w:t>81</w:t>
      </w:r>
      <w:r w:rsidRPr="00F064CA">
        <w:rPr>
          <w:rFonts w:eastAsia="Times New Roman"/>
          <w:sz w:val="24"/>
          <w:szCs w:val="24"/>
        </w:rPr>
        <w:t>, 2875–2890.</w:t>
      </w:r>
    </w:p>
    <w:p w14:paraId="0E59154B"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Walsh, J. J., &amp; Watterson, J. (1988). Analysis of the relationship between displacements and dimensions of faults.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10</w:t>
      </w:r>
      <w:r w:rsidRPr="00F064CA">
        <w:rPr>
          <w:rFonts w:eastAsia="Times New Roman"/>
          <w:sz w:val="24"/>
          <w:szCs w:val="24"/>
        </w:rPr>
        <w:t>(3), 239–247. https://doi.org/10.1016/0191-8141(88)90057-0</w:t>
      </w:r>
    </w:p>
    <w:p w14:paraId="0A92A44F"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Wells, D. L., &amp; Coppersmith, K. J. (1994). New Empirical Relationships among Magnitude, Rupture Length, Rupture Width, Rupture Area, and Surface Displacement. </w:t>
      </w:r>
      <w:r w:rsidRPr="00F064CA">
        <w:rPr>
          <w:rFonts w:eastAsia="Times New Roman"/>
          <w:i/>
          <w:iCs/>
          <w:sz w:val="24"/>
          <w:szCs w:val="24"/>
        </w:rPr>
        <w:t>Bulletin of the Seismological Society of America</w:t>
      </w:r>
      <w:r w:rsidRPr="00F064CA">
        <w:rPr>
          <w:rFonts w:eastAsia="Times New Roman"/>
          <w:sz w:val="24"/>
          <w:szCs w:val="24"/>
        </w:rPr>
        <w:t xml:space="preserve">, </w:t>
      </w:r>
      <w:r w:rsidRPr="00F064CA">
        <w:rPr>
          <w:rFonts w:eastAsia="Times New Roman"/>
          <w:i/>
          <w:iCs/>
          <w:sz w:val="24"/>
          <w:szCs w:val="24"/>
        </w:rPr>
        <w:t>84</w:t>
      </w:r>
      <w:r w:rsidRPr="00F064CA">
        <w:rPr>
          <w:rFonts w:eastAsia="Times New Roman"/>
          <w:sz w:val="24"/>
          <w:szCs w:val="24"/>
        </w:rPr>
        <w:t>(4), 974–1002.</w:t>
      </w:r>
    </w:p>
    <w:p w14:paraId="36B617CF" w14:textId="77777777" w:rsidR="00B45FBE" w:rsidRPr="00F064CA" w:rsidRDefault="00B45FBE" w:rsidP="002349AD">
      <w:pPr>
        <w:spacing w:before="100" w:beforeAutospacing="1" w:after="100" w:afterAutospacing="1" w:line="480" w:lineRule="auto"/>
        <w:ind w:left="480" w:hanging="480"/>
        <w:rPr>
          <w:rFonts w:eastAsia="Times New Roman"/>
          <w:sz w:val="24"/>
          <w:szCs w:val="24"/>
        </w:rPr>
      </w:pPr>
      <w:r w:rsidRPr="00F064CA">
        <w:rPr>
          <w:rFonts w:eastAsia="Times New Roman"/>
          <w:sz w:val="24"/>
          <w:szCs w:val="24"/>
        </w:rPr>
        <w:t xml:space="preserve">Wilson, P., Elliott, G. M., </w:t>
      </w:r>
      <w:proofErr w:type="spellStart"/>
      <w:r w:rsidRPr="00F064CA">
        <w:rPr>
          <w:rFonts w:eastAsia="Times New Roman"/>
          <w:sz w:val="24"/>
          <w:szCs w:val="24"/>
        </w:rPr>
        <w:t>Gawthorpe</w:t>
      </w:r>
      <w:proofErr w:type="spellEnd"/>
      <w:r w:rsidRPr="00F064CA">
        <w:rPr>
          <w:rFonts w:eastAsia="Times New Roman"/>
          <w:sz w:val="24"/>
          <w:szCs w:val="24"/>
        </w:rPr>
        <w:t xml:space="preserve">, R. L., Jackson, C. A., Michelsen, L., &amp; Sharp, I. R. (2013). Geometry and segmentation of an evaporite-detached normal fault </w:t>
      </w:r>
      <w:proofErr w:type="gramStart"/>
      <w:r w:rsidRPr="00F064CA">
        <w:rPr>
          <w:rFonts w:eastAsia="Times New Roman"/>
          <w:sz w:val="24"/>
          <w:szCs w:val="24"/>
        </w:rPr>
        <w:t>array :</w:t>
      </w:r>
      <w:proofErr w:type="gramEnd"/>
      <w:r w:rsidRPr="00F064CA">
        <w:rPr>
          <w:rFonts w:eastAsia="Times New Roman"/>
          <w:sz w:val="24"/>
          <w:szCs w:val="24"/>
        </w:rPr>
        <w:t xml:space="preserve"> 3D seismic analysis of the southern </w:t>
      </w:r>
      <w:proofErr w:type="spellStart"/>
      <w:r w:rsidRPr="00F064CA">
        <w:rPr>
          <w:rFonts w:eastAsia="Times New Roman"/>
          <w:sz w:val="24"/>
          <w:szCs w:val="24"/>
        </w:rPr>
        <w:t>Bremstein</w:t>
      </w:r>
      <w:proofErr w:type="spellEnd"/>
      <w:r w:rsidRPr="00F064CA">
        <w:rPr>
          <w:rFonts w:eastAsia="Times New Roman"/>
          <w:sz w:val="24"/>
          <w:szCs w:val="24"/>
        </w:rPr>
        <w:t xml:space="preserve"> Fault Complex , offshore mid-Norway. </w:t>
      </w:r>
      <w:r w:rsidRPr="00F064CA">
        <w:rPr>
          <w:rFonts w:eastAsia="Times New Roman"/>
          <w:i/>
          <w:iCs/>
          <w:sz w:val="24"/>
          <w:szCs w:val="24"/>
        </w:rPr>
        <w:t>Journal of Structural Geology</w:t>
      </w:r>
      <w:r w:rsidRPr="00F064CA">
        <w:rPr>
          <w:rFonts w:eastAsia="Times New Roman"/>
          <w:sz w:val="24"/>
          <w:szCs w:val="24"/>
        </w:rPr>
        <w:t xml:space="preserve">, </w:t>
      </w:r>
      <w:r w:rsidRPr="00F064CA">
        <w:rPr>
          <w:rFonts w:eastAsia="Times New Roman"/>
          <w:i/>
          <w:iCs/>
          <w:sz w:val="24"/>
          <w:szCs w:val="24"/>
        </w:rPr>
        <w:t>51</w:t>
      </w:r>
      <w:r w:rsidRPr="00F064CA">
        <w:rPr>
          <w:rFonts w:eastAsia="Times New Roman"/>
          <w:sz w:val="24"/>
          <w:szCs w:val="24"/>
        </w:rPr>
        <w:t>, 74–91. https://doi.org/10.1016/j.jsg.2013.03.005</w:t>
      </w:r>
    </w:p>
    <w:p w14:paraId="7791F6AE" w14:textId="77777777" w:rsidR="00275AA0" w:rsidRPr="00F064CA" w:rsidRDefault="00275AA0" w:rsidP="002349AD">
      <w:pPr>
        <w:pStyle w:val="Reference"/>
        <w:spacing w:line="480" w:lineRule="auto"/>
        <w:ind w:left="0" w:firstLine="0"/>
        <w:rPr>
          <w:bCs/>
          <w:kern w:val="28"/>
        </w:rPr>
      </w:pPr>
    </w:p>
    <w:p w14:paraId="68D05BE6" w14:textId="465B5843" w:rsidR="008A6077" w:rsidRPr="00F064CA" w:rsidRDefault="0097031A" w:rsidP="002349AD">
      <w:pPr>
        <w:pStyle w:val="FigureorTableCaption"/>
        <w:spacing w:line="480" w:lineRule="auto"/>
        <w:rPr>
          <w:b/>
        </w:rPr>
      </w:pPr>
      <w:r w:rsidRPr="00F064CA">
        <w:rPr>
          <w:b/>
        </w:rPr>
        <w:lastRenderedPageBreak/>
        <w:t>Appendix</w:t>
      </w:r>
    </w:p>
    <w:p w14:paraId="49945B6F" w14:textId="7C43DD4F" w:rsidR="00C13178" w:rsidRPr="00F064CA" w:rsidRDefault="0097031A" w:rsidP="002349AD">
      <w:pPr>
        <w:pStyle w:val="Abstract"/>
        <w:spacing w:line="480" w:lineRule="auto"/>
        <w:rPr>
          <w:noProof/>
          <w:color w:val="000000"/>
        </w:rPr>
      </w:pPr>
      <w:r w:rsidRPr="00F064CA">
        <w:rPr>
          <w:noProof/>
          <w:color w:val="000000"/>
        </w:rPr>
        <w:lastRenderedPageBreak/>
        <w:drawing>
          <wp:inline distT="0" distB="0" distL="0" distR="0" wp14:anchorId="44E1CCF1" wp14:editId="5CADA675">
            <wp:extent cx="5898866" cy="7688580"/>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00059" cy="7690135"/>
                    </a:xfrm>
                    <a:prstGeom prst="rect">
                      <a:avLst/>
                    </a:prstGeom>
                    <a:noFill/>
                    <a:ln>
                      <a:noFill/>
                    </a:ln>
                  </pic:spPr>
                </pic:pic>
              </a:graphicData>
            </a:graphic>
          </wp:inline>
        </w:drawing>
      </w:r>
      <w:r w:rsidR="00C13178" w:rsidRPr="00F064CA">
        <w:rPr>
          <w:b/>
          <w:bCs/>
          <w:color w:val="000000"/>
        </w:rPr>
        <w:t xml:space="preserve">Appendix figure </w:t>
      </w:r>
      <w:r w:rsidR="005C5486">
        <w:rPr>
          <w:b/>
          <w:bCs/>
          <w:color w:val="000000"/>
        </w:rPr>
        <w:t>1</w:t>
      </w:r>
      <w:r w:rsidR="00C13178" w:rsidRPr="00F064CA">
        <w:rPr>
          <w:b/>
          <w:bCs/>
          <w:color w:val="000000"/>
        </w:rPr>
        <w:t>.</w:t>
      </w:r>
      <w:r w:rsidR="00C13178" w:rsidRPr="00F064CA">
        <w:rPr>
          <w:color w:val="000000"/>
        </w:rPr>
        <w:t xml:space="preserve"> throw backstripping faults 1-3</w:t>
      </w:r>
    </w:p>
    <w:p w14:paraId="77E20E50" w14:textId="0E347B13" w:rsidR="00C13178" w:rsidRPr="00F064CA" w:rsidRDefault="00C13178" w:rsidP="007E211A">
      <w:pPr>
        <w:pStyle w:val="Abstract"/>
        <w:rPr>
          <w:b/>
          <w:bCs/>
          <w:color w:val="000000"/>
        </w:rPr>
      </w:pPr>
      <w:r w:rsidRPr="00F064CA">
        <w:rPr>
          <w:b/>
          <w:bCs/>
          <w:noProof/>
          <w:color w:val="000000"/>
        </w:rPr>
        <w:lastRenderedPageBreak/>
        <w:drawing>
          <wp:inline distT="0" distB="0" distL="0" distR="0" wp14:anchorId="15FF69E1" wp14:editId="71E0C601">
            <wp:extent cx="5787390" cy="7959054"/>
            <wp:effectExtent l="0" t="0" r="381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01943" cy="7979069"/>
                    </a:xfrm>
                    <a:prstGeom prst="rect">
                      <a:avLst/>
                    </a:prstGeom>
                    <a:noFill/>
                    <a:ln>
                      <a:noFill/>
                    </a:ln>
                  </pic:spPr>
                </pic:pic>
              </a:graphicData>
            </a:graphic>
          </wp:inline>
        </w:drawing>
      </w:r>
    </w:p>
    <w:p w14:paraId="113DD7D4" w14:textId="754EE529" w:rsidR="00C13178" w:rsidRPr="00F064CA" w:rsidRDefault="00C13178" w:rsidP="002349AD">
      <w:pPr>
        <w:pStyle w:val="Abstract"/>
        <w:spacing w:line="480" w:lineRule="auto"/>
        <w:rPr>
          <w:color w:val="000000"/>
        </w:rPr>
      </w:pPr>
      <w:r w:rsidRPr="00F064CA">
        <w:rPr>
          <w:b/>
          <w:bCs/>
          <w:color w:val="000000"/>
        </w:rPr>
        <w:t xml:space="preserve">Appendix figure </w:t>
      </w:r>
      <w:r w:rsidR="005C5486">
        <w:rPr>
          <w:b/>
          <w:bCs/>
          <w:color w:val="000000"/>
        </w:rPr>
        <w:t>2</w:t>
      </w:r>
      <w:r w:rsidRPr="00F064CA">
        <w:rPr>
          <w:b/>
          <w:bCs/>
          <w:color w:val="000000"/>
        </w:rPr>
        <w:t xml:space="preserve">. </w:t>
      </w:r>
      <w:r w:rsidRPr="00F064CA">
        <w:rPr>
          <w:color w:val="000000"/>
        </w:rPr>
        <w:t>Throw backstripping faults 4-6</w:t>
      </w:r>
    </w:p>
    <w:p w14:paraId="7D4539AB" w14:textId="035D3D7E" w:rsidR="00C13178" w:rsidRPr="00F064CA" w:rsidRDefault="00C13178" w:rsidP="007E211A">
      <w:pPr>
        <w:pStyle w:val="Abstract"/>
        <w:rPr>
          <w:color w:val="000000"/>
        </w:rPr>
      </w:pPr>
      <w:r w:rsidRPr="00F064CA">
        <w:rPr>
          <w:noProof/>
          <w:color w:val="000000"/>
        </w:rPr>
        <w:lastRenderedPageBreak/>
        <w:drawing>
          <wp:inline distT="0" distB="0" distL="0" distR="0" wp14:anchorId="4EDD44F8" wp14:editId="6DF0B1BC">
            <wp:extent cx="2072640" cy="796659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77588" cy="7985615"/>
                    </a:xfrm>
                    <a:prstGeom prst="rect">
                      <a:avLst/>
                    </a:prstGeom>
                    <a:noFill/>
                    <a:ln>
                      <a:noFill/>
                    </a:ln>
                  </pic:spPr>
                </pic:pic>
              </a:graphicData>
            </a:graphic>
          </wp:inline>
        </w:drawing>
      </w:r>
    </w:p>
    <w:p w14:paraId="42160FCD" w14:textId="4074B5D6" w:rsidR="003A2F35" w:rsidRPr="00F064CA" w:rsidRDefault="00C13178" w:rsidP="007E211A">
      <w:pPr>
        <w:pStyle w:val="Abstract"/>
        <w:rPr>
          <w:b/>
          <w:bCs/>
          <w:color w:val="000000"/>
        </w:rPr>
      </w:pPr>
      <w:r w:rsidRPr="00F064CA">
        <w:rPr>
          <w:b/>
          <w:bCs/>
          <w:color w:val="000000"/>
        </w:rPr>
        <w:t xml:space="preserve">Appendix figure </w:t>
      </w:r>
      <w:r w:rsidR="005C5486">
        <w:rPr>
          <w:b/>
          <w:bCs/>
          <w:color w:val="000000"/>
        </w:rPr>
        <w:t>3</w:t>
      </w:r>
      <w:r w:rsidRPr="00F064CA">
        <w:rPr>
          <w:b/>
          <w:bCs/>
          <w:color w:val="000000"/>
        </w:rPr>
        <w:t xml:space="preserve">. </w:t>
      </w:r>
      <w:r w:rsidR="003A2F35" w:rsidRPr="00F064CA">
        <w:rPr>
          <w:color w:val="000000"/>
        </w:rPr>
        <w:t>Throw backstripping fault 7</w:t>
      </w:r>
    </w:p>
    <w:p w14:paraId="2B7C9A8E" w14:textId="0E287B7C" w:rsidR="00BF0028" w:rsidRPr="00F064CA" w:rsidRDefault="003A2F35" w:rsidP="002349AD">
      <w:pPr>
        <w:pStyle w:val="Abstract"/>
        <w:spacing w:line="480" w:lineRule="auto"/>
        <w:rPr>
          <w:color w:val="000000"/>
        </w:rPr>
      </w:pPr>
      <w:r w:rsidRPr="00F064CA">
        <w:rPr>
          <w:noProof/>
        </w:rPr>
        <w:lastRenderedPageBreak/>
        <w:drawing>
          <wp:inline distT="0" distB="0" distL="0" distR="0" wp14:anchorId="07517A76" wp14:editId="5BD3B1CB">
            <wp:extent cx="5939790" cy="59664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9790" cy="5966460"/>
                    </a:xfrm>
                    <a:prstGeom prst="rect">
                      <a:avLst/>
                    </a:prstGeom>
                    <a:noFill/>
                    <a:ln>
                      <a:noFill/>
                    </a:ln>
                  </pic:spPr>
                </pic:pic>
              </a:graphicData>
            </a:graphic>
          </wp:inline>
        </w:drawing>
      </w:r>
    </w:p>
    <w:p w14:paraId="7761A958" w14:textId="389C6CDA" w:rsidR="003A2F35" w:rsidRPr="00F064CA" w:rsidRDefault="003A2F35" w:rsidP="002349AD">
      <w:pPr>
        <w:pStyle w:val="NormalWeb"/>
        <w:spacing w:line="480" w:lineRule="auto"/>
        <w:rPr>
          <w:rFonts w:eastAsia="Times New Roman"/>
        </w:rPr>
      </w:pPr>
      <w:r w:rsidRPr="00F064CA">
        <w:rPr>
          <w:b/>
          <w:bCs/>
          <w:color w:val="000000"/>
        </w:rPr>
        <w:t xml:space="preserve">Appendix figure </w:t>
      </w:r>
      <w:r w:rsidR="005C5486">
        <w:rPr>
          <w:b/>
          <w:bCs/>
          <w:color w:val="000000"/>
        </w:rPr>
        <w:t>4</w:t>
      </w:r>
      <w:r w:rsidRPr="00F064CA">
        <w:rPr>
          <w:b/>
          <w:bCs/>
          <w:color w:val="000000"/>
        </w:rPr>
        <w:t xml:space="preserve">. </w:t>
      </w:r>
      <w:r w:rsidRPr="00F064CA">
        <w:rPr>
          <w:rFonts w:eastAsia="Times New Roman"/>
          <w:color w:val="000000"/>
        </w:rPr>
        <w:t>EI Analysis for faults 1-7</w:t>
      </w:r>
    </w:p>
    <w:p w14:paraId="68326A20" w14:textId="77777777" w:rsidR="005C5486" w:rsidRPr="00F064CA" w:rsidRDefault="005C5486" w:rsidP="005C5486">
      <w:pPr>
        <w:pStyle w:val="Abstract"/>
        <w:spacing w:line="480" w:lineRule="auto"/>
      </w:pPr>
      <w:r w:rsidRPr="00F064CA">
        <w:rPr>
          <w:noProof/>
        </w:rPr>
        <w:lastRenderedPageBreak/>
        <w:drawing>
          <wp:inline distT="0" distB="0" distL="0" distR="0" wp14:anchorId="3001ADB1" wp14:editId="4B7135D8">
            <wp:extent cx="5608320" cy="37871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08320" cy="3787140"/>
                    </a:xfrm>
                    <a:prstGeom prst="rect">
                      <a:avLst/>
                    </a:prstGeom>
                    <a:noFill/>
                    <a:ln>
                      <a:noFill/>
                    </a:ln>
                  </pic:spPr>
                </pic:pic>
              </a:graphicData>
            </a:graphic>
          </wp:inline>
        </w:drawing>
      </w:r>
    </w:p>
    <w:p w14:paraId="711E3C71" w14:textId="0AABCAF4" w:rsidR="005C5486" w:rsidRPr="00F064CA" w:rsidRDefault="005C5486" w:rsidP="005C5486">
      <w:pPr>
        <w:pStyle w:val="Abstract"/>
        <w:spacing w:line="480" w:lineRule="auto"/>
        <w:rPr>
          <w:color w:val="000000"/>
        </w:rPr>
      </w:pPr>
      <w:r w:rsidRPr="00F064CA">
        <w:rPr>
          <w:b/>
          <w:bCs/>
        </w:rPr>
        <w:t xml:space="preserve">Appendix figure </w:t>
      </w:r>
      <w:r>
        <w:rPr>
          <w:b/>
          <w:bCs/>
        </w:rPr>
        <w:t>5</w:t>
      </w:r>
      <w:r w:rsidRPr="00F064CA">
        <w:rPr>
          <w:b/>
          <w:bCs/>
        </w:rPr>
        <w:t>.</w:t>
      </w:r>
      <w:r w:rsidRPr="00F064CA">
        <w:t xml:space="preserve"> </w:t>
      </w:r>
      <w:r w:rsidRPr="00F064CA">
        <w:rPr>
          <w:color w:val="000000"/>
        </w:rPr>
        <w:t>Time-depth conversion for the 4 four wells in the study area: Breseis-1, Glencoe-1, Nimblefoot-1, and Warrior-1.</w:t>
      </w:r>
    </w:p>
    <w:p w14:paraId="230F208B" w14:textId="230DFF96" w:rsidR="003A2F35" w:rsidRPr="00F064CA" w:rsidRDefault="003A2F35" w:rsidP="002349AD">
      <w:pPr>
        <w:pStyle w:val="Abstract"/>
        <w:spacing w:line="480" w:lineRule="auto"/>
        <w:rPr>
          <w:color w:val="000000"/>
        </w:rPr>
      </w:pPr>
    </w:p>
    <w:sectPr w:rsidR="003A2F35" w:rsidRPr="00F064CA" w:rsidSect="00E31404">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317AD" w14:textId="77777777" w:rsidR="00132939" w:rsidRDefault="00132939" w:rsidP="000379AB">
      <w:r>
        <w:separator/>
      </w:r>
    </w:p>
  </w:endnote>
  <w:endnote w:type="continuationSeparator" w:id="0">
    <w:p w14:paraId="01062962" w14:textId="77777777" w:rsidR="00132939" w:rsidRDefault="00132939"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ED28E" w14:textId="2FE9AD18" w:rsidR="00F340E4" w:rsidRDefault="00F340E4" w:rsidP="00B71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E6D5D" w14:textId="77777777" w:rsidR="00132939" w:rsidRDefault="00132939" w:rsidP="000379AB">
      <w:r>
        <w:separator/>
      </w:r>
    </w:p>
  </w:footnote>
  <w:footnote w:type="continuationSeparator" w:id="0">
    <w:p w14:paraId="2CDDDAE1" w14:textId="77777777" w:rsidR="00132939" w:rsidRDefault="00132939" w:rsidP="0003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5FE63" w14:textId="3D20E798" w:rsidR="00F340E4" w:rsidRDefault="00F340E4" w:rsidP="007778E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75CCC" w14:textId="2816AD77" w:rsidR="00F340E4" w:rsidRDefault="00F340E4"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num w:numId="1">
    <w:abstractNumId w:val="1"/>
  </w:num>
  <w:num w:numId="2">
    <w:abstractNumId w:val="0"/>
  </w:num>
  <w:num w:numId="3">
    <w:abstractNumId w:val="9"/>
  </w:num>
  <w:num w:numId="4">
    <w:abstractNumId w:val="3"/>
  </w:num>
  <w:num w:numId="5">
    <w:abstractNumId w:val="4"/>
  </w:num>
  <w:num w:numId="6">
    <w:abstractNumId w:val="6"/>
  </w:num>
  <w:num w:numId="7">
    <w:abstractNumId w:val="7"/>
  </w:num>
  <w:num w:numId="8">
    <w:abstractNumId w:val="8"/>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077"/>
    <w:rsid w:val="00022590"/>
    <w:rsid w:val="00031829"/>
    <w:rsid w:val="000379AB"/>
    <w:rsid w:val="000726F3"/>
    <w:rsid w:val="0007414F"/>
    <w:rsid w:val="00132939"/>
    <w:rsid w:val="00147251"/>
    <w:rsid w:val="00183865"/>
    <w:rsid w:val="001931B3"/>
    <w:rsid w:val="001B3F4B"/>
    <w:rsid w:val="001C2B0D"/>
    <w:rsid w:val="001E33EF"/>
    <w:rsid w:val="001E5775"/>
    <w:rsid w:val="001F7C8C"/>
    <w:rsid w:val="00205265"/>
    <w:rsid w:val="002065FC"/>
    <w:rsid w:val="002112B8"/>
    <w:rsid w:val="00231B8E"/>
    <w:rsid w:val="002349AD"/>
    <w:rsid w:val="002430F3"/>
    <w:rsid w:val="002675F5"/>
    <w:rsid w:val="00275AA0"/>
    <w:rsid w:val="002B083F"/>
    <w:rsid w:val="002B6F74"/>
    <w:rsid w:val="002C3263"/>
    <w:rsid w:val="002E7898"/>
    <w:rsid w:val="002F005C"/>
    <w:rsid w:val="002F2289"/>
    <w:rsid w:val="002F3B11"/>
    <w:rsid w:val="002F4A0E"/>
    <w:rsid w:val="002F54E2"/>
    <w:rsid w:val="003013CA"/>
    <w:rsid w:val="003034FD"/>
    <w:rsid w:val="003137C3"/>
    <w:rsid w:val="00321596"/>
    <w:rsid w:val="00365E29"/>
    <w:rsid w:val="0037466A"/>
    <w:rsid w:val="003A2F35"/>
    <w:rsid w:val="003B68D6"/>
    <w:rsid w:val="003C1AC3"/>
    <w:rsid w:val="003E660A"/>
    <w:rsid w:val="003F199B"/>
    <w:rsid w:val="00400425"/>
    <w:rsid w:val="004009A6"/>
    <w:rsid w:val="00440A22"/>
    <w:rsid w:val="004442BD"/>
    <w:rsid w:val="0045336E"/>
    <w:rsid w:val="00461690"/>
    <w:rsid w:val="0046739F"/>
    <w:rsid w:val="004C6B18"/>
    <w:rsid w:val="004E4B44"/>
    <w:rsid w:val="00505B92"/>
    <w:rsid w:val="00514B45"/>
    <w:rsid w:val="005167EA"/>
    <w:rsid w:val="00516DB1"/>
    <w:rsid w:val="005213FE"/>
    <w:rsid w:val="005358D5"/>
    <w:rsid w:val="005405EF"/>
    <w:rsid w:val="0054095A"/>
    <w:rsid w:val="00545B6C"/>
    <w:rsid w:val="00562C9F"/>
    <w:rsid w:val="00562D64"/>
    <w:rsid w:val="00571A2B"/>
    <w:rsid w:val="0057441D"/>
    <w:rsid w:val="00575C0B"/>
    <w:rsid w:val="005929E3"/>
    <w:rsid w:val="005C496D"/>
    <w:rsid w:val="005C5486"/>
    <w:rsid w:val="005E1969"/>
    <w:rsid w:val="0060068F"/>
    <w:rsid w:val="0062338A"/>
    <w:rsid w:val="00682F43"/>
    <w:rsid w:val="006842EE"/>
    <w:rsid w:val="0068610B"/>
    <w:rsid w:val="006C4619"/>
    <w:rsid w:val="006D19B4"/>
    <w:rsid w:val="006F662E"/>
    <w:rsid w:val="00771D66"/>
    <w:rsid w:val="007778ED"/>
    <w:rsid w:val="00796FB8"/>
    <w:rsid w:val="007B4B93"/>
    <w:rsid w:val="007C693E"/>
    <w:rsid w:val="007E211A"/>
    <w:rsid w:val="00803E12"/>
    <w:rsid w:val="00810329"/>
    <w:rsid w:val="00813315"/>
    <w:rsid w:val="0083293B"/>
    <w:rsid w:val="00855B07"/>
    <w:rsid w:val="00857AD8"/>
    <w:rsid w:val="008A6077"/>
    <w:rsid w:val="008B56B3"/>
    <w:rsid w:val="008C3F1F"/>
    <w:rsid w:val="008D307F"/>
    <w:rsid w:val="008D3087"/>
    <w:rsid w:val="008D519D"/>
    <w:rsid w:val="008E58E5"/>
    <w:rsid w:val="008F4E37"/>
    <w:rsid w:val="009579C5"/>
    <w:rsid w:val="0097031A"/>
    <w:rsid w:val="0097213C"/>
    <w:rsid w:val="00975D9D"/>
    <w:rsid w:val="009A6CF6"/>
    <w:rsid w:val="009B68DA"/>
    <w:rsid w:val="009C63D9"/>
    <w:rsid w:val="009F2D8F"/>
    <w:rsid w:val="00A63B19"/>
    <w:rsid w:val="00A76818"/>
    <w:rsid w:val="00AA76EA"/>
    <w:rsid w:val="00AB46CF"/>
    <w:rsid w:val="00AE53BD"/>
    <w:rsid w:val="00AF33DA"/>
    <w:rsid w:val="00AF3DBA"/>
    <w:rsid w:val="00B0458F"/>
    <w:rsid w:val="00B06D43"/>
    <w:rsid w:val="00B120F3"/>
    <w:rsid w:val="00B15511"/>
    <w:rsid w:val="00B275DC"/>
    <w:rsid w:val="00B45FBE"/>
    <w:rsid w:val="00B719C8"/>
    <w:rsid w:val="00B75F01"/>
    <w:rsid w:val="00B81C79"/>
    <w:rsid w:val="00B82556"/>
    <w:rsid w:val="00B828C4"/>
    <w:rsid w:val="00BF0028"/>
    <w:rsid w:val="00C13178"/>
    <w:rsid w:val="00C17EE9"/>
    <w:rsid w:val="00C21482"/>
    <w:rsid w:val="00C321AC"/>
    <w:rsid w:val="00C3475A"/>
    <w:rsid w:val="00C81368"/>
    <w:rsid w:val="00C81692"/>
    <w:rsid w:val="00C94AA5"/>
    <w:rsid w:val="00C956A2"/>
    <w:rsid w:val="00CB0521"/>
    <w:rsid w:val="00CB7BED"/>
    <w:rsid w:val="00CC39E1"/>
    <w:rsid w:val="00CC4CBE"/>
    <w:rsid w:val="00CF3DEE"/>
    <w:rsid w:val="00D47F09"/>
    <w:rsid w:val="00D50A01"/>
    <w:rsid w:val="00D54D8E"/>
    <w:rsid w:val="00D810E5"/>
    <w:rsid w:val="00D94839"/>
    <w:rsid w:val="00D9528F"/>
    <w:rsid w:val="00DD6745"/>
    <w:rsid w:val="00DE3F91"/>
    <w:rsid w:val="00DF5AFA"/>
    <w:rsid w:val="00E31404"/>
    <w:rsid w:val="00E31513"/>
    <w:rsid w:val="00E51121"/>
    <w:rsid w:val="00E664DF"/>
    <w:rsid w:val="00E67B96"/>
    <w:rsid w:val="00EF04CF"/>
    <w:rsid w:val="00F064CA"/>
    <w:rsid w:val="00F21080"/>
    <w:rsid w:val="00F340E4"/>
    <w:rsid w:val="00F45E57"/>
    <w:rsid w:val="00F71CD1"/>
    <w:rsid w:val="00FA3681"/>
    <w:rsid w:val="00FC3EAC"/>
    <w:rsid w:val="00FC49C6"/>
    <w:rsid w:val="1ACF9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09C9FC"/>
  <w14:defaultImageDpi w14:val="300"/>
  <w15:chartTrackingRefBased/>
  <w15:docId w15:val="{609C4F85-DD07-4AA0-AD30-DC0A6EA1F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8A6077"/>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character" w:styleId="Hyperlink">
    <w:name w:val="Hyperlink"/>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paragraph" w:styleId="ListParagraph">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styleId="UnresolvedMention">
    <w:name w:val="Unresolved Mention"/>
    <w:basedOn w:val="DefaultParagraphFont"/>
    <w:uiPriority w:val="99"/>
    <w:rsid w:val="00B81C79"/>
    <w:rPr>
      <w:color w:val="808080"/>
      <w:shd w:val="clear" w:color="auto" w:fill="E6E6E6"/>
    </w:rPr>
  </w:style>
  <w:style w:type="paragraph" w:styleId="BalloonText">
    <w:name w:val="Balloon Text"/>
    <w:basedOn w:val="Normal"/>
    <w:link w:val="BalloonTextChar"/>
    <w:uiPriority w:val="99"/>
    <w:semiHidden/>
    <w:unhideWhenUsed/>
    <w:rsid w:val="007B4B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B93"/>
    <w:rPr>
      <w:rFonts w:ascii="Segoe UI" w:eastAsia="Calibri" w:hAnsi="Segoe UI" w:cs="Segoe UI"/>
      <w:sz w:val="18"/>
      <w:szCs w:val="18"/>
    </w:rPr>
  </w:style>
  <w:style w:type="character" w:styleId="Emphasis">
    <w:name w:val="Emphasis"/>
    <w:basedOn w:val="DefaultParagraphFont"/>
    <w:uiPriority w:val="20"/>
    <w:qFormat/>
    <w:rsid w:val="007B4B93"/>
    <w:rPr>
      <w:i/>
      <w:iCs/>
    </w:rPr>
  </w:style>
  <w:style w:type="character" w:styleId="FollowedHyperlink">
    <w:name w:val="FollowedHyperlink"/>
    <w:basedOn w:val="DefaultParagraphFont"/>
    <w:uiPriority w:val="99"/>
    <w:semiHidden/>
    <w:unhideWhenUsed/>
    <w:rsid w:val="00F45E57"/>
    <w:rPr>
      <w:color w:val="954F72" w:themeColor="followedHyperlink"/>
      <w:u w:val="single"/>
    </w:rPr>
  </w:style>
  <w:style w:type="character" w:styleId="LineNumber">
    <w:name w:val="line number"/>
    <w:basedOn w:val="DefaultParagraphFont"/>
    <w:uiPriority w:val="99"/>
    <w:semiHidden/>
    <w:unhideWhenUsed/>
    <w:rsid w:val="00CB0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10942">
      <w:bodyDiv w:val="1"/>
      <w:marLeft w:val="0"/>
      <w:marRight w:val="0"/>
      <w:marTop w:val="0"/>
      <w:marBottom w:val="0"/>
      <w:divBdr>
        <w:top w:val="none" w:sz="0" w:space="0" w:color="auto"/>
        <w:left w:val="none" w:sz="0" w:space="0" w:color="auto"/>
        <w:bottom w:val="none" w:sz="0" w:space="0" w:color="auto"/>
        <w:right w:val="none" w:sz="0" w:space="0" w:color="auto"/>
      </w:divBdr>
      <w:divsChild>
        <w:div w:id="950627520">
          <w:marLeft w:val="0"/>
          <w:marRight w:val="0"/>
          <w:marTop w:val="0"/>
          <w:marBottom w:val="0"/>
          <w:divBdr>
            <w:top w:val="none" w:sz="0" w:space="0" w:color="auto"/>
            <w:left w:val="none" w:sz="0" w:space="0" w:color="auto"/>
            <w:bottom w:val="none" w:sz="0" w:space="0" w:color="auto"/>
            <w:right w:val="none" w:sz="0" w:space="0" w:color="auto"/>
          </w:divBdr>
        </w:div>
        <w:div w:id="564490265">
          <w:marLeft w:val="0"/>
          <w:marRight w:val="0"/>
          <w:marTop w:val="0"/>
          <w:marBottom w:val="0"/>
          <w:divBdr>
            <w:top w:val="none" w:sz="0" w:space="0" w:color="auto"/>
            <w:left w:val="none" w:sz="0" w:space="0" w:color="auto"/>
            <w:bottom w:val="none" w:sz="0" w:space="0" w:color="auto"/>
            <w:right w:val="none" w:sz="0" w:space="0" w:color="auto"/>
          </w:divBdr>
        </w:div>
        <w:div w:id="266357235">
          <w:marLeft w:val="0"/>
          <w:marRight w:val="0"/>
          <w:marTop w:val="0"/>
          <w:marBottom w:val="0"/>
          <w:divBdr>
            <w:top w:val="none" w:sz="0" w:space="0" w:color="auto"/>
            <w:left w:val="none" w:sz="0" w:space="0" w:color="auto"/>
            <w:bottom w:val="none" w:sz="0" w:space="0" w:color="auto"/>
            <w:right w:val="none" w:sz="0" w:space="0" w:color="auto"/>
          </w:divBdr>
        </w:div>
        <w:div w:id="245460405">
          <w:marLeft w:val="0"/>
          <w:marRight w:val="0"/>
          <w:marTop w:val="0"/>
          <w:marBottom w:val="0"/>
          <w:divBdr>
            <w:top w:val="none" w:sz="0" w:space="0" w:color="auto"/>
            <w:left w:val="none" w:sz="0" w:space="0" w:color="auto"/>
            <w:bottom w:val="none" w:sz="0" w:space="0" w:color="auto"/>
            <w:right w:val="none" w:sz="0" w:space="0" w:color="auto"/>
          </w:divBdr>
        </w:div>
        <w:div w:id="1502313538">
          <w:marLeft w:val="0"/>
          <w:marRight w:val="0"/>
          <w:marTop w:val="0"/>
          <w:marBottom w:val="0"/>
          <w:divBdr>
            <w:top w:val="none" w:sz="0" w:space="0" w:color="auto"/>
            <w:left w:val="none" w:sz="0" w:space="0" w:color="auto"/>
            <w:bottom w:val="none" w:sz="0" w:space="0" w:color="auto"/>
            <w:right w:val="none" w:sz="0" w:space="0" w:color="auto"/>
          </w:divBdr>
        </w:div>
        <w:div w:id="503086893">
          <w:marLeft w:val="0"/>
          <w:marRight w:val="0"/>
          <w:marTop w:val="0"/>
          <w:marBottom w:val="0"/>
          <w:divBdr>
            <w:top w:val="none" w:sz="0" w:space="0" w:color="auto"/>
            <w:left w:val="none" w:sz="0" w:space="0" w:color="auto"/>
            <w:bottom w:val="none" w:sz="0" w:space="0" w:color="auto"/>
            <w:right w:val="none" w:sz="0" w:space="0" w:color="auto"/>
          </w:divBdr>
        </w:div>
        <w:div w:id="533151796">
          <w:marLeft w:val="0"/>
          <w:marRight w:val="0"/>
          <w:marTop w:val="0"/>
          <w:marBottom w:val="0"/>
          <w:divBdr>
            <w:top w:val="none" w:sz="0" w:space="0" w:color="auto"/>
            <w:left w:val="none" w:sz="0" w:space="0" w:color="auto"/>
            <w:bottom w:val="none" w:sz="0" w:space="0" w:color="auto"/>
            <w:right w:val="none" w:sz="0" w:space="0" w:color="auto"/>
          </w:divBdr>
        </w:div>
        <w:div w:id="434057895">
          <w:marLeft w:val="0"/>
          <w:marRight w:val="0"/>
          <w:marTop w:val="0"/>
          <w:marBottom w:val="0"/>
          <w:divBdr>
            <w:top w:val="none" w:sz="0" w:space="0" w:color="auto"/>
            <w:left w:val="none" w:sz="0" w:space="0" w:color="auto"/>
            <w:bottom w:val="none" w:sz="0" w:space="0" w:color="auto"/>
            <w:right w:val="none" w:sz="0" w:space="0" w:color="auto"/>
          </w:divBdr>
        </w:div>
        <w:div w:id="949896287">
          <w:marLeft w:val="0"/>
          <w:marRight w:val="0"/>
          <w:marTop w:val="0"/>
          <w:marBottom w:val="0"/>
          <w:divBdr>
            <w:top w:val="none" w:sz="0" w:space="0" w:color="auto"/>
            <w:left w:val="none" w:sz="0" w:space="0" w:color="auto"/>
            <w:bottom w:val="none" w:sz="0" w:space="0" w:color="auto"/>
            <w:right w:val="none" w:sz="0" w:space="0" w:color="auto"/>
          </w:divBdr>
        </w:div>
        <w:div w:id="508526269">
          <w:marLeft w:val="0"/>
          <w:marRight w:val="0"/>
          <w:marTop w:val="0"/>
          <w:marBottom w:val="0"/>
          <w:divBdr>
            <w:top w:val="none" w:sz="0" w:space="0" w:color="auto"/>
            <w:left w:val="none" w:sz="0" w:space="0" w:color="auto"/>
            <w:bottom w:val="none" w:sz="0" w:space="0" w:color="auto"/>
            <w:right w:val="none" w:sz="0" w:space="0" w:color="auto"/>
          </w:divBdr>
        </w:div>
        <w:div w:id="1467430217">
          <w:marLeft w:val="0"/>
          <w:marRight w:val="0"/>
          <w:marTop w:val="0"/>
          <w:marBottom w:val="0"/>
          <w:divBdr>
            <w:top w:val="none" w:sz="0" w:space="0" w:color="auto"/>
            <w:left w:val="none" w:sz="0" w:space="0" w:color="auto"/>
            <w:bottom w:val="none" w:sz="0" w:space="0" w:color="auto"/>
            <w:right w:val="none" w:sz="0" w:space="0" w:color="auto"/>
          </w:divBdr>
        </w:div>
        <w:div w:id="1003357505">
          <w:marLeft w:val="0"/>
          <w:marRight w:val="0"/>
          <w:marTop w:val="0"/>
          <w:marBottom w:val="0"/>
          <w:divBdr>
            <w:top w:val="none" w:sz="0" w:space="0" w:color="auto"/>
            <w:left w:val="none" w:sz="0" w:space="0" w:color="auto"/>
            <w:bottom w:val="none" w:sz="0" w:space="0" w:color="auto"/>
            <w:right w:val="none" w:sz="0" w:space="0" w:color="auto"/>
          </w:divBdr>
        </w:div>
        <w:div w:id="656157205">
          <w:marLeft w:val="0"/>
          <w:marRight w:val="0"/>
          <w:marTop w:val="0"/>
          <w:marBottom w:val="0"/>
          <w:divBdr>
            <w:top w:val="none" w:sz="0" w:space="0" w:color="auto"/>
            <w:left w:val="none" w:sz="0" w:space="0" w:color="auto"/>
            <w:bottom w:val="none" w:sz="0" w:space="0" w:color="auto"/>
            <w:right w:val="none" w:sz="0" w:space="0" w:color="auto"/>
          </w:divBdr>
        </w:div>
        <w:div w:id="1899973257">
          <w:marLeft w:val="0"/>
          <w:marRight w:val="0"/>
          <w:marTop w:val="0"/>
          <w:marBottom w:val="0"/>
          <w:divBdr>
            <w:top w:val="none" w:sz="0" w:space="0" w:color="auto"/>
            <w:left w:val="none" w:sz="0" w:space="0" w:color="auto"/>
            <w:bottom w:val="none" w:sz="0" w:space="0" w:color="auto"/>
            <w:right w:val="none" w:sz="0" w:space="0" w:color="auto"/>
          </w:divBdr>
        </w:div>
        <w:div w:id="1986008935">
          <w:marLeft w:val="0"/>
          <w:marRight w:val="0"/>
          <w:marTop w:val="0"/>
          <w:marBottom w:val="0"/>
          <w:divBdr>
            <w:top w:val="none" w:sz="0" w:space="0" w:color="auto"/>
            <w:left w:val="none" w:sz="0" w:space="0" w:color="auto"/>
            <w:bottom w:val="none" w:sz="0" w:space="0" w:color="auto"/>
            <w:right w:val="none" w:sz="0" w:space="0" w:color="auto"/>
          </w:divBdr>
        </w:div>
        <w:div w:id="1327588850">
          <w:marLeft w:val="0"/>
          <w:marRight w:val="0"/>
          <w:marTop w:val="0"/>
          <w:marBottom w:val="0"/>
          <w:divBdr>
            <w:top w:val="none" w:sz="0" w:space="0" w:color="auto"/>
            <w:left w:val="none" w:sz="0" w:space="0" w:color="auto"/>
            <w:bottom w:val="none" w:sz="0" w:space="0" w:color="auto"/>
            <w:right w:val="none" w:sz="0" w:space="0" w:color="auto"/>
          </w:divBdr>
        </w:div>
        <w:div w:id="508913037">
          <w:marLeft w:val="0"/>
          <w:marRight w:val="0"/>
          <w:marTop w:val="0"/>
          <w:marBottom w:val="0"/>
          <w:divBdr>
            <w:top w:val="none" w:sz="0" w:space="0" w:color="auto"/>
            <w:left w:val="none" w:sz="0" w:space="0" w:color="auto"/>
            <w:bottom w:val="none" w:sz="0" w:space="0" w:color="auto"/>
            <w:right w:val="none" w:sz="0" w:space="0" w:color="auto"/>
          </w:divBdr>
        </w:div>
        <w:div w:id="1749301226">
          <w:marLeft w:val="0"/>
          <w:marRight w:val="0"/>
          <w:marTop w:val="0"/>
          <w:marBottom w:val="0"/>
          <w:divBdr>
            <w:top w:val="none" w:sz="0" w:space="0" w:color="auto"/>
            <w:left w:val="none" w:sz="0" w:space="0" w:color="auto"/>
            <w:bottom w:val="none" w:sz="0" w:space="0" w:color="auto"/>
            <w:right w:val="none" w:sz="0" w:space="0" w:color="auto"/>
          </w:divBdr>
        </w:div>
        <w:div w:id="469909931">
          <w:marLeft w:val="0"/>
          <w:marRight w:val="0"/>
          <w:marTop w:val="0"/>
          <w:marBottom w:val="0"/>
          <w:divBdr>
            <w:top w:val="none" w:sz="0" w:space="0" w:color="auto"/>
            <w:left w:val="none" w:sz="0" w:space="0" w:color="auto"/>
            <w:bottom w:val="none" w:sz="0" w:space="0" w:color="auto"/>
            <w:right w:val="none" w:sz="0" w:space="0" w:color="auto"/>
          </w:divBdr>
        </w:div>
        <w:div w:id="1568681861">
          <w:marLeft w:val="0"/>
          <w:marRight w:val="0"/>
          <w:marTop w:val="0"/>
          <w:marBottom w:val="0"/>
          <w:divBdr>
            <w:top w:val="none" w:sz="0" w:space="0" w:color="auto"/>
            <w:left w:val="none" w:sz="0" w:space="0" w:color="auto"/>
            <w:bottom w:val="none" w:sz="0" w:space="0" w:color="auto"/>
            <w:right w:val="none" w:sz="0" w:space="0" w:color="auto"/>
          </w:divBdr>
        </w:div>
        <w:div w:id="187568919">
          <w:marLeft w:val="0"/>
          <w:marRight w:val="0"/>
          <w:marTop w:val="0"/>
          <w:marBottom w:val="0"/>
          <w:divBdr>
            <w:top w:val="none" w:sz="0" w:space="0" w:color="auto"/>
            <w:left w:val="none" w:sz="0" w:space="0" w:color="auto"/>
            <w:bottom w:val="none" w:sz="0" w:space="0" w:color="auto"/>
            <w:right w:val="none" w:sz="0" w:space="0" w:color="auto"/>
          </w:divBdr>
        </w:div>
        <w:div w:id="1520242754">
          <w:marLeft w:val="0"/>
          <w:marRight w:val="0"/>
          <w:marTop w:val="0"/>
          <w:marBottom w:val="0"/>
          <w:divBdr>
            <w:top w:val="none" w:sz="0" w:space="0" w:color="auto"/>
            <w:left w:val="none" w:sz="0" w:space="0" w:color="auto"/>
            <w:bottom w:val="none" w:sz="0" w:space="0" w:color="auto"/>
            <w:right w:val="none" w:sz="0" w:space="0" w:color="auto"/>
          </w:divBdr>
        </w:div>
        <w:div w:id="1102409478">
          <w:marLeft w:val="0"/>
          <w:marRight w:val="0"/>
          <w:marTop w:val="0"/>
          <w:marBottom w:val="0"/>
          <w:divBdr>
            <w:top w:val="none" w:sz="0" w:space="0" w:color="auto"/>
            <w:left w:val="none" w:sz="0" w:space="0" w:color="auto"/>
            <w:bottom w:val="none" w:sz="0" w:space="0" w:color="auto"/>
            <w:right w:val="none" w:sz="0" w:space="0" w:color="auto"/>
          </w:divBdr>
        </w:div>
        <w:div w:id="1388870137">
          <w:marLeft w:val="0"/>
          <w:marRight w:val="0"/>
          <w:marTop w:val="0"/>
          <w:marBottom w:val="0"/>
          <w:divBdr>
            <w:top w:val="none" w:sz="0" w:space="0" w:color="auto"/>
            <w:left w:val="none" w:sz="0" w:space="0" w:color="auto"/>
            <w:bottom w:val="none" w:sz="0" w:space="0" w:color="auto"/>
            <w:right w:val="none" w:sz="0" w:space="0" w:color="auto"/>
          </w:divBdr>
        </w:div>
        <w:div w:id="1738624135">
          <w:marLeft w:val="0"/>
          <w:marRight w:val="0"/>
          <w:marTop w:val="0"/>
          <w:marBottom w:val="0"/>
          <w:divBdr>
            <w:top w:val="none" w:sz="0" w:space="0" w:color="auto"/>
            <w:left w:val="none" w:sz="0" w:space="0" w:color="auto"/>
            <w:bottom w:val="none" w:sz="0" w:space="0" w:color="auto"/>
            <w:right w:val="none" w:sz="0" w:space="0" w:color="auto"/>
          </w:divBdr>
        </w:div>
        <w:div w:id="1939755567">
          <w:marLeft w:val="0"/>
          <w:marRight w:val="0"/>
          <w:marTop w:val="0"/>
          <w:marBottom w:val="0"/>
          <w:divBdr>
            <w:top w:val="none" w:sz="0" w:space="0" w:color="auto"/>
            <w:left w:val="none" w:sz="0" w:space="0" w:color="auto"/>
            <w:bottom w:val="none" w:sz="0" w:space="0" w:color="auto"/>
            <w:right w:val="none" w:sz="0" w:space="0" w:color="auto"/>
          </w:divBdr>
        </w:div>
        <w:div w:id="117996691">
          <w:marLeft w:val="0"/>
          <w:marRight w:val="0"/>
          <w:marTop w:val="0"/>
          <w:marBottom w:val="0"/>
          <w:divBdr>
            <w:top w:val="none" w:sz="0" w:space="0" w:color="auto"/>
            <w:left w:val="none" w:sz="0" w:space="0" w:color="auto"/>
            <w:bottom w:val="none" w:sz="0" w:space="0" w:color="auto"/>
            <w:right w:val="none" w:sz="0" w:space="0" w:color="auto"/>
          </w:divBdr>
        </w:div>
        <w:div w:id="1116414336">
          <w:marLeft w:val="0"/>
          <w:marRight w:val="0"/>
          <w:marTop w:val="0"/>
          <w:marBottom w:val="0"/>
          <w:divBdr>
            <w:top w:val="none" w:sz="0" w:space="0" w:color="auto"/>
            <w:left w:val="none" w:sz="0" w:space="0" w:color="auto"/>
            <w:bottom w:val="none" w:sz="0" w:space="0" w:color="auto"/>
            <w:right w:val="none" w:sz="0" w:space="0" w:color="auto"/>
          </w:divBdr>
        </w:div>
        <w:div w:id="1056123376">
          <w:marLeft w:val="0"/>
          <w:marRight w:val="0"/>
          <w:marTop w:val="0"/>
          <w:marBottom w:val="0"/>
          <w:divBdr>
            <w:top w:val="none" w:sz="0" w:space="0" w:color="auto"/>
            <w:left w:val="none" w:sz="0" w:space="0" w:color="auto"/>
            <w:bottom w:val="none" w:sz="0" w:space="0" w:color="auto"/>
            <w:right w:val="none" w:sz="0" w:space="0" w:color="auto"/>
          </w:divBdr>
        </w:div>
        <w:div w:id="1773698049">
          <w:marLeft w:val="0"/>
          <w:marRight w:val="0"/>
          <w:marTop w:val="0"/>
          <w:marBottom w:val="0"/>
          <w:divBdr>
            <w:top w:val="none" w:sz="0" w:space="0" w:color="auto"/>
            <w:left w:val="none" w:sz="0" w:space="0" w:color="auto"/>
            <w:bottom w:val="none" w:sz="0" w:space="0" w:color="auto"/>
            <w:right w:val="none" w:sz="0" w:space="0" w:color="auto"/>
          </w:divBdr>
        </w:div>
        <w:div w:id="1818763361">
          <w:marLeft w:val="0"/>
          <w:marRight w:val="0"/>
          <w:marTop w:val="0"/>
          <w:marBottom w:val="0"/>
          <w:divBdr>
            <w:top w:val="none" w:sz="0" w:space="0" w:color="auto"/>
            <w:left w:val="none" w:sz="0" w:space="0" w:color="auto"/>
            <w:bottom w:val="none" w:sz="0" w:space="0" w:color="auto"/>
            <w:right w:val="none" w:sz="0" w:space="0" w:color="auto"/>
          </w:divBdr>
        </w:div>
        <w:div w:id="741870877">
          <w:marLeft w:val="0"/>
          <w:marRight w:val="0"/>
          <w:marTop w:val="0"/>
          <w:marBottom w:val="0"/>
          <w:divBdr>
            <w:top w:val="none" w:sz="0" w:space="0" w:color="auto"/>
            <w:left w:val="none" w:sz="0" w:space="0" w:color="auto"/>
            <w:bottom w:val="none" w:sz="0" w:space="0" w:color="auto"/>
            <w:right w:val="none" w:sz="0" w:space="0" w:color="auto"/>
          </w:divBdr>
        </w:div>
        <w:div w:id="682900235">
          <w:marLeft w:val="0"/>
          <w:marRight w:val="0"/>
          <w:marTop w:val="0"/>
          <w:marBottom w:val="0"/>
          <w:divBdr>
            <w:top w:val="none" w:sz="0" w:space="0" w:color="auto"/>
            <w:left w:val="none" w:sz="0" w:space="0" w:color="auto"/>
            <w:bottom w:val="none" w:sz="0" w:space="0" w:color="auto"/>
            <w:right w:val="none" w:sz="0" w:space="0" w:color="auto"/>
          </w:divBdr>
        </w:div>
        <w:div w:id="886796345">
          <w:marLeft w:val="0"/>
          <w:marRight w:val="0"/>
          <w:marTop w:val="0"/>
          <w:marBottom w:val="0"/>
          <w:divBdr>
            <w:top w:val="none" w:sz="0" w:space="0" w:color="auto"/>
            <w:left w:val="none" w:sz="0" w:space="0" w:color="auto"/>
            <w:bottom w:val="none" w:sz="0" w:space="0" w:color="auto"/>
            <w:right w:val="none" w:sz="0" w:space="0" w:color="auto"/>
          </w:divBdr>
        </w:div>
        <w:div w:id="1754274390">
          <w:marLeft w:val="0"/>
          <w:marRight w:val="0"/>
          <w:marTop w:val="0"/>
          <w:marBottom w:val="0"/>
          <w:divBdr>
            <w:top w:val="none" w:sz="0" w:space="0" w:color="auto"/>
            <w:left w:val="none" w:sz="0" w:space="0" w:color="auto"/>
            <w:bottom w:val="none" w:sz="0" w:space="0" w:color="auto"/>
            <w:right w:val="none" w:sz="0" w:space="0" w:color="auto"/>
          </w:divBdr>
        </w:div>
        <w:div w:id="1786268181">
          <w:marLeft w:val="0"/>
          <w:marRight w:val="0"/>
          <w:marTop w:val="0"/>
          <w:marBottom w:val="0"/>
          <w:divBdr>
            <w:top w:val="none" w:sz="0" w:space="0" w:color="auto"/>
            <w:left w:val="none" w:sz="0" w:space="0" w:color="auto"/>
            <w:bottom w:val="none" w:sz="0" w:space="0" w:color="auto"/>
            <w:right w:val="none" w:sz="0" w:space="0" w:color="auto"/>
          </w:divBdr>
        </w:div>
        <w:div w:id="403338498">
          <w:marLeft w:val="0"/>
          <w:marRight w:val="0"/>
          <w:marTop w:val="0"/>
          <w:marBottom w:val="0"/>
          <w:divBdr>
            <w:top w:val="none" w:sz="0" w:space="0" w:color="auto"/>
            <w:left w:val="none" w:sz="0" w:space="0" w:color="auto"/>
            <w:bottom w:val="none" w:sz="0" w:space="0" w:color="auto"/>
            <w:right w:val="none" w:sz="0" w:space="0" w:color="auto"/>
          </w:divBdr>
        </w:div>
        <w:div w:id="1953975920">
          <w:marLeft w:val="0"/>
          <w:marRight w:val="0"/>
          <w:marTop w:val="0"/>
          <w:marBottom w:val="0"/>
          <w:divBdr>
            <w:top w:val="none" w:sz="0" w:space="0" w:color="auto"/>
            <w:left w:val="none" w:sz="0" w:space="0" w:color="auto"/>
            <w:bottom w:val="none" w:sz="0" w:space="0" w:color="auto"/>
            <w:right w:val="none" w:sz="0" w:space="0" w:color="auto"/>
          </w:divBdr>
        </w:div>
        <w:div w:id="1093090500">
          <w:marLeft w:val="0"/>
          <w:marRight w:val="0"/>
          <w:marTop w:val="0"/>
          <w:marBottom w:val="0"/>
          <w:divBdr>
            <w:top w:val="none" w:sz="0" w:space="0" w:color="auto"/>
            <w:left w:val="none" w:sz="0" w:space="0" w:color="auto"/>
            <w:bottom w:val="none" w:sz="0" w:space="0" w:color="auto"/>
            <w:right w:val="none" w:sz="0" w:space="0" w:color="auto"/>
          </w:divBdr>
        </w:div>
        <w:div w:id="966005557">
          <w:marLeft w:val="0"/>
          <w:marRight w:val="0"/>
          <w:marTop w:val="0"/>
          <w:marBottom w:val="0"/>
          <w:divBdr>
            <w:top w:val="none" w:sz="0" w:space="0" w:color="auto"/>
            <w:left w:val="none" w:sz="0" w:space="0" w:color="auto"/>
            <w:bottom w:val="none" w:sz="0" w:space="0" w:color="auto"/>
            <w:right w:val="none" w:sz="0" w:space="0" w:color="auto"/>
          </w:divBdr>
        </w:div>
        <w:div w:id="1455245167">
          <w:marLeft w:val="0"/>
          <w:marRight w:val="0"/>
          <w:marTop w:val="0"/>
          <w:marBottom w:val="0"/>
          <w:divBdr>
            <w:top w:val="none" w:sz="0" w:space="0" w:color="auto"/>
            <w:left w:val="none" w:sz="0" w:space="0" w:color="auto"/>
            <w:bottom w:val="none" w:sz="0" w:space="0" w:color="auto"/>
            <w:right w:val="none" w:sz="0" w:space="0" w:color="auto"/>
          </w:divBdr>
        </w:div>
        <w:div w:id="185170975">
          <w:marLeft w:val="0"/>
          <w:marRight w:val="0"/>
          <w:marTop w:val="0"/>
          <w:marBottom w:val="0"/>
          <w:divBdr>
            <w:top w:val="none" w:sz="0" w:space="0" w:color="auto"/>
            <w:left w:val="none" w:sz="0" w:space="0" w:color="auto"/>
            <w:bottom w:val="none" w:sz="0" w:space="0" w:color="auto"/>
            <w:right w:val="none" w:sz="0" w:space="0" w:color="auto"/>
          </w:divBdr>
        </w:div>
        <w:div w:id="1321538009">
          <w:marLeft w:val="0"/>
          <w:marRight w:val="0"/>
          <w:marTop w:val="0"/>
          <w:marBottom w:val="0"/>
          <w:divBdr>
            <w:top w:val="none" w:sz="0" w:space="0" w:color="auto"/>
            <w:left w:val="none" w:sz="0" w:space="0" w:color="auto"/>
            <w:bottom w:val="none" w:sz="0" w:space="0" w:color="auto"/>
            <w:right w:val="none" w:sz="0" w:space="0" w:color="auto"/>
          </w:divBdr>
        </w:div>
        <w:div w:id="1120606685">
          <w:marLeft w:val="0"/>
          <w:marRight w:val="0"/>
          <w:marTop w:val="0"/>
          <w:marBottom w:val="0"/>
          <w:divBdr>
            <w:top w:val="none" w:sz="0" w:space="0" w:color="auto"/>
            <w:left w:val="none" w:sz="0" w:space="0" w:color="auto"/>
            <w:bottom w:val="none" w:sz="0" w:space="0" w:color="auto"/>
            <w:right w:val="none" w:sz="0" w:space="0" w:color="auto"/>
          </w:divBdr>
        </w:div>
        <w:div w:id="1221557743">
          <w:marLeft w:val="0"/>
          <w:marRight w:val="0"/>
          <w:marTop w:val="0"/>
          <w:marBottom w:val="0"/>
          <w:divBdr>
            <w:top w:val="none" w:sz="0" w:space="0" w:color="auto"/>
            <w:left w:val="none" w:sz="0" w:space="0" w:color="auto"/>
            <w:bottom w:val="none" w:sz="0" w:space="0" w:color="auto"/>
            <w:right w:val="none" w:sz="0" w:space="0" w:color="auto"/>
          </w:divBdr>
        </w:div>
        <w:div w:id="1652951254">
          <w:marLeft w:val="0"/>
          <w:marRight w:val="0"/>
          <w:marTop w:val="0"/>
          <w:marBottom w:val="0"/>
          <w:divBdr>
            <w:top w:val="none" w:sz="0" w:space="0" w:color="auto"/>
            <w:left w:val="none" w:sz="0" w:space="0" w:color="auto"/>
            <w:bottom w:val="none" w:sz="0" w:space="0" w:color="auto"/>
            <w:right w:val="none" w:sz="0" w:space="0" w:color="auto"/>
          </w:divBdr>
        </w:div>
        <w:div w:id="201871958">
          <w:marLeft w:val="0"/>
          <w:marRight w:val="0"/>
          <w:marTop w:val="0"/>
          <w:marBottom w:val="0"/>
          <w:divBdr>
            <w:top w:val="none" w:sz="0" w:space="0" w:color="auto"/>
            <w:left w:val="none" w:sz="0" w:space="0" w:color="auto"/>
            <w:bottom w:val="none" w:sz="0" w:space="0" w:color="auto"/>
            <w:right w:val="none" w:sz="0" w:space="0" w:color="auto"/>
          </w:divBdr>
        </w:div>
        <w:div w:id="1424371910">
          <w:marLeft w:val="0"/>
          <w:marRight w:val="0"/>
          <w:marTop w:val="0"/>
          <w:marBottom w:val="0"/>
          <w:divBdr>
            <w:top w:val="none" w:sz="0" w:space="0" w:color="auto"/>
            <w:left w:val="none" w:sz="0" w:space="0" w:color="auto"/>
            <w:bottom w:val="none" w:sz="0" w:space="0" w:color="auto"/>
            <w:right w:val="none" w:sz="0" w:space="0" w:color="auto"/>
          </w:divBdr>
        </w:div>
        <w:div w:id="615871710">
          <w:marLeft w:val="0"/>
          <w:marRight w:val="0"/>
          <w:marTop w:val="0"/>
          <w:marBottom w:val="0"/>
          <w:divBdr>
            <w:top w:val="none" w:sz="0" w:space="0" w:color="auto"/>
            <w:left w:val="none" w:sz="0" w:space="0" w:color="auto"/>
            <w:bottom w:val="none" w:sz="0" w:space="0" w:color="auto"/>
            <w:right w:val="none" w:sz="0" w:space="0" w:color="auto"/>
          </w:divBdr>
        </w:div>
        <w:div w:id="532770972">
          <w:marLeft w:val="0"/>
          <w:marRight w:val="0"/>
          <w:marTop w:val="0"/>
          <w:marBottom w:val="0"/>
          <w:divBdr>
            <w:top w:val="none" w:sz="0" w:space="0" w:color="auto"/>
            <w:left w:val="none" w:sz="0" w:space="0" w:color="auto"/>
            <w:bottom w:val="none" w:sz="0" w:space="0" w:color="auto"/>
            <w:right w:val="none" w:sz="0" w:space="0" w:color="auto"/>
          </w:divBdr>
        </w:div>
        <w:div w:id="836381165">
          <w:marLeft w:val="0"/>
          <w:marRight w:val="0"/>
          <w:marTop w:val="0"/>
          <w:marBottom w:val="0"/>
          <w:divBdr>
            <w:top w:val="none" w:sz="0" w:space="0" w:color="auto"/>
            <w:left w:val="none" w:sz="0" w:space="0" w:color="auto"/>
            <w:bottom w:val="none" w:sz="0" w:space="0" w:color="auto"/>
            <w:right w:val="none" w:sz="0" w:space="0" w:color="auto"/>
          </w:divBdr>
        </w:div>
        <w:div w:id="1979871423">
          <w:marLeft w:val="0"/>
          <w:marRight w:val="0"/>
          <w:marTop w:val="0"/>
          <w:marBottom w:val="0"/>
          <w:divBdr>
            <w:top w:val="none" w:sz="0" w:space="0" w:color="auto"/>
            <w:left w:val="none" w:sz="0" w:space="0" w:color="auto"/>
            <w:bottom w:val="none" w:sz="0" w:space="0" w:color="auto"/>
            <w:right w:val="none" w:sz="0" w:space="0" w:color="auto"/>
          </w:divBdr>
        </w:div>
        <w:div w:id="2048024891">
          <w:marLeft w:val="0"/>
          <w:marRight w:val="0"/>
          <w:marTop w:val="0"/>
          <w:marBottom w:val="0"/>
          <w:divBdr>
            <w:top w:val="none" w:sz="0" w:space="0" w:color="auto"/>
            <w:left w:val="none" w:sz="0" w:space="0" w:color="auto"/>
            <w:bottom w:val="none" w:sz="0" w:space="0" w:color="auto"/>
            <w:right w:val="none" w:sz="0" w:space="0" w:color="auto"/>
          </w:divBdr>
        </w:div>
        <w:div w:id="1103379038">
          <w:marLeft w:val="0"/>
          <w:marRight w:val="0"/>
          <w:marTop w:val="0"/>
          <w:marBottom w:val="0"/>
          <w:divBdr>
            <w:top w:val="none" w:sz="0" w:space="0" w:color="auto"/>
            <w:left w:val="none" w:sz="0" w:space="0" w:color="auto"/>
            <w:bottom w:val="none" w:sz="0" w:space="0" w:color="auto"/>
            <w:right w:val="none" w:sz="0" w:space="0" w:color="auto"/>
          </w:divBdr>
        </w:div>
        <w:div w:id="886069051">
          <w:marLeft w:val="0"/>
          <w:marRight w:val="0"/>
          <w:marTop w:val="0"/>
          <w:marBottom w:val="0"/>
          <w:divBdr>
            <w:top w:val="none" w:sz="0" w:space="0" w:color="auto"/>
            <w:left w:val="none" w:sz="0" w:space="0" w:color="auto"/>
            <w:bottom w:val="none" w:sz="0" w:space="0" w:color="auto"/>
            <w:right w:val="none" w:sz="0" w:space="0" w:color="auto"/>
          </w:divBdr>
        </w:div>
        <w:div w:id="513350329">
          <w:marLeft w:val="0"/>
          <w:marRight w:val="0"/>
          <w:marTop w:val="0"/>
          <w:marBottom w:val="0"/>
          <w:divBdr>
            <w:top w:val="none" w:sz="0" w:space="0" w:color="auto"/>
            <w:left w:val="none" w:sz="0" w:space="0" w:color="auto"/>
            <w:bottom w:val="none" w:sz="0" w:space="0" w:color="auto"/>
            <w:right w:val="none" w:sz="0" w:space="0" w:color="auto"/>
          </w:divBdr>
        </w:div>
        <w:div w:id="1045985462">
          <w:marLeft w:val="0"/>
          <w:marRight w:val="0"/>
          <w:marTop w:val="0"/>
          <w:marBottom w:val="0"/>
          <w:divBdr>
            <w:top w:val="none" w:sz="0" w:space="0" w:color="auto"/>
            <w:left w:val="none" w:sz="0" w:space="0" w:color="auto"/>
            <w:bottom w:val="none" w:sz="0" w:space="0" w:color="auto"/>
            <w:right w:val="none" w:sz="0" w:space="0" w:color="auto"/>
          </w:divBdr>
        </w:div>
        <w:div w:id="9992180">
          <w:marLeft w:val="0"/>
          <w:marRight w:val="0"/>
          <w:marTop w:val="0"/>
          <w:marBottom w:val="0"/>
          <w:divBdr>
            <w:top w:val="none" w:sz="0" w:space="0" w:color="auto"/>
            <w:left w:val="none" w:sz="0" w:space="0" w:color="auto"/>
            <w:bottom w:val="none" w:sz="0" w:space="0" w:color="auto"/>
            <w:right w:val="none" w:sz="0" w:space="0" w:color="auto"/>
          </w:divBdr>
        </w:div>
        <w:div w:id="71237943">
          <w:marLeft w:val="0"/>
          <w:marRight w:val="0"/>
          <w:marTop w:val="0"/>
          <w:marBottom w:val="0"/>
          <w:divBdr>
            <w:top w:val="none" w:sz="0" w:space="0" w:color="auto"/>
            <w:left w:val="none" w:sz="0" w:space="0" w:color="auto"/>
            <w:bottom w:val="none" w:sz="0" w:space="0" w:color="auto"/>
            <w:right w:val="none" w:sz="0" w:space="0" w:color="auto"/>
          </w:divBdr>
        </w:div>
        <w:div w:id="324019817">
          <w:marLeft w:val="0"/>
          <w:marRight w:val="0"/>
          <w:marTop w:val="0"/>
          <w:marBottom w:val="0"/>
          <w:divBdr>
            <w:top w:val="none" w:sz="0" w:space="0" w:color="auto"/>
            <w:left w:val="none" w:sz="0" w:space="0" w:color="auto"/>
            <w:bottom w:val="none" w:sz="0" w:space="0" w:color="auto"/>
            <w:right w:val="none" w:sz="0" w:space="0" w:color="auto"/>
          </w:divBdr>
        </w:div>
        <w:div w:id="216204459">
          <w:marLeft w:val="0"/>
          <w:marRight w:val="0"/>
          <w:marTop w:val="0"/>
          <w:marBottom w:val="0"/>
          <w:divBdr>
            <w:top w:val="none" w:sz="0" w:space="0" w:color="auto"/>
            <w:left w:val="none" w:sz="0" w:space="0" w:color="auto"/>
            <w:bottom w:val="none" w:sz="0" w:space="0" w:color="auto"/>
            <w:right w:val="none" w:sz="0" w:space="0" w:color="auto"/>
          </w:divBdr>
        </w:div>
        <w:div w:id="796214812">
          <w:marLeft w:val="0"/>
          <w:marRight w:val="0"/>
          <w:marTop w:val="0"/>
          <w:marBottom w:val="0"/>
          <w:divBdr>
            <w:top w:val="none" w:sz="0" w:space="0" w:color="auto"/>
            <w:left w:val="none" w:sz="0" w:space="0" w:color="auto"/>
            <w:bottom w:val="none" w:sz="0" w:space="0" w:color="auto"/>
            <w:right w:val="none" w:sz="0" w:space="0" w:color="auto"/>
          </w:divBdr>
        </w:div>
        <w:div w:id="1059784216">
          <w:marLeft w:val="0"/>
          <w:marRight w:val="0"/>
          <w:marTop w:val="0"/>
          <w:marBottom w:val="0"/>
          <w:divBdr>
            <w:top w:val="none" w:sz="0" w:space="0" w:color="auto"/>
            <w:left w:val="none" w:sz="0" w:space="0" w:color="auto"/>
            <w:bottom w:val="none" w:sz="0" w:space="0" w:color="auto"/>
            <w:right w:val="none" w:sz="0" w:space="0" w:color="auto"/>
          </w:divBdr>
        </w:div>
        <w:div w:id="1502626668">
          <w:marLeft w:val="0"/>
          <w:marRight w:val="0"/>
          <w:marTop w:val="0"/>
          <w:marBottom w:val="0"/>
          <w:divBdr>
            <w:top w:val="none" w:sz="0" w:space="0" w:color="auto"/>
            <w:left w:val="none" w:sz="0" w:space="0" w:color="auto"/>
            <w:bottom w:val="none" w:sz="0" w:space="0" w:color="auto"/>
            <w:right w:val="none" w:sz="0" w:space="0" w:color="auto"/>
          </w:divBdr>
        </w:div>
        <w:div w:id="617637768">
          <w:marLeft w:val="0"/>
          <w:marRight w:val="0"/>
          <w:marTop w:val="0"/>
          <w:marBottom w:val="0"/>
          <w:divBdr>
            <w:top w:val="none" w:sz="0" w:space="0" w:color="auto"/>
            <w:left w:val="none" w:sz="0" w:space="0" w:color="auto"/>
            <w:bottom w:val="none" w:sz="0" w:space="0" w:color="auto"/>
            <w:right w:val="none" w:sz="0" w:space="0" w:color="auto"/>
          </w:divBdr>
        </w:div>
        <w:div w:id="1869416260">
          <w:marLeft w:val="0"/>
          <w:marRight w:val="0"/>
          <w:marTop w:val="0"/>
          <w:marBottom w:val="0"/>
          <w:divBdr>
            <w:top w:val="none" w:sz="0" w:space="0" w:color="auto"/>
            <w:left w:val="none" w:sz="0" w:space="0" w:color="auto"/>
            <w:bottom w:val="none" w:sz="0" w:space="0" w:color="auto"/>
            <w:right w:val="none" w:sz="0" w:space="0" w:color="auto"/>
          </w:divBdr>
        </w:div>
        <w:div w:id="1481380130">
          <w:marLeft w:val="0"/>
          <w:marRight w:val="0"/>
          <w:marTop w:val="0"/>
          <w:marBottom w:val="0"/>
          <w:divBdr>
            <w:top w:val="none" w:sz="0" w:space="0" w:color="auto"/>
            <w:left w:val="none" w:sz="0" w:space="0" w:color="auto"/>
            <w:bottom w:val="none" w:sz="0" w:space="0" w:color="auto"/>
            <w:right w:val="none" w:sz="0" w:space="0" w:color="auto"/>
          </w:divBdr>
        </w:div>
        <w:div w:id="1394499150">
          <w:marLeft w:val="0"/>
          <w:marRight w:val="0"/>
          <w:marTop w:val="0"/>
          <w:marBottom w:val="0"/>
          <w:divBdr>
            <w:top w:val="none" w:sz="0" w:space="0" w:color="auto"/>
            <w:left w:val="none" w:sz="0" w:space="0" w:color="auto"/>
            <w:bottom w:val="none" w:sz="0" w:space="0" w:color="auto"/>
            <w:right w:val="none" w:sz="0" w:space="0" w:color="auto"/>
          </w:divBdr>
        </w:div>
        <w:div w:id="2000159270">
          <w:marLeft w:val="0"/>
          <w:marRight w:val="0"/>
          <w:marTop w:val="0"/>
          <w:marBottom w:val="0"/>
          <w:divBdr>
            <w:top w:val="none" w:sz="0" w:space="0" w:color="auto"/>
            <w:left w:val="none" w:sz="0" w:space="0" w:color="auto"/>
            <w:bottom w:val="none" w:sz="0" w:space="0" w:color="auto"/>
            <w:right w:val="none" w:sz="0" w:space="0" w:color="auto"/>
          </w:divBdr>
        </w:div>
        <w:div w:id="97995162">
          <w:marLeft w:val="0"/>
          <w:marRight w:val="0"/>
          <w:marTop w:val="0"/>
          <w:marBottom w:val="0"/>
          <w:divBdr>
            <w:top w:val="none" w:sz="0" w:space="0" w:color="auto"/>
            <w:left w:val="none" w:sz="0" w:space="0" w:color="auto"/>
            <w:bottom w:val="none" w:sz="0" w:space="0" w:color="auto"/>
            <w:right w:val="none" w:sz="0" w:space="0" w:color="auto"/>
          </w:divBdr>
        </w:div>
        <w:div w:id="670908992">
          <w:marLeft w:val="0"/>
          <w:marRight w:val="0"/>
          <w:marTop w:val="0"/>
          <w:marBottom w:val="0"/>
          <w:divBdr>
            <w:top w:val="none" w:sz="0" w:space="0" w:color="auto"/>
            <w:left w:val="none" w:sz="0" w:space="0" w:color="auto"/>
            <w:bottom w:val="none" w:sz="0" w:space="0" w:color="auto"/>
            <w:right w:val="none" w:sz="0" w:space="0" w:color="auto"/>
          </w:divBdr>
        </w:div>
        <w:div w:id="1074737676">
          <w:marLeft w:val="0"/>
          <w:marRight w:val="0"/>
          <w:marTop w:val="0"/>
          <w:marBottom w:val="0"/>
          <w:divBdr>
            <w:top w:val="none" w:sz="0" w:space="0" w:color="auto"/>
            <w:left w:val="none" w:sz="0" w:space="0" w:color="auto"/>
            <w:bottom w:val="none" w:sz="0" w:space="0" w:color="auto"/>
            <w:right w:val="none" w:sz="0" w:space="0" w:color="auto"/>
          </w:divBdr>
        </w:div>
        <w:div w:id="352657003">
          <w:marLeft w:val="0"/>
          <w:marRight w:val="0"/>
          <w:marTop w:val="0"/>
          <w:marBottom w:val="0"/>
          <w:divBdr>
            <w:top w:val="none" w:sz="0" w:space="0" w:color="auto"/>
            <w:left w:val="none" w:sz="0" w:space="0" w:color="auto"/>
            <w:bottom w:val="none" w:sz="0" w:space="0" w:color="auto"/>
            <w:right w:val="none" w:sz="0" w:space="0" w:color="auto"/>
          </w:divBdr>
        </w:div>
        <w:div w:id="2065326930">
          <w:marLeft w:val="0"/>
          <w:marRight w:val="0"/>
          <w:marTop w:val="0"/>
          <w:marBottom w:val="0"/>
          <w:divBdr>
            <w:top w:val="none" w:sz="0" w:space="0" w:color="auto"/>
            <w:left w:val="none" w:sz="0" w:space="0" w:color="auto"/>
            <w:bottom w:val="none" w:sz="0" w:space="0" w:color="auto"/>
            <w:right w:val="none" w:sz="0" w:space="0" w:color="auto"/>
          </w:divBdr>
        </w:div>
        <w:div w:id="1432972504">
          <w:marLeft w:val="0"/>
          <w:marRight w:val="0"/>
          <w:marTop w:val="0"/>
          <w:marBottom w:val="0"/>
          <w:divBdr>
            <w:top w:val="none" w:sz="0" w:space="0" w:color="auto"/>
            <w:left w:val="none" w:sz="0" w:space="0" w:color="auto"/>
            <w:bottom w:val="none" w:sz="0" w:space="0" w:color="auto"/>
            <w:right w:val="none" w:sz="0" w:space="0" w:color="auto"/>
          </w:divBdr>
        </w:div>
        <w:div w:id="886572525">
          <w:marLeft w:val="0"/>
          <w:marRight w:val="0"/>
          <w:marTop w:val="0"/>
          <w:marBottom w:val="0"/>
          <w:divBdr>
            <w:top w:val="none" w:sz="0" w:space="0" w:color="auto"/>
            <w:left w:val="none" w:sz="0" w:space="0" w:color="auto"/>
            <w:bottom w:val="none" w:sz="0" w:space="0" w:color="auto"/>
            <w:right w:val="none" w:sz="0" w:space="0" w:color="auto"/>
          </w:divBdr>
        </w:div>
        <w:div w:id="1812283694">
          <w:marLeft w:val="0"/>
          <w:marRight w:val="0"/>
          <w:marTop w:val="0"/>
          <w:marBottom w:val="0"/>
          <w:divBdr>
            <w:top w:val="none" w:sz="0" w:space="0" w:color="auto"/>
            <w:left w:val="none" w:sz="0" w:space="0" w:color="auto"/>
            <w:bottom w:val="none" w:sz="0" w:space="0" w:color="auto"/>
            <w:right w:val="none" w:sz="0" w:space="0" w:color="auto"/>
          </w:divBdr>
        </w:div>
        <w:div w:id="296690532">
          <w:marLeft w:val="0"/>
          <w:marRight w:val="0"/>
          <w:marTop w:val="0"/>
          <w:marBottom w:val="0"/>
          <w:divBdr>
            <w:top w:val="none" w:sz="0" w:space="0" w:color="auto"/>
            <w:left w:val="none" w:sz="0" w:space="0" w:color="auto"/>
            <w:bottom w:val="none" w:sz="0" w:space="0" w:color="auto"/>
            <w:right w:val="none" w:sz="0" w:space="0" w:color="auto"/>
          </w:divBdr>
        </w:div>
        <w:div w:id="1486361794">
          <w:marLeft w:val="0"/>
          <w:marRight w:val="0"/>
          <w:marTop w:val="0"/>
          <w:marBottom w:val="0"/>
          <w:divBdr>
            <w:top w:val="none" w:sz="0" w:space="0" w:color="auto"/>
            <w:left w:val="none" w:sz="0" w:space="0" w:color="auto"/>
            <w:bottom w:val="none" w:sz="0" w:space="0" w:color="auto"/>
            <w:right w:val="none" w:sz="0" w:space="0" w:color="auto"/>
          </w:divBdr>
        </w:div>
        <w:div w:id="1585256926">
          <w:marLeft w:val="0"/>
          <w:marRight w:val="0"/>
          <w:marTop w:val="0"/>
          <w:marBottom w:val="0"/>
          <w:divBdr>
            <w:top w:val="none" w:sz="0" w:space="0" w:color="auto"/>
            <w:left w:val="none" w:sz="0" w:space="0" w:color="auto"/>
            <w:bottom w:val="none" w:sz="0" w:space="0" w:color="auto"/>
            <w:right w:val="none" w:sz="0" w:space="0" w:color="auto"/>
          </w:divBdr>
        </w:div>
        <w:div w:id="1662467445">
          <w:marLeft w:val="0"/>
          <w:marRight w:val="0"/>
          <w:marTop w:val="0"/>
          <w:marBottom w:val="0"/>
          <w:divBdr>
            <w:top w:val="none" w:sz="0" w:space="0" w:color="auto"/>
            <w:left w:val="none" w:sz="0" w:space="0" w:color="auto"/>
            <w:bottom w:val="none" w:sz="0" w:space="0" w:color="auto"/>
            <w:right w:val="none" w:sz="0" w:space="0" w:color="auto"/>
          </w:divBdr>
        </w:div>
        <w:div w:id="1498613409">
          <w:marLeft w:val="0"/>
          <w:marRight w:val="0"/>
          <w:marTop w:val="0"/>
          <w:marBottom w:val="0"/>
          <w:divBdr>
            <w:top w:val="none" w:sz="0" w:space="0" w:color="auto"/>
            <w:left w:val="none" w:sz="0" w:space="0" w:color="auto"/>
            <w:bottom w:val="none" w:sz="0" w:space="0" w:color="auto"/>
            <w:right w:val="none" w:sz="0" w:space="0" w:color="auto"/>
          </w:divBdr>
        </w:div>
        <w:div w:id="1677534973">
          <w:marLeft w:val="0"/>
          <w:marRight w:val="0"/>
          <w:marTop w:val="0"/>
          <w:marBottom w:val="0"/>
          <w:divBdr>
            <w:top w:val="none" w:sz="0" w:space="0" w:color="auto"/>
            <w:left w:val="none" w:sz="0" w:space="0" w:color="auto"/>
            <w:bottom w:val="none" w:sz="0" w:space="0" w:color="auto"/>
            <w:right w:val="none" w:sz="0" w:space="0" w:color="auto"/>
          </w:divBdr>
        </w:div>
        <w:div w:id="951933934">
          <w:marLeft w:val="0"/>
          <w:marRight w:val="0"/>
          <w:marTop w:val="0"/>
          <w:marBottom w:val="0"/>
          <w:divBdr>
            <w:top w:val="none" w:sz="0" w:space="0" w:color="auto"/>
            <w:left w:val="none" w:sz="0" w:space="0" w:color="auto"/>
            <w:bottom w:val="none" w:sz="0" w:space="0" w:color="auto"/>
            <w:right w:val="none" w:sz="0" w:space="0" w:color="auto"/>
          </w:divBdr>
        </w:div>
        <w:div w:id="1398363378">
          <w:marLeft w:val="0"/>
          <w:marRight w:val="0"/>
          <w:marTop w:val="0"/>
          <w:marBottom w:val="0"/>
          <w:divBdr>
            <w:top w:val="none" w:sz="0" w:space="0" w:color="auto"/>
            <w:left w:val="none" w:sz="0" w:space="0" w:color="auto"/>
            <w:bottom w:val="none" w:sz="0" w:space="0" w:color="auto"/>
            <w:right w:val="none" w:sz="0" w:space="0" w:color="auto"/>
          </w:divBdr>
        </w:div>
        <w:div w:id="1489593960">
          <w:marLeft w:val="0"/>
          <w:marRight w:val="0"/>
          <w:marTop w:val="0"/>
          <w:marBottom w:val="0"/>
          <w:divBdr>
            <w:top w:val="none" w:sz="0" w:space="0" w:color="auto"/>
            <w:left w:val="none" w:sz="0" w:space="0" w:color="auto"/>
            <w:bottom w:val="none" w:sz="0" w:space="0" w:color="auto"/>
            <w:right w:val="none" w:sz="0" w:space="0" w:color="auto"/>
          </w:divBdr>
        </w:div>
        <w:div w:id="1345010746">
          <w:marLeft w:val="0"/>
          <w:marRight w:val="0"/>
          <w:marTop w:val="0"/>
          <w:marBottom w:val="0"/>
          <w:divBdr>
            <w:top w:val="none" w:sz="0" w:space="0" w:color="auto"/>
            <w:left w:val="none" w:sz="0" w:space="0" w:color="auto"/>
            <w:bottom w:val="none" w:sz="0" w:space="0" w:color="auto"/>
            <w:right w:val="none" w:sz="0" w:space="0" w:color="auto"/>
          </w:divBdr>
        </w:div>
        <w:div w:id="550111826">
          <w:marLeft w:val="0"/>
          <w:marRight w:val="0"/>
          <w:marTop w:val="0"/>
          <w:marBottom w:val="0"/>
          <w:divBdr>
            <w:top w:val="none" w:sz="0" w:space="0" w:color="auto"/>
            <w:left w:val="none" w:sz="0" w:space="0" w:color="auto"/>
            <w:bottom w:val="none" w:sz="0" w:space="0" w:color="auto"/>
            <w:right w:val="none" w:sz="0" w:space="0" w:color="auto"/>
          </w:divBdr>
        </w:div>
        <w:div w:id="72554108">
          <w:marLeft w:val="0"/>
          <w:marRight w:val="0"/>
          <w:marTop w:val="0"/>
          <w:marBottom w:val="0"/>
          <w:divBdr>
            <w:top w:val="none" w:sz="0" w:space="0" w:color="auto"/>
            <w:left w:val="none" w:sz="0" w:space="0" w:color="auto"/>
            <w:bottom w:val="none" w:sz="0" w:space="0" w:color="auto"/>
            <w:right w:val="none" w:sz="0" w:space="0" w:color="auto"/>
          </w:divBdr>
        </w:div>
        <w:div w:id="520122536">
          <w:marLeft w:val="0"/>
          <w:marRight w:val="0"/>
          <w:marTop w:val="0"/>
          <w:marBottom w:val="0"/>
          <w:divBdr>
            <w:top w:val="none" w:sz="0" w:space="0" w:color="auto"/>
            <w:left w:val="none" w:sz="0" w:space="0" w:color="auto"/>
            <w:bottom w:val="none" w:sz="0" w:space="0" w:color="auto"/>
            <w:right w:val="none" w:sz="0" w:space="0" w:color="auto"/>
          </w:divBdr>
        </w:div>
        <w:div w:id="2013101165">
          <w:marLeft w:val="0"/>
          <w:marRight w:val="0"/>
          <w:marTop w:val="0"/>
          <w:marBottom w:val="0"/>
          <w:divBdr>
            <w:top w:val="none" w:sz="0" w:space="0" w:color="auto"/>
            <w:left w:val="none" w:sz="0" w:space="0" w:color="auto"/>
            <w:bottom w:val="none" w:sz="0" w:space="0" w:color="auto"/>
            <w:right w:val="none" w:sz="0" w:space="0" w:color="auto"/>
          </w:divBdr>
        </w:div>
        <w:div w:id="147525825">
          <w:marLeft w:val="0"/>
          <w:marRight w:val="0"/>
          <w:marTop w:val="0"/>
          <w:marBottom w:val="0"/>
          <w:divBdr>
            <w:top w:val="none" w:sz="0" w:space="0" w:color="auto"/>
            <w:left w:val="none" w:sz="0" w:space="0" w:color="auto"/>
            <w:bottom w:val="none" w:sz="0" w:space="0" w:color="auto"/>
            <w:right w:val="none" w:sz="0" w:space="0" w:color="auto"/>
          </w:divBdr>
        </w:div>
        <w:div w:id="1440446359">
          <w:marLeft w:val="0"/>
          <w:marRight w:val="0"/>
          <w:marTop w:val="0"/>
          <w:marBottom w:val="0"/>
          <w:divBdr>
            <w:top w:val="none" w:sz="0" w:space="0" w:color="auto"/>
            <w:left w:val="none" w:sz="0" w:space="0" w:color="auto"/>
            <w:bottom w:val="none" w:sz="0" w:space="0" w:color="auto"/>
            <w:right w:val="none" w:sz="0" w:space="0" w:color="auto"/>
          </w:divBdr>
        </w:div>
        <w:div w:id="2031909748">
          <w:marLeft w:val="0"/>
          <w:marRight w:val="0"/>
          <w:marTop w:val="0"/>
          <w:marBottom w:val="0"/>
          <w:divBdr>
            <w:top w:val="none" w:sz="0" w:space="0" w:color="auto"/>
            <w:left w:val="none" w:sz="0" w:space="0" w:color="auto"/>
            <w:bottom w:val="none" w:sz="0" w:space="0" w:color="auto"/>
            <w:right w:val="none" w:sz="0" w:space="0" w:color="auto"/>
          </w:divBdr>
        </w:div>
        <w:div w:id="1032001179">
          <w:marLeft w:val="0"/>
          <w:marRight w:val="0"/>
          <w:marTop w:val="0"/>
          <w:marBottom w:val="0"/>
          <w:divBdr>
            <w:top w:val="none" w:sz="0" w:space="0" w:color="auto"/>
            <w:left w:val="none" w:sz="0" w:space="0" w:color="auto"/>
            <w:bottom w:val="none" w:sz="0" w:space="0" w:color="auto"/>
            <w:right w:val="none" w:sz="0" w:space="0" w:color="auto"/>
          </w:divBdr>
        </w:div>
        <w:div w:id="1299997600">
          <w:marLeft w:val="0"/>
          <w:marRight w:val="0"/>
          <w:marTop w:val="0"/>
          <w:marBottom w:val="0"/>
          <w:divBdr>
            <w:top w:val="none" w:sz="0" w:space="0" w:color="auto"/>
            <w:left w:val="none" w:sz="0" w:space="0" w:color="auto"/>
            <w:bottom w:val="none" w:sz="0" w:space="0" w:color="auto"/>
            <w:right w:val="none" w:sz="0" w:space="0" w:color="auto"/>
          </w:divBdr>
        </w:div>
        <w:div w:id="527065970">
          <w:marLeft w:val="0"/>
          <w:marRight w:val="0"/>
          <w:marTop w:val="0"/>
          <w:marBottom w:val="0"/>
          <w:divBdr>
            <w:top w:val="none" w:sz="0" w:space="0" w:color="auto"/>
            <w:left w:val="none" w:sz="0" w:space="0" w:color="auto"/>
            <w:bottom w:val="none" w:sz="0" w:space="0" w:color="auto"/>
            <w:right w:val="none" w:sz="0" w:space="0" w:color="auto"/>
          </w:divBdr>
        </w:div>
        <w:div w:id="592201317">
          <w:marLeft w:val="0"/>
          <w:marRight w:val="0"/>
          <w:marTop w:val="0"/>
          <w:marBottom w:val="0"/>
          <w:divBdr>
            <w:top w:val="none" w:sz="0" w:space="0" w:color="auto"/>
            <w:left w:val="none" w:sz="0" w:space="0" w:color="auto"/>
            <w:bottom w:val="none" w:sz="0" w:space="0" w:color="auto"/>
            <w:right w:val="none" w:sz="0" w:space="0" w:color="auto"/>
          </w:divBdr>
        </w:div>
        <w:div w:id="490634252">
          <w:marLeft w:val="0"/>
          <w:marRight w:val="0"/>
          <w:marTop w:val="0"/>
          <w:marBottom w:val="0"/>
          <w:divBdr>
            <w:top w:val="none" w:sz="0" w:space="0" w:color="auto"/>
            <w:left w:val="none" w:sz="0" w:space="0" w:color="auto"/>
            <w:bottom w:val="none" w:sz="0" w:space="0" w:color="auto"/>
            <w:right w:val="none" w:sz="0" w:space="0" w:color="auto"/>
          </w:divBdr>
        </w:div>
        <w:div w:id="288359830">
          <w:marLeft w:val="0"/>
          <w:marRight w:val="0"/>
          <w:marTop w:val="0"/>
          <w:marBottom w:val="0"/>
          <w:divBdr>
            <w:top w:val="none" w:sz="0" w:space="0" w:color="auto"/>
            <w:left w:val="none" w:sz="0" w:space="0" w:color="auto"/>
            <w:bottom w:val="none" w:sz="0" w:space="0" w:color="auto"/>
            <w:right w:val="none" w:sz="0" w:space="0" w:color="auto"/>
          </w:divBdr>
        </w:div>
        <w:div w:id="1354763036">
          <w:marLeft w:val="0"/>
          <w:marRight w:val="0"/>
          <w:marTop w:val="0"/>
          <w:marBottom w:val="0"/>
          <w:divBdr>
            <w:top w:val="none" w:sz="0" w:space="0" w:color="auto"/>
            <w:left w:val="none" w:sz="0" w:space="0" w:color="auto"/>
            <w:bottom w:val="none" w:sz="0" w:space="0" w:color="auto"/>
            <w:right w:val="none" w:sz="0" w:space="0" w:color="auto"/>
          </w:divBdr>
        </w:div>
        <w:div w:id="1202867147">
          <w:marLeft w:val="0"/>
          <w:marRight w:val="0"/>
          <w:marTop w:val="0"/>
          <w:marBottom w:val="0"/>
          <w:divBdr>
            <w:top w:val="none" w:sz="0" w:space="0" w:color="auto"/>
            <w:left w:val="none" w:sz="0" w:space="0" w:color="auto"/>
            <w:bottom w:val="none" w:sz="0" w:space="0" w:color="auto"/>
            <w:right w:val="none" w:sz="0" w:space="0" w:color="auto"/>
          </w:divBdr>
        </w:div>
        <w:div w:id="1395197033">
          <w:marLeft w:val="0"/>
          <w:marRight w:val="0"/>
          <w:marTop w:val="0"/>
          <w:marBottom w:val="0"/>
          <w:divBdr>
            <w:top w:val="none" w:sz="0" w:space="0" w:color="auto"/>
            <w:left w:val="none" w:sz="0" w:space="0" w:color="auto"/>
            <w:bottom w:val="none" w:sz="0" w:space="0" w:color="auto"/>
            <w:right w:val="none" w:sz="0" w:space="0" w:color="auto"/>
          </w:divBdr>
        </w:div>
        <w:div w:id="799684576">
          <w:marLeft w:val="0"/>
          <w:marRight w:val="0"/>
          <w:marTop w:val="0"/>
          <w:marBottom w:val="0"/>
          <w:divBdr>
            <w:top w:val="none" w:sz="0" w:space="0" w:color="auto"/>
            <w:left w:val="none" w:sz="0" w:space="0" w:color="auto"/>
            <w:bottom w:val="none" w:sz="0" w:space="0" w:color="auto"/>
            <w:right w:val="none" w:sz="0" w:space="0" w:color="auto"/>
          </w:divBdr>
        </w:div>
        <w:div w:id="712926080">
          <w:marLeft w:val="0"/>
          <w:marRight w:val="0"/>
          <w:marTop w:val="0"/>
          <w:marBottom w:val="0"/>
          <w:divBdr>
            <w:top w:val="none" w:sz="0" w:space="0" w:color="auto"/>
            <w:left w:val="none" w:sz="0" w:space="0" w:color="auto"/>
            <w:bottom w:val="none" w:sz="0" w:space="0" w:color="auto"/>
            <w:right w:val="none" w:sz="0" w:space="0" w:color="auto"/>
          </w:divBdr>
        </w:div>
        <w:div w:id="1199705737">
          <w:marLeft w:val="0"/>
          <w:marRight w:val="0"/>
          <w:marTop w:val="0"/>
          <w:marBottom w:val="0"/>
          <w:divBdr>
            <w:top w:val="none" w:sz="0" w:space="0" w:color="auto"/>
            <w:left w:val="none" w:sz="0" w:space="0" w:color="auto"/>
            <w:bottom w:val="none" w:sz="0" w:space="0" w:color="auto"/>
            <w:right w:val="none" w:sz="0" w:space="0" w:color="auto"/>
          </w:divBdr>
        </w:div>
        <w:div w:id="601886832">
          <w:marLeft w:val="0"/>
          <w:marRight w:val="0"/>
          <w:marTop w:val="0"/>
          <w:marBottom w:val="0"/>
          <w:divBdr>
            <w:top w:val="none" w:sz="0" w:space="0" w:color="auto"/>
            <w:left w:val="none" w:sz="0" w:space="0" w:color="auto"/>
            <w:bottom w:val="none" w:sz="0" w:space="0" w:color="auto"/>
            <w:right w:val="none" w:sz="0" w:space="0" w:color="auto"/>
          </w:divBdr>
        </w:div>
        <w:div w:id="867792603">
          <w:marLeft w:val="0"/>
          <w:marRight w:val="0"/>
          <w:marTop w:val="0"/>
          <w:marBottom w:val="0"/>
          <w:divBdr>
            <w:top w:val="none" w:sz="0" w:space="0" w:color="auto"/>
            <w:left w:val="none" w:sz="0" w:space="0" w:color="auto"/>
            <w:bottom w:val="none" w:sz="0" w:space="0" w:color="auto"/>
            <w:right w:val="none" w:sz="0" w:space="0" w:color="auto"/>
          </w:divBdr>
        </w:div>
        <w:div w:id="1670130919">
          <w:marLeft w:val="0"/>
          <w:marRight w:val="0"/>
          <w:marTop w:val="0"/>
          <w:marBottom w:val="0"/>
          <w:divBdr>
            <w:top w:val="none" w:sz="0" w:space="0" w:color="auto"/>
            <w:left w:val="none" w:sz="0" w:space="0" w:color="auto"/>
            <w:bottom w:val="none" w:sz="0" w:space="0" w:color="auto"/>
            <w:right w:val="none" w:sz="0" w:space="0" w:color="auto"/>
          </w:divBdr>
        </w:div>
        <w:div w:id="595864844">
          <w:marLeft w:val="0"/>
          <w:marRight w:val="0"/>
          <w:marTop w:val="0"/>
          <w:marBottom w:val="0"/>
          <w:divBdr>
            <w:top w:val="none" w:sz="0" w:space="0" w:color="auto"/>
            <w:left w:val="none" w:sz="0" w:space="0" w:color="auto"/>
            <w:bottom w:val="none" w:sz="0" w:space="0" w:color="auto"/>
            <w:right w:val="none" w:sz="0" w:space="0" w:color="auto"/>
          </w:divBdr>
        </w:div>
        <w:div w:id="1163083593">
          <w:marLeft w:val="0"/>
          <w:marRight w:val="0"/>
          <w:marTop w:val="0"/>
          <w:marBottom w:val="0"/>
          <w:divBdr>
            <w:top w:val="none" w:sz="0" w:space="0" w:color="auto"/>
            <w:left w:val="none" w:sz="0" w:space="0" w:color="auto"/>
            <w:bottom w:val="none" w:sz="0" w:space="0" w:color="auto"/>
            <w:right w:val="none" w:sz="0" w:space="0" w:color="auto"/>
          </w:divBdr>
        </w:div>
        <w:div w:id="1924072009">
          <w:marLeft w:val="0"/>
          <w:marRight w:val="0"/>
          <w:marTop w:val="0"/>
          <w:marBottom w:val="0"/>
          <w:divBdr>
            <w:top w:val="none" w:sz="0" w:space="0" w:color="auto"/>
            <w:left w:val="none" w:sz="0" w:space="0" w:color="auto"/>
            <w:bottom w:val="none" w:sz="0" w:space="0" w:color="auto"/>
            <w:right w:val="none" w:sz="0" w:space="0" w:color="auto"/>
          </w:divBdr>
        </w:div>
        <w:div w:id="665674390">
          <w:marLeft w:val="0"/>
          <w:marRight w:val="0"/>
          <w:marTop w:val="0"/>
          <w:marBottom w:val="0"/>
          <w:divBdr>
            <w:top w:val="none" w:sz="0" w:space="0" w:color="auto"/>
            <w:left w:val="none" w:sz="0" w:space="0" w:color="auto"/>
            <w:bottom w:val="none" w:sz="0" w:space="0" w:color="auto"/>
            <w:right w:val="none" w:sz="0" w:space="0" w:color="auto"/>
          </w:divBdr>
        </w:div>
        <w:div w:id="964653628">
          <w:marLeft w:val="0"/>
          <w:marRight w:val="0"/>
          <w:marTop w:val="0"/>
          <w:marBottom w:val="0"/>
          <w:divBdr>
            <w:top w:val="none" w:sz="0" w:space="0" w:color="auto"/>
            <w:left w:val="none" w:sz="0" w:space="0" w:color="auto"/>
            <w:bottom w:val="none" w:sz="0" w:space="0" w:color="auto"/>
            <w:right w:val="none" w:sz="0" w:space="0" w:color="auto"/>
          </w:divBdr>
        </w:div>
        <w:div w:id="517503254">
          <w:marLeft w:val="0"/>
          <w:marRight w:val="0"/>
          <w:marTop w:val="0"/>
          <w:marBottom w:val="0"/>
          <w:divBdr>
            <w:top w:val="none" w:sz="0" w:space="0" w:color="auto"/>
            <w:left w:val="none" w:sz="0" w:space="0" w:color="auto"/>
            <w:bottom w:val="none" w:sz="0" w:space="0" w:color="auto"/>
            <w:right w:val="none" w:sz="0" w:space="0" w:color="auto"/>
          </w:divBdr>
        </w:div>
        <w:div w:id="1627278971">
          <w:marLeft w:val="0"/>
          <w:marRight w:val="0"/>
          <w:marTop w:val="0"/>
          <w:marBottom w:val="0"/>
          <w:divBdr>
            <w:top w:val="none" w:sz="0" w:space="0" w:color="auto"/>
            <w:left w:val="none" w:sz="0" w:space="0" w:color="auto"/>
            <w:bottom w:val="none" w:sz="0" w:space="0" w:color="auto"/>
            <w:right w:val="none" w:sz="0" w:space="0" w:color="auto"/>
          </w:divBdr>
        </w:div>
        <w:div w:id="1851288807">
          <w:marLeft w:val="0"/>
          <w:marRight w:val="0"/>
          <w:marTop w:val="0"/>
          <w:marBottom w:val="0"/>
          <w:divBdr>
            <w:top w:val="none" w:sz="0" w:space="0" w:color="auto"/>
            <w:left w:val="none" w:sz="0" w:space="0" w:color="auto"/>
            <w:bottom w:val="none" w:sz="0" w:space="0" w:color="auto"/>
            <w:right w:val="none" w:sz="0" w:space="0" w:color="auto"/>
          </w:divBdr>
        </w:div>
        <w:div w:id="163126533">
          <w:marLeft w:val="0"/>
          <w:marRight w:val="0"/>
          <w:marTop w:val="0"/>
          <w:marBottom w:val="0"/>
          <w:divBdr>
            <w:top w:val="none" w:sz="0" w:space="0" w:color="auto"/>
            <w:left w:val="none" w:sz="0" w:space="0" w:color="auto"/>
            <w:bottom w:val="none" w:sz="0" w:space="0" w:color="auto"/>
            <w:right w:val="none" w:sz="0" w:space="0" w:color="auto"/>
          </w:divBdr>
        </w:div>
        <w:div w:id="1663050059">
          <w:marLeft w:val="0"/>
          <w:marRight w:val="0"/>
          <w:marTop w:val="0"/>
          <w:marBottom w:val="0"/>
          <w:divBdr>
            <w:top w:val="none" w:sz="0" w:space="0" w:color="auto"/>
            <w:left w:val="none" w:sz="0" w:space="0" w:color="auto"/>
            <w:bottom w:val="none" w:sz="0" w:space="0" w:color="auto"/>
            <w:right w:val="none" w:sz="0" w:space="0" w:color="auto"/>
          </w:divBdr>
        </w:div>
        <w:div w:id="1035153859">
          <w:marLeft w:val="0"/>
          <w:marRight w:val="0"/>
          <w:marTop w:val="0"/>
          <w:marBottom w:val="0"/>
          <w:divBdr>
            <w:top w:val="none" w:sz="0" w:space="0" w:color="auto"/>
            <w:left w:val="none" w:sz="0" w:space="0" w:color="auto"/>
            <w:bottom w:val="none" w:sz="0" w:space="0" w:color="auto"/>
            <w:right w:val="none" w:sz="0" w:space="0" w:color="auto"/>
          </w:divBdr>
        </w:div>
        <w:div w:id="407072689">
          <w:marLeft w:val="0"/>
          <w:marRight w:val="0"/>
          <w:marTop w:val="0"/>
          <w:marBottom w:val="0"/>
          <w:divBdr>
            <w:top w:val="none" w:sz="0" w:space="0" w:color="auto"/>
            <w:left w:val="none" w:sz="0" w:space="0" w:color="auto"/>
            <w:bottom w:val="none" w:sz="0" w:space="0" w:color="auto"/>
            <w:right w:val="none" w:sz="0" w:space="0" w:color="auto"/>
          </w:divBdr>
        </w:div>
        <w:div w:id="1880043916">
          <w:marLeft w:val="0"/>
          <w:marRight w:val="0"/>
          <w:marTop w:val="0"/>
          <w:marBottom w:val="0"/>
          <w:divBdr>
            <w:top w:val="none" w:sz="0" w:space="0" w:color="auto"/>
            <w:left w:val="none" w:sz="0" w:space="0" w:color="auto"/>
            <w:bottom w:val="none" w:sz="0" w:space="0" w:color="auto"/>
            <w:right w:val="none" w:sz="0" w:space="0" w:color="auto"/>
          </w:divBdr>
        </w:div>
        <w:div w:id="1563247085">
          <w:marLeft w:val="0"/>
          <w:marRight w:val="0"/>
          <w:marTop w:val="0"/>
          <w:marBottom w:val="0"/>
          <w:divBdr>
            <w:top w:val="none" w:sz="0" w:space="0" w:color="auto"/>
            <w:left w:val="none" w:sz="0" w:space="0" w:color="auto"/>
            <w:bottom w:val="none" w:sz="0" w:space="0" w:color="auto"/>
            <w:right w:val="none" w:sz="0" w:space="0" w:color="auto"/>
          </w:divBdr>
        </w:div>
        <w:div w:id="1302231251">
          <w:marLeft w:val="0"/>
          <w:marRight w:val="0"/>
          <w:marTop w:val="0"/>
          <w:marBottom w:val="0"/>
          <w:divBdr>
            <w:top w:val="none" w:sz="0" w:space="0" w:color="auto"/>
            <w:left w:val="none" w:sz="0" w:space="0" w:color="auto"/>
            <w:bottom w:val="none" w:sz="0" w:space="0" w:color="auto"/>
            <w:right w:val="none" w:sz="0" w:space="0" w:color="auto"/>
          </w:divBdr>
        </w:div>
        <w:div w:id="1834298321">
          <w:marLeft w:val="0"/>
          <w:marRight w:val="0"/>
          <w:marTop w:val="0"/>
          <w:marBottom w:val="0"/>
          <w:divBdr>
            <w:top w:val="none" w:sz="0" w:space="0" w:color="auto"/>
            <w:left w:val="none" w:sz="0" w:space="0" w:color="auto"/>
            <w:bottom w:val="none" w:sz="0" w:space="0" w:color="auto"/>
            <w:right w:val="none" w:sz="0" w:space="0" w:color="auto"/>
          </w:divBdr>
        </w:div>
        <w:div w:id="200214297">
          <w:marLeft w:val="0"/>
          <w:marRight w:val="0"/>
          <w:marTop w:val="0"/>
          <w:marBottom w:val="0"/>
          <w:divBdr>
            <w:top w:val="none" w:sz="0" w:space="0" w:color="auto"/>
            <w:left w:val="none" w:sz="0" w:space="0" w:color="auto"/>
            <w:bottom w:val="none" w:sz="0" w:space="0" w:color="auto"/>
            <w:right w:val="none" w:sz="0" w:space="0" w:color="auto"/>
          </w:divBdr>
        </w:div>
        <w:div w:id="1264920104">
          <w:marLeft w:val="0"/>
          <w:marRight w:val="0"/>
          <w:marTop w:val="0"/>
          <w:marBottom w:val="0"/>
          <w:divBdr>
            <w:top w:val="none" w:sz="0" w:space="0" w:color="auto"/>
            <w:left w:val="none" w:sz="0" w:space="0" w:color="auto"/>
            <w:bottom w:val="none" w:sz="0" w:space="0" w:color="auto"/>
            <w:right w:val="none" w:sz="0" w:space="0" w:color="auto"/>
          </w:divBdr>
        </w:div>
        <w:div w:id="1791043966">
          <w:marLeft w:val="0"/>
          <w:marRight w:val="0"/>
          <w:marTop w:val="0"/>
          <w:marBottom w:val="0"/>
          <w:divBdr>
            <w:top w:val="none" w:sz="0" w:space="0" w:color="auto"/>
            <w:left w:val="none" w:sz="0" w:space="0" w:color="auto"/>
            <w:bottom w:val="none" w:sz="0" w:space="0" w:color="auto"/>
            <w:right w:val="none" w:sz="0" w:space="0" w:color="auto"/>
          </w:divBdr>
        </w:div>
        <w:div w:id="1737819640">
          <w:marLeft w:val="0"/>
          <w:marRight w:val="0"/>
          <w:marTop w:val="0"/>
          <w:marBottom w:val="0"/>
          <w:divBdr>
            <w:top w:val="none" w:sz="0" w:space="0" w:color="auto"/>
            <w:left w:val="none" w:sz="0" w:space="0" w:color="auto"/>
            <w:bottom w:val="none" w:sz="0" w:space="0" w:color="auto"/>
            <w:right w:val="none" w:sz="0" w:space="0" w:color="auto"/>
          </w:divBdr>
        </w:div>
        <w:div w:id="227152927">
          <w:marLeft w:val="0"/>
          <w:marRight w:val="0"/>
          <w:marTop w:val="0"/>
          <w:marBottom w:val="0"/>
          <w:divBdr>
            <w:top w:val="none" w:sz="0" w:space="0" w:color="auto"/>
            <w:left w:val="none" w:sz="0" w:space="0" w:color="auto"/>
            <w:bottom w:val="none" w:sz="0" w:space="0" w:color="auto"/>
            <w:right w:val="none" w:sz="0" w:space="0" w:color="auto"/>
          </w:divBdr>
        </w:div>
        <w:div w:id="1687974401">
          <w:marLeft w:val="0"/>
          <w:marRight w:val="0"/>
          <w:marTop w:val="0"/>
          <w:marBottom w:val="0"/>
          <w:divBdr>
            <w:top w:val="none" w:sz="0" w:space="0" w:color="auto"/>
            <w:left w:val="none" w:sz="0" w:space="0" w:color="auto"/>
            <w:bottom w:val="none" w:sz="0" w:space="0" w:color="auto"/>
            <w:right w:val="none" w:sz="0" w:space="0" w:color="auto"/>
          </w:divBdr>
        </w:div>
        <w:div w:id="727414337">
          <w:marLeft w:val="0"/>
          <w:marRight w:val="0"/>
          <w:marTop w:val="0"/>
          <w:marBottom w:val="0"/>
          <w:divBdr>
            <w:top w:val="none" w:sz="0" w:space="0" w:color="auto"/>
            <w:left w:val="none" w:sz="0" w:space="0" w:color="auto"/>
            <w:bottom w:val="none" w:sz="0" w:space="0" w:color="auto"/>
            <w:right w:val="none" w:sz="0" w:space="0" w:color="auto"/>
          </w:divBdr>
        </w:div>
        <w:div w:id="1478105632">
          <w:marLeft w:val="0"/>
          <w:marRight w:val="0"/>
          <w:marTop w:val="0"/>
          <w:marBottom w:val="0"/>
          <w:divBdr>
            <w:top w:val="none" w:sz="0" w:space="0" w:color="auto"/>
            <w:left w:val="none" w:sz="0" w:space="0" w:color="auto"/>
            <w:bottom w:val="none" w:sz="0" w:space="0" w:color="auto"/>
            <w:right w:val="none" w:sz="0" w:space="0" w:color="auto"/>
          </w:divBdr>
        </w:div>
        <w:div w:id="976422633">
          <w:marLeft w:val="0"/>
          <w:marRight w:val="0"/>
          <w:marTop w:val="0"/>
          <w:marBottom w:val="0"/>
          <w:divBdr>
            <w:top w:val="none" w:sz="0" w:space="0" w:color="auto"/>
            <w:left w:val="none" w:sz="0" w:space="0" w:color="auto"/>
            <w:bottom w:val="none" w:sz="0" w:space="0" w:color="auto"/>
            <w:right w:val="none" w:sz="0" w:space="0" w:color="auto"/>
          </w:divBdr>
        </w:div>
        <w:div w:id="580215018">
          <w:marLeft w:val="0"/>
          <w:marRight w:val="0"/>
          <w:marTop w:val="0"/>
          <w:marBottom w:val="0"/>
          <w:divBdr>
            <w:top w:val="none" w:sz="0" w:space="0" w:color="auto"/>
            <w:left w:val="none" w:sz="0" w:space="0" w:color="auto"/>
            <w:bottom w:val="none" w:sz="0" w:space="0" w:color="auto"/>
            <w:right w:val="none" w:sz="0" w:space="0" w:color="auto"/>
          </w:divBdr>
        </w:div>
        <w:div w:id="205873050">
          <w:marLeft w:val="0"/>
          <w:marRight w:val="0"/>
          <w:marTop w:val="0"/>
          <w:marBottom w:val="0"/>
          <w:divBdr>
            <w:top w:val="none" w:sz="0" w:space="0" w:color="auto"/>
            <w:left w:val="none" w:sz="0" w:space="0" w:color="auto"/>
            <w:bottom w:val="none" w:sz="0" w:space="0" w:color="auto"/>
            <w:right w:val="none" w:sz="0" w:space="0" w:color="auto"/>
          </w:divBdr>
        </w:div>
        <w:div w:id="998003729">
          <w:marLeft w:val="0"/>
          <w:marRight w:val="0"/>
          <w:marTop w:val="0"/>
          <w:marBottom w:val="0"/>
          <w:divBdr>
            <w:top w:val="none" w:sz="0" w:space="0" w:color="auto"/>
            <w:left w:val="none" w:sz="0" w:space="0" w:color="auto"/>
            <w:bottom w:val="none" w:sz="0" w:space="0" w:color="auto"/>
            <w:right w:val="none" w:sz="0" w:space="0" w:color="auto"/>
          </w:divBdr>
        </w:div>
        <w:div w:id="829491809">
          <w:marLeft w:val="0"/>
          <w:marRight w:val="0"/>
          <w:marTop w:val="0"/>
          <w:marBottom w:val="0"/>
          <w:divBdr>
            <w:top w:val="none" w:sz="0" w:space="0" w:color="auto"/>
            <w:left w:val="none" w:sz="0" w:space="0" w:color="auto"/>
            <w:bottom w:val="none" w:sz="0" w:space="0" w:color="auto"/>
            <w:right w:val="none" w:sz="0" w:space="0" w:color="auto"/>
          </w:divBdr>
        </w:div>
        <w:div w:id="775292819">
          <w:marLeft w:val="0"/>
          <w:marRight w:val="0"/>
          <w:marTop w:val="0"/>
          <w:marBottom w:val="0"/>
          <w:divBdr>
            <w:top w:val="none" w:sz="0" w:space="0" w:color="auto"/>
            <w:left w:val="none" w:sz="0" w:space="0" w:color="auto"/>
            <w:bottom w:val="none" w:sz="0" w:space="0" w:color="auto"/>
            <w:right w:val="none" w:sz="0" w:space="0" w:color="auto"/>
          </w:divBdr>
        </w:div>
        <w:div w:id="204299546">
          <w:marLeft w:val="0"/>
          <w:marRight w:val="0"/>
          <w:marTop w:val="0"/>
          <w:marBottom w:val="0"/>
          <w:divBdr>
            <w:top w:val="none" w:sz="0" w:space="0" w:color="auto"/>
            <w:left w:val="none" w:sz="0" w:space="0" w:color="auto"/>
            <w:bottom w:val="none" w:sz="0" w:space="0" w:color="auto"/>
            <w:right w:val="none" w:sz="0" w:space="0" w:color="auto"/>
          </w:divBdr>
        </w:div>
        <w:div w:id="1365401008">
          <w:marLeft w:val="0"/>
          <w:marRight w:val="0"/>
          <w:marTop w:val="0"/>
          <w:marBottom w:val="0"/>
          <w:divBdr>
            <w:top w:val="none" w:sz="0" w:space="0" w:color="auto"/>
            <w:left w:val="none" w:sz="0" w:space="0" w:color="auto"/>
            <w:bottom w:val="none" w:sz="0" w:space="0" w:color="auto"/>
            <w:right w:val="none" w:sz="0" w:space="0" w:color="auto"/>
          </w:divBdr>
        </w:div>
        <w:div w:id="1457258707">
          <w:marLeft w:val="0"/>
          <w:marRight w:val="0"/>
          <w:marTop w:val="0"/>
          <w:marBottom w:val="0"/>
          <w:divBdr>
            <w:top w:val="none" w:sz="0" w:space="0" w:color="auto"/>
            <w:left w:val="none" w:sz="0" w:space="0" w:color="auto"/>
            <w:bottom w:val="none" w:sz="0" w:space="0" w:color="auto"/>
            <w:right w:val="none" w:sz="0" w:space="0" w:color="auto"/>
          </w:divBdr>
        </w:div>
        <w:div w:id="518662669">
          <w:marLeft w:val="0"/>
          <w:marRight w:val="0"/>
          <w:marTop w:val="0"/>
          <w:marBottom w:val="0"/>
          <w:divBdr>
            <w:top w:val="none" w:sz="0" w:space="0" w:color="auto"/>
            <w:left w:val="none" w:sz="0" w:space="0" w:color="auto"/>
            <w:bottom w:val="none" w:sz="0" w:space="0" w:color="auto"/>
            <w:right w:val="none" w:sz="0" w:space="0" w:color="auto"/>
          </w:divBdr>
        </w:div>
        <w:div w:id="1521312831">
          <w:marLeft w:val="0"/>
          <w:marRight w:val="0"/>
          <w:marTop w:val="0"/>
          <w:marBottom w:val="0"/>
          <w:divBdr>
            <w:top w:val="none" w:sz="0" w:space="0" w:color="auto"/>
            <w:left w:val="none" w:sz="0" w:space="0" w:color="auto"/>
            <w:bottom w:val="none" w:sz="0" w:space="0" w:color="auto"/>
            <w:right w:val="none" w:sz="0" w:space="0" w:color="auto"/>
          </w:divBdr>
        </w:div>
        <w:div w:id="1861891889">
          <w:marLeft w:val="0"/>
          <w:marRight w:val="0"/>
          <w:marTop w:val="0"/>
          <w:marBottom w:val="0"/>
          <w:divBdr>
            <w:top w:val="none" w:sz="0" w:space="0" w:color="auto"/>
            <w:left w:val="none" w:sz="0" w:space="0" w:color="auto"/>
            <w:bottom w:val="none" w:sz="0" w:space="0" w:color="auto"/>
            <w:right w:val="none" w:sz="0" w:space="0" w:color="auto"/>
          </w:divBdr>
        </w:div>
        <w:div w:id="1860241033">
          <w:marLeft w:val="0"/>
          <w:marRight w:val="0"/>
          <w:marTop w:val="0"/>
          <w:marBottom w:val="0"/>
          <w:divBdr>
            <w:top w:val="none" w:sz="0" w:space="0" w:color="auto"/>
            <w:left w:val="none" w:sz="0" w:space="0" w:color="auto"/>
            <w:bottom w:val="none" w:sz="0" w:space="0" w:color="auto"/>
            <w:right w:val="none" w:sz="0" w:space="0" w:color="auto"/>
          </w:divBdr>
        </w:div>
        <w:div w:id="807672896">
          <w:marLeft w:val="0"/>
          <w:marRight w:val="0"/>
          <w:marTop w:val="0"/>
          <w:marBottom w:val="0"/>
          <w:divBdr>
            <w:top w:val="none" w:sz="0" w:space="0" w:color="auto"/>
            <w:left w:val="none" w:sz="0" w:space="0" w:color="auto"/>
            <w:bottom w:val="none" w:sz="0" w:space="0" w:color="auto"/>
            <w:right w:val="none" w:sz="0" w:space="0" w:color="auto"/>
          </w:divBdr>
        </w:div>
        <w:div w:id="1134567128">
          <w:marLeft w:val="0"/>
          <w:marRight w:val="0"/>
          <w:marTop w:val="0"/>
          <w:marBottom w:val="0"/>
          <w:divBdr>
            <w:top w:val="none" w:sz="0" w:space="0" w:color="auto"/>
            <w:left w:val="none" w:sz="0" w:space="0" w:color="auto"/>
            <w:bottom w:val="none" w:sz="0" w:space="0" w:color="auto"/>
            <w:right w:val="none" w:sz="0" w:space="0" w:color="auto"/>
          </w:divBdr>
        </w:div>
        <w:div w:id="1541552313">
          <w:marLeft w:val="0"/>
          <w:marRight w:val="0"/>
          <w:marTop w:val="0"/>
          <w:marBottom w:val="0"/>
          <w:divBdr>
            <w:top w:val="none" w:sz="0" w:space="0" w:color="auto"/>
            <w:left w:val="none" w:sz="0" w:space="0" w:color="auto"/>
            <w:bottom w:val="none" w:sz="0" w:space="0" w:color="auto"/>
            <w:right w:val="none" w:sz="0" w:space="0" w:color="auto"/>
          </w:divBdr>
        </w:div>
        <w:div w:id="632640108">
          <w:marLeft w:val="0"/>
          <w:marRight w:val="0"/>
          <w:marTop w:val="0"/>
          <w:marBottom w:val="0"/>
          <w:divBdr>
            <w:top w:val="none" w:sz="0" w:space="0" w:color="auto"/>
            <w:left w:val="none" w:sz="0" w:space="0" w:color="auto"/>
            <w:bottom w:val="none" w:sz="0" w:space="0" w:color="auto"/>
            <w:right w:val="none" w:sz="0" w:space="0" w:color="auto"/>
          </w:divBdr>
        </w:div>
        <w:div w:id="738988687">
          <w:marLeft w:val="0"/>
          <w:marRight w:val="0"/>
          <w:marTop w:val="0"/>
          <w:marBottom w:val="0"/>
          <w:divBdr>
            <w:top w:val="none" w:sz="0" w:space="0" w:color="auto"/>
            <w:left w:val="none" w:sz="0" w:space="0" w:color="auto"/>
            <w:bottom w:val="none" w:sz="0" w:space="0" w:color="auto"/>
            <w:right w:val="none" w:sz="0" w:space="0" w:color="auto"/>
          </w:divBdr>
        </w:div>
        <w:div w:id="1991328359">
          <w:marLeft w:val="0"/>
          <w:marRight w:val="0"/>
          <w:marTop w:val="0"/>
          <w:marBottom w:val="0"/>
          <w:divBdr>
            <w:top w:val="none" w:sz="0" w:space="0" w:color="auto"/>
            <w:left w:val="none" w:sz="0" w:space="0" w:color="auto"/>
            <w:bottom w:val="none" w:sz="0" w:space="0" w:color="auto"/>
            <w:right w:val="none" w:sz="0" w:space="0" w:color="auto"/>
          </w:divBdr>
        </w:div>
        <w:div w:id="1987011744">
          <w:marLeft w:val="0"/>
          <w:marRight w:val="0"/>
          <w:marTop w:val="0"/>
          <w:marBottom w:val="0"/>
          <w:divBdr>
            <w:top w:val="none" w:sz="0" w:space="0" w:color="auto"/>
            <w:left w:val="none" w:sz="0" w:space="0" w:color="auto"/>
            <w:bottom w:val="none" w:sz="0" w:space="0" w:color="auto"/>
            <w:right w:val="none" w:sz="0" w:space="0" w:color="auto"/>
          </w:divBdr>
        </w:div>
        <w:div w:id="1969431766">
          <w:marLeft w:val="0"/>
          <w:marRight w:val="0"/>
          <w:marTop w:val="0"/>
          <w:marBottom w:val="0"/>
          <w:divBdr>
            <w:top w:val="none" w:sz="0" w:space="0" w:color="auto"/>
            <w:left w:val="none" w:sz="0" w:space="0" w:color="auto"/>
            <w:bottom w:val="none" w:sz="0" w:space="0" w:color="auto"/>
            <w:right w:val="none" w:sz="0" w:space="0" w:color="auto"/>
          </w:divBdr>
        </w:div>
        <w:div w:id="1000161765">
          <w:marLeft w:val="0"/>
          <w:marRight w:val="0"/>
          <w:marTop w:val="0"/>
          <w:marBottom w:val="0"/>
          <w:divBdr>
            <w:top w:val="none" w:sz="0" w:space="0" w:color="auto"/>
            <w:left w:val="none" w:sz="0" w:space="0" w:color="auto"/>
            <w:bottom w:val="none" w:sz="0" w:space="0" w:color="auto"/>
            <w:right w:val="none" w:sz="0" w:space="0" w:color="auto"/>
          </w:divBdr>
        </w:div>
        <w:div w:id="2036535740">
          <w:marLeft w:val="0"/>
          <w:marRight w:val="0"/>
          <w:marTop w:val="0"/>
          <w:marBottom w:val="0"/>
          <w:divBdr>
            <w:top w:val="none" w:sz="0" w:space="0" w:color="auto"/>
            <w:left w:val="none" w:sz="0" w:space="0" w:color="auto"/>
            <w:bottom w:val="none" w:sz="0" w:space="0" w:color="auto"/>
            <w:right w:val="none" w:sz="0" w:space="0" w:color="auto"/>
          </w:divBdr>
        </w:div>
        <w:div w:id="1765883099">
          <w:marLeft w:val="0"/>
          <w:marRight w:val="0"/>
          <w:marTop w:val="0"/>
          <w:marBottom w:val="0"/>
          <w:divBdr>
            <w:top w:val="none" w:sz="0" w:space="0" w:color="auto"/>
            <w:left w:val="none" w:sz="0" w:space="0" w:color="auto"/>
            <w:bottom w:val="none" w:sz="0" w:space="0" w:color="auto"/>
            <w:right w:val="none" w:sz="0" w:space="0" w:color="auto"/>
          </w:divBdr>
        </w:div>
        <w:div w:id="690105315">
          <w:marLeft w:val="0"/>
          <w:marRight w:val="0"/>
          <w:marTop w:val="0"/>
          <w:marBottom w:val="0"/>
          <w:divBdr>
            <w:top w:val="none" w:sz="0" w:space="0" w:color="auto"/>
            <w:left w:val="none" w:sz="0" w:space="0" w:color="auto"/>
            <w:bottom w:val="none" w:sz="0" w:space="0" w:color="auto"/>
            <w:right w:val="none" w:sz="0" w:space="0" w:color="auto"/>
          </w:divBdr>
        </w:div>
        <w:div w:id="971402064">
          <w:marLeft w:val="0"/>
          <w:marRight w:val="0"/>
          <w:marTop w:val="0"/>
          <w:marBottom w:val="0"/>
          <w:divBdr>
            <w:top w:val="none" w:sz="0" w:space="0" w:color="auto"/>
            <w:left w:val="none" w:sz="0" w:space="0" w:color="auto"/>
            <w:bottom w:val="none" w:sz="0" w:space="0" w:color="auto"/>
            <w:right w:val="none" w:sz="0" w:space="0" w:color="auto"/>
          </w:divBdr>
        </w:div>
        <w:div w:id="258175076">
          <w:marLeft w:val="0"/>
          <w:marRight w:val="0"/>
          <w:marTop w:val="0"/>
          <w:marBottom w:val="0"/>
          <w:divBdr>
            <w:top w:val="none" w:sz="0" w:space="0" w:color="auto"/>
            <w:left w:val="none" w:sz="0" w:space="0" w:color="auto"/>
            <w:bottom w:val="none" w:sz="0" w:space="0" w:color="auto"/>
            <w:right w:val="none" w:sz="0" w:space="0" w:color="auto"/>
          </w:divBdr>
        </w:div>
        <w:div w:id="1179126573">
          <w:marLeft w:val="0"/>
          <w:marRight w:val="0"/>
          <w:marTop w:val="0"/>
          <w:marBottom w:val="0"/>
          <w:divBdr>
            <w:top w:val="none" w:sz="0" w:space="0" w:color="auto"/>
            <w:left w:val="none" w:sz="0" w:space="0" w:color="auto"/>
            <w:bottom w:val="none" w:sz="0" w:space="0" w:color="auto"/>
            <w:right w:val="none" w:sz="0" w:space="0" w:color="auto"/>
          </w:divBdr>
        </w:div>
        <w:div w:id="1144854527">
          <w:marLeft w:val="0"/>
          <w:marRight w:val="0"/>
          <w:marTop w:val="0"/>
          <w:marBottom w:val="0"/>
          <w:divBdr>
            <w:top w:val="none" w:sz="0" w:space="0" w:color="auto"/>
            <w:left w:val="none" w:sz="0" w:space="0" w:color="auto"/>
            <w:bottom w:val="none" w:sz="0" w:space="0" w:color="auto"/>
            <w:right w:val="none" w:sz="0" w:space="0" w:color="auto"/>
          </w:divBdr>
        </w:div>
        <w:div w:id="714088887">
          <w:marLeft w:val="0"/>
          <w:marRight w:val="0"/>
          <w:marTop w:val="0"/>
          <w:marBottom w:val="0"/>
          <w:divBdr>
            <w:top w:val="none" w:sz="0" w:space="0" w:color="auto"/>
            <w:left w:val="none" w:sz="0" w:space="0" w:color="auto"/>
            <w:bottom w:val="none" w:sz="0" w:space="0" w:color="auto"/>
            <w:right w:val="none" w:sz="0" w:space="0" w:color="auto"/>
          </w:divBdr>
        </w:div>
        <w:div w:id="239412988">
          <w:marLeft w:val="0"/>
          <w:marRight w:val="0"/>
          <w:marTop w:val="0"/>
          <w:marBottom w:val="0"/>
          <w:divBdr>
            <w:top w:val="none" w:sz="0" w:space="0" w:color="auto"/>
            <w:left w:val="none" w:sz="0" w:space="0" w:color="auto"/>
            <w:bottom w:val="none" w:sz="0" w:space="0" w:color="auto"/>
            <w:right w:val="none" w:sz="0" w:space="0" w:color="auto"/>
          </w:divBdr>
        </w:div>
        <w:div w:id="711419206">
          <w:marLeft w:val="0"/>
          <w:marRight w:val="0"/>
          <w:marTop w:val="0"/>
          <w:marBottom w:val="0"/>
          <w:divBdr>
            <w:top w:val="none" w:sz="0" w:space="0" w:color="auto"/>
            <w:left w:val="none" w:sz="0" w:space="0" w:color="auto"/>
            <w:bottom w:val="none" w:sz="0" w:space="0" w:color="auto"/>
            <w:right w:val="none" w:sz="0" w:space="0" w:color="auto"/>
          </w:divBdr>
        </w:div>
        <w:div w:id="1156340901">
          <w:marLeft w:val="0"/>
          <w:marRight w:val="0"/>
          <w:marTop w:val="0"/>
          <w:marBottom w:val="0"/>
          <w:divBdr>
            <w:top w:val="none" w:sz="0" w:space="0" w:color="auto"/>
            <w:left w:val="none" w:sz="0" w:space="0" w:color="auto"/>
            <w:bottom w:val="none" w:sz="0" w:space="0" w:color="auto"/>
            <w:right w:val="none" w:sz="0" w:space="0" w:color="auto"/>
          </w:divBdr>
        </w:div>
        <w:div w:id="975261702">
          <w:marLeft w:val="0"/>
          <w:marRight w:val="0"/>
          <w:marTop w:val="0"/>
          <w:marBottom w:val="0"/>
          <w:divBdr>
            <w:top w:val="none" w:sz="0" w:space="0" w:color="auto"/>
            <w:left w:val="none" w:sz="0" w:space="0" w:color="auto"/>
            <w:bottom w:val="none" w:sz="0" w:space="0" w:color="auto"/>
            <w:right w:val="none" w:sz="0" w:space="0" w:color="auto"/>
          </w:divBdr>
        </w:div>
        <w:div w:id="197552032">
          <w:marLeft w:val="0"/>
          <w:marRight w:val="0"/>
          <w:marTop w:val="0"/>
          <w:marBottom w:val="0"/>
          <w:divBdr>
            <w:top w:val="none" w:sz="0" w:space="0" w:color="auto"/>
            <w:left w:val="none" w:sz="0" w:space="0" w:color="auto"/>
            <w:bottom w:val="none" w:sz="0" w:space="0" w:color="auto"/>
            <w:right w:val="none" w:sz="0" w:space="0" w:color="auto"/>
          </w:divBdr>
        </w:div>
        <w:div w:id="2111507963">
          <w:marLeft w:val="0"/>
          <w:marRight w:val="0"/>
          <w:marTop w:val="0"/>
          <w:marBottom w:val="0"/>
          <w:divBdr>
            <w:top w:val="none" w:sz="0" w:space="0" w:color="auto"/>
            <w:left w:val="none" w:sz="0" w:space="0" w:color="auto"/>
            <w:bottom w:val="none" w:sz="0" w:space="0" w:color="auto"/>
            <w:right w:val="none" w:sz="0" w:space="0" w:color="auto"/>
          </w:divBdr>
        </w:div>
        <w:div w:id="1702120720">
          <w:marLeft w:val="0"/>
          <w:marRight w:val="0"/>
          <w:marTop w:val="0"/>
          <w:marBottom w:val="0"/>
          <w:divBdr>
            <w:top w:val="none" w:sz="0" w:space="0" w:color="auto"/>
            <w:left w:val="none" w:sz="0" w:space="0" w:color="auto"/>
            <w:bottom w:val="none" w:sz="0" w:space="0" w:color="auto"/>
            <w:right w:val="none" w:sz="0" w:space="0" w:color="auto"/>
          </w:divBdr>
        </w:div>
        <w:div w:id="1932422406">
          <w:marLeft w:val="0"/>
          <w:marRight w:val="0"/>
          <w:marTop w:val="0"/>
          <w:marBottom w:val="0"/>
          <w:divBdr>
            <w:top w:val="none" w:sz="0" w:space="0" w:color="auto"/>
            <w:left w:val="none" w:sz="0" w:space="0" w:color="auto"/>
            <w:bottom w:val="none" w:sz="0" w:space="0" w:color="auto"/>
            <w:right w:val="none" w:sz="0" w:space="0" w:color="auto"/>
          </w:divBdr>
        </w:div>
        <w:div w:id="967324850">
          <w:marLeft w:val="0"/>
          <w:marRight w:val="0"/>
          <w:marTop w:val="0"/>
          <w:marBottom w:val="0"/>
          <w:divBdr>
            <w:top w:val="none" w:sz="0" w:space="0" w:color="auto"/>
            <w:left w:val="none" w:sz="0" w:space="0" w:color="auto"/>
            <w:bottom w:val="none" w:sz="0" w:space="0" w:color="auto"/>
            <w:right w:val="none" w:sz="0" w:space="0" w:color="auto"/>
          </w:divBdr>
        </w:div>
        <w:div w:id="719744435">
          <w:marLeft w:val="0"/>
          <w:marRight w:val="0"/>
          <w:marTop w:val="0"/>
          <w:marBottom w:val="0"/>
          <w:divBdr>
            <w:top w:val="none" w:sz="0" w:space="0" w:color="auto"/>
            <w:left w:val="none" w:sz="0" w:space="0" w:color="auto"/>
            <w:bottom w:val="none" w:sz="0" w:space="0" w:color="auto"/>
            <w:right w:val="none" w:sz="0" w:space="0" w:color="auto"/>
          </w:divBdr>
        </w:div>
        <w:div w:id="660473604">
          <w:marLeft w:val="0"/>
          <w:marRight w:val="0"/>
          <w:marTop w:val="0"/>
          <w:marBottom w:val="0"/>
          <w:divBdr>
            <w:top w:val="none" w:sz="0" w:space="0" w:color="auto"/>
            <w:left w:val="none" w:sz="0" w:space="0" w:color="auto"/>
            <w:bottom w:val="none" w:sz="0" w:space="0" w:color="auto"/>
            <w:right w:val="none" w:sz="0" w:space="0" w:color="auto"/>
          </w:divBdr>
        </w:div>
        <w:div w:id="1055271935">
          <w:marLeft w:val="0"/>
          <w:marRight w:val="0"/>
          <w:marTop w:val="0"/>
          <w:marBottom w:val="0"/>
          <w:divBdr>
            <w:top w:val="none" w:sz="0" w:space="0" w:color="auto"/>
            <w:left w:val="none" w:sz="0" w:space="0" w:color="auto"/>
            <w:bottom w:val="none" w:sz="0" w:space="0" w:color="auto"/>
            <w:right w:val="none" w:sz="0" w:space="0" w:color="auto"/>
          </w:divBdr>
        </w:div>
        <w:div w:id="1501041808">
          <w:marLeft w:val="0"/>
          <w:marRight w:val="0"/>
          <w:marTop w:val="0"/>
          <w:marBottom w:val="0"/>
          <w:divBdr>
            <w:top w:val="none" w:sz="0" w:space="0" w:color="auto"/>
            <w:left w:val="none" w:sz="0" w:space="0" w:color="auto"/>
            <w:bottom w:val="none" w:sz="0" w:space="0" w:color="auto"/>
            <w:right w:val="none" w:sz="0" w:space="0" w:color="auto"/>
          </w:divBdr>
        </w:div>
        <w:div w:id="1911623055">
          <w:marLeft w:val="0"/>
          <w:marRight w:val="0"/>
          <w:marTop w:val="0"/>
          <w:marBottom w:val="0"/>
          <w:divBdr>
            <w:top w:val="none" w:sz="0" w:space="0" w:color="auto"/>
            <w:left w:val="none" w:sz="0" w:space="0" w:color="auto"/>
            <w:bottom w:val="none" w:sz="0" w:space="0" w:color="auto"/>
            <w:right w:val="none" w:sz="0" w:space="0" w:color="auto"/>
          </w:divBdr>
        </w:div>
        <w:div w:id="632834089">
          <w:marLeft w:val="0"/>
          <w:marRight w:val="0"/>
          <w:marTop w:val="0"/>
          <w:marBottom w:val="0"/>
          <w:divBdr>
            <w:top w:val="none" w:sz="0" w:space="0" w:color="auto"/>
            <w:left w:val="none" w:sz="0" w:space="0" w:color="auto"/>
            <w:bottom w:val="none" w:sz="0" w:space="0" w:color="auto"/>
            <w:right w:val="none" w:sz="0" w:space="0" w:color="auto"/>
          </w:divBdr>
        </w:div>
        <w:div w:id="1880512646">
          <w:marLeft w:val="0"/>
          <w:marRight w:val="0"/>
          <w:marTop w:val="0"/>
          <w:marBottom w:val="0"/>
          <w:divBdr>
            <w:top w:val="none" w:sz="0" w:space="0" w:color="auto"/>
            <w:left w:val="none" w:sz="0" w:space="0" w:color="auto"/>
            <w:bottom w:val="none" w:sz="0" w:space="0" w:color="auto"/>
            <w:right w:val="none" w:sz="0" w:space="0" w:color="auto"/>
          </w:divBdr>
        </w:div>
        <w:div w:id="468714529">
          <w:marLeft w:val="0"/>
          <w:marRight w:val="0"/>
          <w:marTop w:val="0"/>
          <w:marBottom w:val="0"/>
          <w:divBdr>
            <w:top w:val="none" w:sz="0" w:space="0" w:color="auto"/>
            <w:left w:val="none" w:sz="0" w:space="0" w:color="auto"/>
            <w:bottom w:val="none" w:sz="0" w:space="0" w:color="auto"/>
            <w:right w:val="none" w:sz="0" w:space="0" w:color="auto"/>
          </w:divBdr>
        </w:div>
        <w:div w:id="1729184951">
          <w:marLeft w:val="0"/>
          <w:marRight w:val="0"/>
          <w:marTop w:val="0"/>
          <w:marBottom w:val="0"/>
          <w:divBdr>
            <w:top w:val="none" w:sz="0" w:space="0" w:color="auto"/>
            <w:left w:val="none" w:sz="0" w:space="0" w:color="auto"/>
            <w:bottom w:val="none" w:sz="0" w:space="0" w:color="auto"/>
            <w:right w:val="none" w:sz="0" w:space="0" w:color="auto"/>
          </w:divBdr>
        </w:div>
        <w:div w:id="827743443">
          <w:marLeft w:val="0"/>
          <w:marRight w:val="0"/>
          <w:marTop w:val="0"/>
          <w:marBottom w:val="0"/>
          <w:divBdr>
            <w:top w:val="none" w:sz="0" w:space="0" w:color="auto"/>
            <w:left w:val="none" w:sz="0" w:space="0" w:color="auto"/>
            <w:bottom w:val="none" w:sz="0" w:space="0" w:color="auto"/>
            <w:right w:val="none" w:sz="0" w:space="0" w:color="auto"/>
          </w:divBdr>
        </w:div>
        <w:div w:id="1064910627">
          <w:marLeft w:val="0"/>
          <w:marRight w:val="0"/>
          <w:marTop w:val="0"/>
          <w:marBottom w:val="0"/>
          <w:divBdr>
            <w:top w:val="none" w:sz="0" w:space="0" w:color="auto"/>
            <w:left w:val="none" w:sz="0" w:space="0" w:color="auto"/>
            <w:bottom w:val="none" w:sz="0" w:space="0" w:color="auto"/>
            <w:right w:val="none" w:sz="0" w:space="0" w:color="auto"/>
          </w:divBdr>
        </w:div>
        <w:div w:id="743533373">
          <w:marLeft w:val="0"/>
          <w:marRight w:val="0"/>
          <w:marTop w:val="0"/>
          <w:marBottom w:val="0"/>
          <w:divBdr>
            <w:top w:val="none" w:sz="0" w:space="0" w:color="auto"/>
            <w:left w:val="none" w:sz="0" w:space="0" w:color="auto"/>
            <w:bottom w:val="none" w:sz="0" w:space="0" w:color="auto"/>
            <w:right w:val="none" w:sz="0" w:space="0" w:color="auto"/>
          </w:divBdr>
        </w:div>
        <w:div w:id="561720514">
          <w:marLeft w:val="0"/>
          <w:marRight w:val="0"/>
          <w:marTop w:val="0"/>
          <w:marBottom w:val="0"/>
          <w:divBdr>
            <w:top w:val="none" w:sz="0" w:space="0" w:color="auto"/>
            <w:left w:val="none" w:sz="0" w:space="0" w:color="auto"/>
            <w:bottom w:val="none" w:sz="0" w:space="0" w:color="auto"/>
            <w:right w:val="none" w:sz="0" w:space="0" w:color="auto"/>
          </w:divBdr>
        </w:div>
        <w:div w:id="371343522">
          <w:marLeft w:val="0"/>
          <w:marRight w:val="0"/>
          <w:marTop w:val="0"/>
          <w:marBottom w:val="0"/>
          <w:divBdr>
            <w:top w:val="none" w:sz="0" w:space="0" w:color="auto"/>
            <w:left w:val="none" w:sz="0" w:space="0" w:color="auto"/>
            <w:bottom w:val="none" w:sz="0" w:space="0" w:color="auto"/>
            <w:right w:val="none" w:sz="0" w:space="0" w:color="auto"/>
          </w:divBdr>
        </w:div>
        <w:div w:id="484707344">
          <w:marLeft w:val="0"/>
          <w:marRight w:val="0"/>
          <w:marTop w:val="0"/>
          <w:marBottom w:val="0"/>
          <w:divBdr>
            <w:top w:val="none" w:sz="0" w:space="0" w:color="auto"/>
            <w:left w:val="none" w:sz="0" w:space="0" w:color="auto"/>
            <w:bottom w:val="none" w:sz="0" w:space="0" w:color="auto"/>
            <w:right w:val="none" w:sz="0" w:space="0" w:color="auto"/>
          </w:divBdr>
        </w:div>
        <w:div w:id="1565530752">
          <w:marLeft w:val="0"/>
          <w:marRight w:val="0"/>
          <w:marTop w:val="0"/>
          <w:marBottom w:val="0"/>
          <w:divBdr>
            <w:top w:val="none" w:sz="0" w:space="0" w:color="auto"/>
            <w:left w:val="none" w:sz="0" w:space="0" w:color="auto"/>
            <w:bottom w:val="none" w:sz="0" w:space="0" w:color="auto"/>
            <w:right w:val="none" w:sz="0" w:space="0" w:color="auto"/>
          </w:divBdr>
        </w:div>
        <w:div w:id="623584487">
          <w:marLeft w:val="0"/>
          <w:marRight w:val="0"/>
          <w:marTop w:val="0"/>
          <w:marBottom w:val="0"/>
          <w:divBdr>
            <w:top w:val="none" w:sz="0" w:space="0" w:color="auto"/>
            <w:left w:val="none" w:sz="0" w:space="0" w:color="auto"/>
            <w:bottom w:val="none" w:sz="0" w:space="0" w:color="auto"/>
            <w:right w:val="none" w:sz="0" w:space="0" w:color="auto"/>
          </w:divBdr>
        </w:div>
        <w:div w:id="921915568">
          <w:marLeft w:val="0"/>
          <w:marRight w:val="0"/>
          <w:marTop w:val="0"/>
          <w:marBottom w:val="0"/>
          <w:divBdr>
            <w:top w:val="none" w:sz="0" w:space="0" w:color="auto"/>
            <w:left w:val="none" w:sz="0" w:space="0" w:color="auto"/>
            <w:bottom w:val="none" w:sz="0" w:space="0" w:color="auto"/>
            <w:right w:val="none" w:sz="0" w:space="0" w:color="auto"/>
          </w:divBdr>
        </w:div>
        <w:div w:id="430593957">
          <w:marLeft w:val="0"/>
          <w:marRight w:val="0"/>
          <w:marTop w:val="0"/>
          <w:marBottom w:val="0"/>
          <w:divBdr>
            <w:top w:val="none" w:sz="0" w:space="0" w:color="auto"/>
            <w:left w:val="none" w:sz="0" w:space="0" w:color="auto"/>
            <w:bottom w:val="none" w:sz="0" w:space="0" w:color="auto"/>
            <w:right w:val="none" w:sz="0" w:space="0" w:color="auto"/>
          </w:divBdr>
        </w:div>
        <w:div w:id="1950434130">
          <w:marLeft w:val="0"/>
          <w:marRight w:val="0"/>
          <w:marTop w:val="0"/>
          <w:marBottom w:val="0"/>
          <w:divBdr>
            <w:top w:val="none" w:sz="0" w:space="0" w:color="auto"/>
            <w:left w:val="none" w:sz="0" w:space="0" w:color="auto"/>
            <w:bottom w:val="none" w:sz="0" w:space="0" w:color="auto"/>
            <w:right w:val="none" w:sz="0" w:space="0" w:color="auto"/>
          </w:divBdr>
        </w:div>
        <w:div w:id="1163550145">
          <w:marLeft w:val="0"/>
          <w:marRight w:val="0"/>
          <w:marTop w:val="0"/>
          <w:marBottom w:val="0"/>
          <w:divBdr>
            <w:top w:val="none" w:sz="0" w:space="0" w:color="auto"/>
            <w:left w:val="none" w:sz="0" w:space="0" w:color="auto"/>
            <w:bottom w:val="none" w:sz="0" w:space="0" w:color="auto"/>
            <w:right w:val="none" w:sz="0" w:space="0" w:color="auto"/>
          </w:divBdr>
        </w:div>
        <w:div w:id="1299456132">
          <w:marLeft w:val="0"/>
          <w:marRight w:val="0"/>
          <w:marTop w:val="0"/>
          <w:marBottom w:val="0"/>
          <w:divBdr>
            <w:top w:val="none" w:sz="0" w:space="0" w:color="auto"/>
            <w:left w:val="none" w:sz="0" w:space="0" w:color="auto"/>
            <w:bottom w:val="none" w:sz="0" w:space="0" w:color="auto"/>
            <w:right w:val="none" w:sz="0" w:space="0" w:color="auto"/>
          </w:divBdr>
        </w:div>
        <w:div w:id="2068724387">
          <w:marLeft w:val="0"/>
          <w:marRight w:val="0"/>
          <w:marTop w:val="0"/>
          <w:marBottom w:val="0"/>
          <w:divBdr>
            <w:top w:val="none" w:sz="0" w:space="0" w:color="auto"/>
            <w:left w:val="none" w:sz="0" w:space="0" w:color="auto"/>
            <w:bottom w:val="none" w:sz="0" w:space="0" w:color="auto"/>
            <w:right w:val="none" w:sz="0" w:space="0" w:color="auto"/>
          </w:divBdr>
        </w:div>
        <w:div w:id="221214794">
          <w:marLeft w:val="0"/>
          <w:marRight w:val="0"/>
          <w:marTop w:val="0"/>
          <w:marBottom w:val="0"/>
          <w:divBdr>
            <w:top w:val="none" w:sz="0" w:space="0" w:color="auto"/>
            <w:left w:val="none" w:sz="0" w:space="0" w:color="auto"/>
            <w:bottom w:val="none" w:sz="0" w:space="0" w:color="auto"/>
            <w:right w:val="none" w:sz="0" w:space="0" w:color="auto"/>
          </w:divBdr>
        </w:div>
        <w:div w:id="1458527078">
          <w:marLeft w:val="0"/>
          <w:marRight w:val="0"/>
          <w:marTop w:val="0"/>
          <w:marBottom w:val="0"/>
          <w:divBdr>
            <w:top w:val="none" w:sz="0" w:space="0" w:color="auto"/>
            <w:left w:val="none" w:sz="0" w:space="0" w:color="auto"/>
            <w:bottom w:val="none" w:sz="0" w:space="0" w:color="auto"/>
            <w:right w:val="none" w:sz="0" w:space="0" w:color="auto"/>
          </w:divBdr>
        </w:div>
        <w:div w:id="119998831">
          <w:marLeft w:val="0"/>
          <w:marRight w:val="0"/>
          <w:marTop w:val="0"/>
          <w:marBottom w:val="0"/>
          <w:divBdr>
            <w:top w:val="none" w:sz="0" w:space="0" w:color="auto"/>
            <w:left w:val="none" w:sz="0" w:space="0" w:color="auto"/>
            <w:bottom w:val="none" w:sz="0" w:space="0" w:color="auto"/>
            <w:right w:val="none" w:sz="0" w:space="0" w:color="auto"/>
          </w:divBdr>
        </w:div>
        <w:div w:id="1978336986">
          <w:marLeft w:val="0"/>
          <w:marRight w:val="0"/>
          <w:marTop w:val="0"/>
          <w:marBottom w:val="0"/>
          <w:divBdr>
            <w:top w:val="none" w:sz="0" w:space="0" w:color="auto"/>
            <w:left w:val="none" w:sz="0" w:space="0" w:color="auto"/>
            <w:bottom w:val="none" w:sz="0" w:space="0" w:color="auto"/>
            <w:right w:val="none" w:sz="0" w:space="0" w:color="auto"/>
          </w:divBdr>
        </w:div>
        <w:div w:id="1707676598">
          <w:marLeft w:val="0"/>
          <w:marRight w:val="0"/>
          <w:marTop w:val="0"/>
          <w:marBottom w:val="0"/>
          <w:divBdr>
            <w:top w:val="none" w:sz="0" w:space="0" w:color="auto"/>
            <w:left w:val="none" w:sz="0" w:space="0" w:color="auto"/>
            <w:bottom w:val="none" w:sz="0" w:space="0" w:color="auto"/>
            <w:right w:val="none" w:sz="0" w:space="0" w:color="auto"/>
          </w:divBdr>
        </w:div>
        <w:div w:id="676007181">
          <w:marLeft w:val="0"/>
          <w:marRight w:val="0"/>
          <w:marTop w:val="0"/>
          <w:marBottom w:val="0"/>
          <w:divBdr>
            <w:top w:val="none" w:sz="0" w:space="0" w:color="auto"/>
            <w:left w:val="none" w:sz="0" w:space="0" w:color="auto"/>
            <w:bottom w:val="none" w:sz="0" w:space="0" w:color="auto"/>
            <w:right w:val="none" w:sz="0" w:space="0" w:color="auto"/>
          </w:divBdr>
        </w:div>
        <w:div w:id="686172204">
          <w:marLeft w:val="0"/>
          <w:marRight w:val="0"/>
          <w:marTop w:val="0"/>
          <w:marBottom w:val="0"/>
          <w:divBdr>
            <w:top w:val="none" w:sz="0" w:space="0" w:color="auto"/>
            <w:left w:val="none" w:sz="0" w:space="0" w:color="auto"/>
            <w:bottom w:val="none" w:sz="0" w:space="0" w:color="auto"/>
            <w:right w:val="none" w:sz="0" w:space="0" w:color="auto"/>
          </w:divBdr>
        </w:div>
        <w:div w:id="774636367">
          <w:marLeft w:val="0"/>
          <w:marRight w:val="0"/>
          <w:marTop w:val="0"/>
          <w:marBottom w:val="0"/>
          <w:divBdr>
            <w:top w:val="none" w:sz="0" w:space="0" w:color="auto"/>
            <w:left w:val="none" w:sz="0" w:space="0" w:color="auto"/>
            <w:bottom w:val="none" w:sz="0" w:space="0" w:color="auto"/>
            <w:right w:val="none" w:sz="0" w:space="0" w:color="auto"/>
          </w:divBdr>
        </w:div>
        <w:div w:id="1736514485">
          <w:marLeft w:val="0"/>
          <w:marRight w:val="0"/>
          <w:marTop w:val="0"/>
          <w:marBottom w:val="0"/>
          <w:divBdr>
            <w:top w:val="none" w:sz="0" w:space="0" w:color="auto"/>
            <w:left w:val="none" w:sz="0" w:space="0" w:color="auto"/>
            <w:bottom w:val="none" w:sz="0" w:space="0" w:color="auto"/>
            <w:right w:val="none" w:sz="0" w:space="0" w:color="auto"/>
          </w:divBdr>
        </w:div>
        <w:div w:id="1921938562">
          <w:marLeft w:val="0"/>
          <w:marRight w:val="0"/>
          <w:marTop w:val="0"/>
          <w:marBottom w:val="0"/>
          <w:divBdr>
            <w:top w:val="none" w:sz="0" w:space="0" w:color="auto"/>
            <w:left w:val="none" w:sz="0" w:space="0" w:color="auto"/>
            <w:bottom w:val="none" w:sz="0" w:space="0" w:color="auto"/>
            <w:right w:val="none" w:sz="0" w:space="0" w:color="auto"/>
          </w:divBdr>
        </w:div>
        <w:div w:id="1021584767">
          <w:marLeft w:val="0"/>
          <w:marRight w:val="0"/>
          <w:marTop w:val="0"/>
          <w:marBottom w:val="0"/>
          <w:divBdr>
            <w:top w:val="none" w:sz="0" w:space="0" w:color="auto"/>
            <w:left w:val="none" w:sz="0" w:space="0" w:color="auto"/>
            <w:bottom w:val="none" w:sz="0" w:space="0" w:color="auto"/>
            <w:right w:val="none" w:sz="0" w:space="0" w:color="auto"/>
          </w:divBdr>
        </w:div>
        <w:div w:id="203368179">
          <w:marLeft w:val="0"/>
          <w:marRight w:val="0"/>
          <w:marTop w:val="0"/>
          <w:marBottom w:val="0"/>
          <w:divBdr>
            <w:top w:val="none" w:sz="0" w:space="0" w:color="auto"/>
            <w:left w:val="none" w:sz="0" w:space="0" w:color="auto"/>
            <w:bottom w:val="none" w:sz="0" w:space="0" w:color="auto"/>
            <w:right w:val="none" w:sz="0" w:space="0" w:color="auto"/>
          </w:divBdr>
        </w:div>
        <w:div w:id="1520005210">
          <w:marLeft w:val="0"/>
          <w:marRight w:val="0"/>
          <w:marTop w:val="0"/>
          <w:marBottom w:val="0"/>
          <w:divBdr>
            <w:top w:val="none" w:sz="0" w:space="0" w:color="auto"/>
            <w:left w:val="none" w:sz="0" w:space="0" w:color="auto"/>
            <w:bottom w:val="none" w:sz="0" w:space="0" w:color="auto"/>
            <w:right w:val="none" w:sz="0" w:space="0" w:color="auto"/>
          </w:divBdr>
        </w:div>
        <w:div w:id="1682273238">
          <w:marLeft w:val="0"/>
          <w:marRight w:val="0"/>
          <w:marTop w:val="0"/>
          <w:marBottom w:val="0"/>
          <w:divBdr>
            <w:top w:val="none" w:sz="0" w:space="0" w:color="auto"/>
            <w:left w:val="none" w:sz="0" w:space="0" w:color="auto"/>
            <w:bottom w:val="none" w:sz="0" w:space="0" w:color="auto"/>
            <w:right w:val="none" w:sz="0" w:space="0" w:color="auto"/>
          </w:divBdr>
        </w:div>
        <w:div w:id="254097779">
          <w:marLeft w:val="0"/>
          <w:marRight w:val="0"/>
          <w:marTop w:val="0"/>
          <w:marBottom w:val="0"/>
          <w:divBdr>
            <w:top w:val="none" w:sz="0" w:space="0" w:color="auto"/>
            <w:left w:val="none" w:sz="0" w:space="0" w:color="auto"/>
            <w:bottom w:val="none" w:sz="0" w:space="0" w:color="auto"/>
            <w:right w:val="none" w:sz="0" w:space="0" w:color="auto"/>
          </w:divBdr>
        </w:div>
        <w:div w:id="122159478">
          <w:marLeft w:val="0"/>
          <w:marRight w:val="0"/>
          <w:marTop w:val="0"/>
          <w:marBottom w:val="0"/>
          <w:divBdr>
            <w:top w:val="none" w:sz="0" w:space="0" w:color="auto"/>
            <w:left w:val="none" w:sz="0" w:space="0" w:color="auto"/>
            <w:bottom w:val="none" w:sz="0" w:space="0" w:color="auto"/>
            <w:right w:val="none" w:sz="0" w:space="0" w:color="auto"/>
          </w:divBdr>
        </w:div>
        <w:div w:id="344134312">
          <w:marLeft w:val="0"/>
          <w:marRight w:val="0"/>
          <w:marTop w:val="0"/>
          <w:marBottom w:val="0"/>
          <w:divBdr>
            <w:top w:val="none" w:sz="0" w:space="0" w:color="auto"/>
            <w:left w:val="none" w:sz="0" w:space="0" w:color="auto"/>
            <w:bottom w:val="none" w:sz="0" w:space="0" w:color="auto"/>
            <w:right w:val="none" w:sz="0" w:space="0" w:color="auto"/>
          </w:divBdr>
        </w:div>
        <w:div w:id="1420365637">
          <w:marLeft w:val="0"/>
          <w:marRight w:val="0"/>
          <w:marTop w:val="0"/>
          <w:marBottom w:val="0"/>
          <w:divBdr>
            <w:top w:val="none" w:sz="0" w:space="0" w:color="auto"/>
            <w:left w:val="none" w:sz="0" w:space="0" w:color="auto"/>
            <w:bottom w:val="none" w:sz="0" w:space="0" w:color="auto"/>
            <w:right w:val="none" w:sz="0" w:space="0" w:color="auto"/>
          </w:divBdr>
        </w:div>
        <w:div w:id="1436830017">
          <w:marLeft w:val="0"/>
          <w:marRight w:val="0"/>
          <w:marTop w:val="0"/>
          <w:marBottom w:val="0"/>
          <w:divBdr>
            <w:top w:val="none" w:sz="0" w:space="0" w:color="auto"/>
            <w:left w:val="none" w:sz="0" w:space="0" w:color="auto"/>
            <w:bottom w:val="none" w:sz="0" w:space="0" w:color="auto"/>
            <w:right w:val="none" w:sz="0" w:space="0" w:color="auto"/>
          </w:divBdr>
        </w:div>
        <w:div w:id="1918049663">
          <w:marLeft w:val="0"/>
          <w:marRight w:val="0"/>
          <w:marTop w:val="0"/>
          <w:marBottom w:val="0"/>
          <w:divBdr>
            <w:top w:val="none" w:sz="0" w:space="0" w:color="auto"/>
            <w:left w:val="none" w:sz="0" w:space="0" w:color="auto"/>
            <w:bottom w:val="none" w:sz="0" w:space="0" w:color="auto"/>
            <w:right w:val="none" w:sz="0" w:space="0" w:color="auto"/>
          </w:divBdr>
        </w:div>
        <w:div w:id="667832759">
          <w:marLeft w:val="0"/>
          <w:marRight w:val="0"/>
          <w:marTop w:val="0"/>
          <w:marBottom w:val="0"/>
          <w:divBdr>
            <w:top w:val="none" w:sz="0" w:space="0" w:color="auto"/>
            <w:left w:val="none" w:sz="0" w:space="0" w:color="auto"/>
            <w:bottom w:val="none" w:sz="0" w:space="0" w:color="auto"/>
            <w:right w:val="none" w:sz="0" w:space="0" w:color="auto"/>
          </w:divBdr>
        </w:div>
        <w:div w:id="1737976798">
          <w:marLeft w:val="0"/>
          <w:marRight w:val="0"/>
          <w:marTop w:val="0"/>
          <w:marBottom w:val="0"/>
          <w:divBdr>
            <w:top w:val="none" w:sz="0" w:space="0" w:color="auto"/>
            <w:left w:val="none" w:sz="0" w:space="0" w:color="auto"/>
            <w:bottom w:val="none" w:sz="0" w:space="0" w:color="auto"/>
            <w:right w:val="none" w:sz="0" w:space="0" w:color="auto"/>
          </w:divBdr>
        </w:div>
        <w:div w:id="1040783583">
          <w:marLeft w:val="0"/>
          <w:marRight w:val="0"/>
          <w:marTop w:val="0"/>
          <w:marBottom w:val="0"/>
          <w:divBdr>
            <w:top w:val="none" w:sz="0" w:space="0" w:color="auto"/>
            <w:left w:val="none" w:sz="0" w:space="0" w:color="auto"/>
            <w:bottom w:val="none" w:sz="0" w:space="0" w:color="auto"/>
            <w:right w:val="none" w:sz="0" w:space="0" w:color="auto"/>
          </w:divBdr>
        </w:div>
        <w:div w:id="821042396">
          <w:marLeft w:val="0"/>
          <w:marRight w:val="0"/>
          <w:marTop w:val="0"/>
          <w:marBottom w:val="0"/>
          <w:divBdr>
            <w:top w:val="none" w:sz="0" w:space="0" w:color="auto"/>
            <w:left w:val="none" w:sz="0" w:space="0" w:color="auto"/>
            <w:bottom w:val="none" w:sz="0" w:space="0" w:color="auto"/>
            <w:right w:val="none" w:sz="0" w:space="0" w:color="auto"/>
          </w:divBdr>
        </w:div>
        <w:div w:id="982084272">
          <w:marLeft w:val="0"/>
          <w:marRight w:val="0"/>
          <w:marTop w:val="0"/>
          <w:marBottom w:val="0"/>
          <w:divBdr>
            <w:top w:val="none" w:sz="0" w:space="0" w:color="auto"/>
            <w:left w:val="none" w:sz="0" w:space="0" w:color="auto"/>
            <w:bottom w:val="none" w:sz="0" w:space="0" w:color="auto"/>
            <w:right w:val="none" w:sz="0" w:space="0" w:color="auto"/>
          </w:divBdr>
        </w:div>
        <w:div w:id="461075993">
          <w:marLeft w:val="0"/>
          <w:marRight w:val="0"/>
          <w:marTop w:val="0"/>
          <w:marBottom w:val="0"/>
          <w:divBdr>
            <w:top w:val="none" w:sz="0" w:space="0" w:color="auto"/>
            <w:left w:val="none" w:sz="0" w:space="0" w:color="auto"/>
            <w:bottom w:val="none" w:sz="0" w:space="0" w:color="auto"/>
            <w:right w:val="none" w:sz="0" w:space="0" w:color="auto"/>
          </w:divBdr>
        </w:div>
        <w:div w:id="1454858143">
          <w:marLeft w:val="0"/>
          <w:marRight w:val="0"/>
          <w:marTop w:val="0"/>
          <w:marBottom w:val="0"/>
          <w:divBdr>
            <w:top w:val="none" w:sz="0" w:space="0" w:color="auto"/>
            <w:left w:val="none" w:sz="0" w:space="0" w:color="auto"/>
            <w:bottom w:val="none" w:sz="0" w:space="0" w:color="auto"/>
            <w:right w:val="none" w:sz="0" w:space="0" w:color="auto"/>
          </w:divBdr>
        </w:div>
        <w:div w:id="1907298176">
          <w:marLeft w:val="0"/>
          <w:marRight w:val="0"/>
          <w:marTop w:val="0"/>
          <w:marBottom w:val="0"/>
          <w:divBdr>
            <w:top w:val="none" w:sz="0" w:space="0" w:color="auto"/>
            <w:left w:val="none" w:sz="0" w:space="0" w:color="auto"/>
            <w:bottom w:val="none" w:sz="0" w:space="0" w:color="auto"/>
            <w:right w:val="none" w:sz="0" w:space="0" w:color="auto"/>
          </w:divBdr>
        </w:div>
        <w:div w:id="778909277">
          <w:marLeft w:val="0"/>
          <w:marRight w:val="0"/>
          <w:marTop w:val="0"/>
          <w:marBottom w:val="0"/>
          <w:divBdr>
            <w:top w:val="none" w:sz="0" w:space="0" w:color="auto"/>
            <w:left w:val="none" w:sz="0" w:space="0" w:color="auto"/>
            <w:bottom w:val="none" w:sz="0" w:space="0" w:color="auto"/>
            <w:right w:val="none" w:sz="0" w:space="0" w:color="auto"/>
          </w:divBdr>
        </w:div>
        <w:div w:id="591740561">
          <w:marLeft w:val="0"/>
          <w:marRight w:val="0"/>
          <w:marTop w:val="0"/>
          <w:marBottom w:val="0"/>
          <w:divBdr>
            <w:top w:val="none" w:sz="0" w:space="0" w:color="auto"/>
            <w:left w:val="none" w:sz="0" w:space="0" w:color="auto"/>
            <w:bottom w:val="none" w:sz="0" w:space="0" w:color="auto"/>
            <w:right w:val="none" w:sz="0" w:space="0" w:color="auto"/>
          </w:divBdr>
        </w:div>
        <w:div w:id="1340155303">
          <w:marLeft w:val="0"/>
          <w:marRight w:val="0"/>
          <w:marTop w:val="0"/>
          <w:marBottom w:val="0"/>
          <w:divBdr>
            <w:top w:val="none" w:sz="0" w:space="0" w:color="auto"/>
            <w:left w:val="none" w:sz="0" w:space="0" w:color="auto"/>
            <w:bottom w:val="none" w:sz="0" w:space="0" w:color="auto"/>
            <w:right w:val="none" w:sz="0" w:space="0" w:color="auto"/>
          </w:divBdr>
        </w:div>
        <w:div w:id="2058046348">
          <w:marLeft w:val="0"/>
          <w:marRight w:val="0"/>
          <w:marTop w:val="0"/>
          <w:marBottom w:val="0"/>
          <w:divBdr>
            <w:top w:val="none" w:sz="0" w:space="0" w:color="auto"/>
            <w:left w:val="none" w:sz="0" w:space="0" w:color="auto"/>
            <w:bottom w:val="none" w:sz="0" w:space="0" w:color="auto"/>
            <w:right w:val="none" w:sz="0" w:space="0" w:color="auto"/>
          </w:divBdr>
        </w:div>
        <w:div w:id="1269892397">
          <w:marLeft w:val="0"/>
          <w:marRight w:val="0"/>
          <w:marTop w:val="0"/>
          <w:marBottom w:val="0"/>
          <w:divBdr>
            <w:top w:val="none" w:sz="0" w:space="0" w:color="auto"/>
            <w:left w:val="none" w:sz="0" w:space="0" w:color="auto"/>
            <w:bottom w:val="none" w:sz="0" w:space="0" w:color="auto"/>
            <w:right w:val="none" w:sz="0" w:space="0" w:color="auto"/>
          </w:divBdr>
        </w:div>
        <w:div w:id="585848640">
          <w:marLeft w:val="0"/>
          <w:marRight w:val="0"/>
          <w:marTop w:val="0"/>
          <w:marBottom w:val="0"/>
          <w:divBdr>
            <w:top w:val="none" w:sz="0" w:space="0" w:color="auto"/>
            <w:left w:val="none" w:sz="0" w:space="0" w:color="auto"/>
            <w:bottom w:val="none" w:sz="0" w:space="0" w:color="auto"/>
            <w:right w:val="none" w:sz="0" w:space="0" w:color="auto"/>
          </w:divBdr>
        </w:div>
        <w:div w:id="1436484022">
          <w:marLeft w:val="0"/>
          <w:marRight w:val="0"/>
          <w:marTop w:val="0"/>
          <w:marBottom w:val="0"/>
          <w:divBdr>
            <w:top w:val="none" w:sz="0" w:space="0" w:color="auto"/>
            <w:left w:val="none" w:sz="0" w:space="0" w:color="auto"/>
            <w:bottom w:val="none" w:sz="0" w:space="0" w:color="auto"/>
            <w:right w:val="none" w:sz="0" w:space="0" w:color="auto"/>
          </w:divBdr>
        </w:div>
        <w:div w:id="1041595268">
          <w:marLeft w:val="0"/>
          <w:marRight w:val="0"/>
          <w:marTop w:val="0"/>
          <w:marBottom w:val="0"/>
          <w:divBdr>
            <w:top w:val="none" w:sz="0" w:space="0" w:color="auto"/>
            <w:left w:val="none" w:sz="0" w:space="0" w:color="auto"/>
            <w:bottom w:val="none" w:sz="0" w:space="0" w:color="auto"/>
            <w:right w:val="none" w:sz="0" w:space="0" w:color="auto"/>
          </w:divBdr>
        </w:div>
        <w:div w:id="918322392">
          <w:marLeft w:val="0"/>
          <w:marRight w:val="0"/>
          <w:marTop w:val="0"/>
          <w:marBottom w:val="0"/>
          <w:divBdr>
            <w:top w:val="none" w:sz="0" w:space="0" w:color="auto"/>
            <w:left w:val="none" w:sz="0" w:space="0" w:color="auto"/>
            <w:bottom w:val="none" w:sz="0" w:space="0" w:color="auto"/>
            <w:right w:val="none" w:sz="0" w:space="0" w:color="auto"/>
          </w:divBdr>
        </w:div>
        <w:div w:id="187450647">
          <w:marLeft w:val="0"/>
          <w:marRight w:val="0"/>
          <w:marTop w:val="0"/>
          <w:marBottom w:val="0"/>
          <w:divBdr>
            <w:top w:val="none" w:sz="0" w:space="0" w:color="auto"/>
            <w:left w:val="none" w:sz="0" w:space="0" w:color="auto"/>
            <w:bottom w:val="none" w:sz="0" w:space="0" w:color="auto"/>
            <w:right w:val="none" w:sz="0" w:space="0" w:color="auto"/>
          </w:divBdr>
        </w:div>
        <w:div w:id="423845482">
          <w:marLeft w:val="0"/>
          <w:marRight w:val="0"/>
          <w:marTop w:val="0"/>
          <w:marBottom w:val="0"/>
          <w:divBdr>
            <w:top w:val="none" w:sz="0" w:space="0" w:color="auto"/>
            <w:left w:val="none" w:sz="0" w:space="0" w:color="auto"/>
            <w:bottom w:val="none" w:sz="0" w:space="0" w:color="auto"/>
            <w:right w:val="none" w:sz="0" w:space="0" w:color="auto"/>
          </w:divBdr>
        </w:div>
        <w:div w:id="759302606">
          <w:marLeft w:val="0"/>
          <w:marRight w:val="0"/>
          <w:marTop w:val="0"/>
          <w:marBottom w:val="0"/>
          <w:divBdr>
            <w:top w:val="none" w:sz="0" w:space="0" w:color="auto"/>
            <w:left w:val="none" w:sz="0" w:space="0" w:color="auto"/>
            <w:bottom w:val="none" w:sz="0" w:space="0" w:color="auto"/>
            <w:right w:val="none" w:sz="0" w:space="0" w:color="auto"/>
          </w:divBdr>
        </w:div>
        <w:div w:id="798916496">
          <w:marLeft w:val="0"/>
          <w:marRight w:val="0"/>
          <w:marTop w:val="0"/>
          <w:marBottom w:val="0"/>
          <w:divBdr>
            <w:top w:val="none" w:sz="0" w:space="0" w:color="auto"/>
            <w:left w:val="none" w:sz="0" w:space="0" w:color="auto"/>
            <w:bottom w:val="none" w:sz="0" w:space="0" w:color="auto"/>
            <w:right w:val="none" w:sz="0" w:space="0" w:color="auto"/>
          </w:divBdr>
        </w:div>
        <w:div w:id="1722055402">
          <w:marLeft w:val="0"/>
          <w:marRight w:val="0"/>
          <w:marTop w:val="0"/>
          <w:marBottom w:val="0"/>
          <w:divBdr>
            <w:top w:val="none" w:sz="0" w:space="0" w:color="auto"/>
            <w:left w:val="none" w:sz="0" w:space="0" w:color="auto"/>
            <w:bottom w:val="none" w:sz="0" w:space="0" w:color="auto"/>
            <w:right w:val="none" w:sz="0" w:space="0" w:color="auto"/>
          </w:divBdr>
        </w:div>
        <w:div w:id="317458854">
          <w:marLeft w:val="0"/>
          <w:marRight w:val="0"/>
          <w:marTop w:val="0"/>
          <w:marBottom w:val="0"/>
          <w:divBdr>
            <w:top w:val="none" w:sz="0" w:space="0" w:color="auto"/>
            <w:left w:val="none" w:sz="0" w:space="0" w:color="auto"/>
            <w:bottom w:val="none" w:sz="0" w:space="0" w:color="auto"/>
            <w:right w:val="none" w:sz="0" w:space="0" w:color="auto"/>
          </w:divBdr>
        </w:div>
        <w:div w:id="1008024553">
          <w:marLeft w:val="0"/>
          <w:marRight w:val="0"/>
          <w:marTop w:val="0"/>
          <w:marBottom w:val="0"/>
          <w:divBdr>
            <w:top w:val="none" w:sz="0" w:space="0" w:color="auto"/>
            <w:left w:val="none" w:sz="0" w:space="0" w:color="auto"/>
            <w:bottom w:val="none" w:sz="0" w:space="0" w:color="auto"/>
            <w:right w:val="none" w:sz="0" w:space="0" w:color="auto"/>
          </w:divBdr>
        </w:div>
        <w:div w:id="36709151">
          <w:marLeft w:val="0"/>
          <w:marRight w:val="0"/>
          <w:marTop w:val="0"/>
          <w:marBottom w:val="0"/>
          <w:divBdr>
            <w:top w:val="none" w:sz="0" w:space="0" w:color="auto"/>
            <w:left w:val="none" w:sz="0" w:space="0" w:color="auto"/>
            <w:bottom w:val="none" w:sz="0" w:space="0" w:color="auto"/>
            <w:right w:val="none" w:sz="0" w:space="0" w:color="auto"/>
          </w:divBdr>
        </w:div>
        <w:div w:id="2073652314">
          <w:marLeft w:val="0"/>
          <w:marRight w:val="0"/>
          <w:marTop w:val="0"/>
          <w:marBottom w:val="0"/>
          <w:divBdr>
            <w:top w:val="none" w:sz="0" w:space="0" w:color="auto"/>
            <w:left w:val="none" w:sz="0" w:space="0" w:color="auto"/>
            <w:bottom w:val="none" w:sz="0" w:space="0" w:color="auto"/>
            <w:right w:val="none" w:sz="0" w:space="0" w:color="auto"/>
          </w:divBdr>
        </w:div>
        <w:div w:id="1430082931">
          <w:marLeft w:val="0"/>
          <w:marRight w:val="0"/>
          <w:marTop w:val="0"/>
          <w:marBottom w:val="0"/>
          <w:divBdr>
            <w:top w:val="none" w:sz="0" w:space="0" w:color="auto"/>
            <w:left w:val="none" w:sz="0" w:space="0" w:color="auto"/>
            <w:bottom w:val="none" w:sz="0" w:space="0" w:color="auto"/>
            <w:right w:val="none" w:sz="0" w:space="0" w:color="auto"/>
          </w:divBdr>
        </w:div>
        <w:div w:id="864365530">
          <w:marLeft w:val="0"/>
          <w:marRight w:val="0"/>
          <w:marTop w:val="0"/>
          <w:marBottom w:val="0"/>
          <w:divBdr>
            <w:top w:val="none" w:sz="0" w:space="0" w:color="auto"/>
            <w:left w:val="none" w:sz="0" w:space="0" w:color="auto"/>
            <w:bottom w:val="none" w:sz="0" w:space="0" w:color="auto"/>
            <w:right w:val="none" w:sz="0" w:space="0" w:color="auto"/>
          </w:divBdr>
        </w:div>
        <w:div w:id="1874997732">
          <w:marLeft w:val="0"/>
          <w:marRight w:val="0"/>
          <w:marTop w:val="0"/>
          <w:marBottom w:val="0"/>
          <w:divBdr>
            <w:top w:val="none" w:sz="0" w:space="0" w:color="auto"/>
            <w:left w:val="none" w:sz="0" w:space="0" w:color="auto"/>
            <w:bottom w:val="none" w:sz="0" w:space="0" w:color="auto"/>
            <w:right w:val="none" w:sz="0" w:space="0" w:color="auto"/>
          </w:divBdr>
        </w:div>
        <w:div w:id="68045258">
          <w:marLeft w:val="0"/>
          <w:marRight w:val="0"/>
          <w:marTop w:val="0"/>
          <w:marBottom w:val="0"/>
          <w:divBdr>
            <w:top w:val="none" w:sz="0" w:space="0" w:color="auto"/>
            <w:left w:val="none" w:sz="0" w:space="0" w:color="auto"/>
            <w:bottom w:val="none" w:sz="0" w:space="0" w:color="auto"/>
            <w:right w:val="none" w:sz="0" w:space="0" w:color="auto"/>
          </w:divBdr>
        </w:div>
        <w:div w:id="1541481393">
          <w:marLeft w:val="0"/>
          <w:marRight w:val="0"/>
          <w:marTop w:val="0"/>
          <w:marBottom w:val="0"/>
          <w:divBdr>
            <w:top w:val="none" w:sz="0" w:space="0" w:color="auto"/>
            <w:left w:val="none" w:sz="0" w:space="0" w:color="auto"/>
            <w:bottom w:val="none" w:sz="0" w:space="0" w:color="auto"/>
            <w:right w:val="none" w:sz="0" w:space="0" w:color="auto"/>
          </w:divBdr>
        </w:div>
        <w:div w:id="1277904428">
          <w:marLeft w:val="0"/>
          <w:marRight w:val="0"/>
          <w:marTop w:val="0"/>
          <w:marBottom w:val="0"/>
          <w:divBdr>
            <w:top w:val="none" w:sz="0" w:space="0" w:color="auto"/>
            <w:left w:val="none" w:sz="0" w:space="0" w:color="auto"/>
            <w:bottom w:val="none" w:sz="0" w:space="0" w:color="auto"/>
            <w:right w:val="none" w:sz="0" w:space="0" w:color="auto"/>
          </w:divBdr>
        </w:div>
        <w:div w:id="338629708">
          <w:marLeft w:val="0"/>
          <w:marRight w:val="0"/>
          <w:marTop w:val="0"/>
          <w:marBottom w:val="0"/>
          <w:divBdr>
            <w:top w:val="none" w:sz="0" w:space="0" w:color="auto"/>
            <w:left w:val="none" w:sz="0" w:space="0" w:color="auto"/>
            <w:bottom w:val="none" w:sz="0" w:space="0" w:color="auto"/>
            <w:right w:val="none" w:sz="0" w:space="0" w:color="auto"/>
          </w:divBdr>
        </w:div>
        <w:div w:id="1111975251">
          <w:marLeft w:val="0"/>
          <w:marRight w:val="0"/>
          <w:marTop w:val="0"/>
          <w:marBottom w:val="0"/>
          <w:divBdr>
            <w:top w:val="none" w:sz="0" w:space="0" w:color="auto"/>
            <w:left w:val="none" w:sz="0" w:space="0" w:color="auto"/>
            <w:bottom w:val="none" w:sz="0" w:space="0" w:color="auto"/>
            <w:right w:val="none" w:sz="0" w:space="0" w:color="auto"/>
          </w:divBdr>
        </w:div>
        <w:div w:id="1176773413">
          <w:marLeft w:val="0"/>
          <w:marRight w:val="0"/>
          <w:marTop w:val="0"/>
          <w:marBottom w:val="0"/>
          <w:divBdr>
            <w:top w:val="none" w:sz="0" w:space="0" w:color="auto"/>
            <w:left w:val="none" w:sz="0" w:space="0" w:color="auto"/>
            <w:bottom w:val="none" w:sz="0" w:space="0" w:color="auto"/>
            <w:right w:val="none" w:sz="0" w:space="0" w:color="auto"/>
          </w:divBdr>
        </w:div>
        <w:div w:id="1276059470">
          <w:marLeft w:val="0"/>
          <w:marRight w:val="0"/>
          <w:marTop w:val="0"/>
          <w:marBottom w:val="0"/>
          <w:divBdr>
            <w:top w:val="none" w:sz="0" w:space="0" w:color="auto"/>
            <w:left w:val="none" w:sz="0" w:space="0" w:color="auto"/>
            <w:bottom w:val="none" w:sz="0" w:space="0" w:color="auto"/>
            <w:right w:val="none" w:sz="0" w:space="0" w:color="auto"/>
          </w:divBdr>
        </w:div>
        <w:div w:id="173229834">
          <w:marLeft w:val="0"/>
          <w:marRight w:val="0"/>
          <w:marTop w:val="0"/>
          <w:marBottom w:val="0"/>
          <w:divBdr>
            <w:top w:val="none" w:sz="0" w:space="0" w:color="auto"/>
            <w:left w:val="none" w:sz="0" w:space="0" w:color="auto"/>
            <w:bottom w:val="none" w:sz="0" w:space="0" w:color="auto"/>
            <w:right w:val="none" w:sz="0" w:space="0" w:color="auto"/>
          </w:divBdr>
        </w:div>
        <w:div w:id="1857504367">
          <w:marLeft w:val="0"/>
          <w:marRight w:val="0"/>
          <w:marTop w:val="0"/>
          <w:marBottom w:val="0"/>
          <w:divBdr>
            <w:top w:val="none" w:sz="0" w:space="0" w:color="auto"/>
            <w:left w:val="none" w:sz="0" w:space="0" w:color="auto"/>
            <w:bottom w:val="none" w:sz="0" w:space="0" w:color="auto"/>
            <w:right w:val="none" w:sz="0" w:space="0" w:color="auto"/>
          </w:divBdr>
        </w:div>
        <w:div w:id="26028875">
          <w:marLeft w:val="0"/>
          <w:marRight w:val="0"/>
          <w:marTop w:val="0"/>
          <w:marBottom w:val="0"/>
          <w:divBdr>
            <w:top w:val="none" w:sz="0" w:space="0" w:color="auto"/>
            <w:left w:val="none" w:sz="0" w:space="0" w:color="auto"/>
            <w:bottom w:val="none" w:sz="0" w:space="0" w:color="auto"/>
            <w:right w:val="none" w:sz="0" w:space="0" w:color="auto"/>
          </w:divBdr>
        </w:div>
        <w:div w:id="1651056061">
          <w:marLeft w:val="0"/>
          <w:marRight w:val="0"/>
          <w:marTop w:val="0"/>
          <w:marBottom w:val="0"/>
          <w:divBdr>
            <w:top w:val="none" w:sz="0" w:space="0" w:color="auto"/>
            <w:left w:val="none" w:sz="0" w:space="0" w:color="auto"/>
            <w:bottom w:val="none" w:sz="0" w:space="0" w:color="auto"/>
            <w:right w:val="none" w:sz="0" w:space="0" w:color="auto"/>
          </w:divBdr>
        </w:div>
        <w:div w:id="1541624883">
          <w:marLeft w:val="0"/>
          <w:marRight w:val="0"/>
          <w:marTop w:val="0"/>
          <w:marBottom w:val="0"/>
          <w:divBdr>
            <w:top w:val="none" w:sz="0" w:space="0" w:color="auto"/>
            <w:left w:val="none" w:sz="0" w:space="0" w:color="auto"/>
            <w:bottom w:val="none" w:sz="0" w:space="0" w:color="auto"/>
            <w:right w:val="none" w:sz="0" w:space="0" w:color="auto"/>
          </w:divBdr>
        </w:div>
        <w:div w:id="1424765621">
          <w:marLeft w:val="0"/>
          <w:marRight w:val="0"/>
          <w:marTop w:val="0"/>
          <w:marBottom w:val="0"/>
          <w:divBdr>
            <w:top w:val="none" w:sz="0" w:space="0" w:color="auto"/>
            <w:left w:val="none" w:sz="0" w:space="0" w:color="auto"/>
            <w:bottom w:val="none" w:sz="0" w:space="0" w:color="auto"/>
            <w:right w:val="none" w:sz="0" w:space="0" w:color="auto"/>
          </w:divBdr>
        </w:div>
        <w:div w:id="1461193670">
          <w:marLeft w:val="0"/>
          <w:marRight w:val="0"/>
          <w:marTop w:val="0"/>
          <w:marBottom w:val="0"/>
          <w:divBdr>
            <w:top w:val="none" w:sz="0" w:space="0" w:color="auto"/>
            <w:left w:val="none" w:sz="0" w:space="0" w:color="auto"/>
            <w:bottom w:val="none" w:sz="0" w:space="0" w:color="auto"/>
            <w:right w:val="none" w:sz="0" w:space="0" w:color="auto"/>
          </w:divBdr>
        </w:div>
        <w:div w:id="1004670087">
          <w:marLeft w:val="0"/>
          <w:marRight w:val="0"/>
          <w:marTop w:val="0"/>
          <w:marBottom w:val="0"/>
          <w:divBdr>
            <w:top w:val="none" w:sz="0" w:space="0" w:color="auto"/>
            <w:left w:val="none" w:sz="0" w:space="0" w:color="auto"/>
            <w:bottom w:val="none" w:sz="0" w:space="0" w:color="auto"/>
            <w:right w:val="none" w:sz="0" w:space="0" w:color="auto"/>
          </w:divBdr>
        </w:div>
        <w:div w:id="872109235">
          <w:marLeft w:val="0"/>
          <w:marRight w:val="0"/>
          <w:marTop w:val="0"/>
          <w:marBottom w:val="0"/>
          <w:divBdr>
            <w:top w:val="none" w:sz="0" w:space="0" w:color="auto"/>
            <w:left w:val="none" w:sz="0" w:space="0" w:color="auto"/>
            <w:bottom w:val="none" w:sz="0" w:space="0" w:color="auto"/>
            <w:right w:val="none" w:sz="0" w:space="0" w:color="auto"/>
          </w:divBdr>
        </w:div>
        <w:div w:id="1988778428">
          <w:marLeft w:val="0"/>
          <w:marRight w:val="0"/>
          <w:marTop w:val="0"/>
          <w:marBottom w:val="0"/>
          <w:divBdr>
            <w:top w:val="none" w:sz="0" w:space="0" w:color="auto"/>
            <w:left w:val="none" w:sz="0" w:space="0" w:color="auto"/>
            <w:bottom w:val="none" w:sz="0" w:space="0" w:color="auto"/>
            <w:right w:val="none" w:sz="0" w:space="0" w:color="auto"/>
          </w:divBdr>
        </w:div>
        <w:div w:id="557277468">
          <w:marLeft w:val="0"/>
          <w:marRight w:val="0"/>
          <w:marTop w:val="0"/>
          <w:marBottom w:val="0"/>
          <w:divBdr>
            <w:top w:val="none" w:sz="0" w:space="0" w:color="auto"/>
            <w:left w:val="none" w:sz="0" w:space="0" w:color="auto"/>
            <w:bottom w:val="none" w:sz="0" w:space="0" w:color="auto"/>
            <w:right w:val="none" w:sz="0" w:space="0" w:color="auto"/>
          </w:divBdr>
        </w:div>
        <w:div w:id="187109346">
          <w:marLeft w:val="0"/>
          <w:marRight w:val="0"/>
          <w:marTop w:val="0"/>
          <w:marBottom w:val="0"/>
          <w:divBdr>
            <w:top w:val="none" w:sz="0" w:space="0" w:color="auto"/>
            <w:left w:val="none" w:sz="0" w:space="0" w:color="auto"/>
            <w:bottom w:val="none" w:sz="0" w:space="0" w:color="auto"/>
            <w:right w:val="none" w:sz="0" w:space="0" w:color="auto"/>
          </w:divBdr>
        </w:div>
        <w:div w:id="1647978580">
          <w:marLeft w:val="0"/>
          <w:marRight w:val="0"/>
          <w:marTop w:val="0"/>
          <w:marBottom w:val="0"/>
          <w:divBdr>
            <w:top w:val="none" w:sz="0" w:space="0" w:color="auto"/>
            <w:left w:val="none" w:sz="0" w:space="0" w:color="auto"/>
            <w:bottom w:val="none" w:sz="0" w:space="0" w:color="auto"/>
            <w:right w:val="none" w:sz="0" w:space="0" w:color="auto"/>
          </w:divBdr>
        </w:div>
        <w:div w:id="572156364">
          <w:marLeft w:val="0"/>
          <w:marRight w:val="0"/>
          <w:marTop w:val="0"/>
          <w:marBottom w:val="0"/>
          <w:divBdr>
            <w:top w:val="none" w:sz="0" w:space="0" w:color="auto"/>
            <w:left w:val="none" w:sz="0" w:space="0" w:color="auto"/>
            <w:bottom w:val="none" w:sz="0" w:space="0" w:color="auto"/>
            <w:right w:val="none" w:sz="0" w:space="0" w:color="auto"/>
          </w:divBdr>
        </w:div>
        <w:div w:id="1847087210">
          <w:marLeft w:val="0"/>
          <w:marRight w:val="0"/>
          <w:marTop w:val="0"/>
          <w:marBottom w:val="0"/>
          <w:divBdr>
            <w:top w:val="none" w:sz="0" w:space="0" w:color="auto"/>
            <w:left w:val="none" w:sz="0" w:space="0" w:color="auto"/>
            <w:bottom w:val="none" w:sz="0" w:space="0" w:color="auto"/>
            <w:right w:val="none" w:sz="0" w:space="0" w:color="auto"/>
          </w:divBdr>
        </w:div>
        <w:div w:id="86972284">
          <w:marLeft w:val="0"/>
          <w:marRight w:val="0"/>
          <w:marTop w:val="0"/>
          <w:marBottom w:val="0"/>
          <w:divBdr>
            <w:top w:val="none" w:sz="0" w:space="0" w:color="auto"/>
            <w:left w:val="none" w:sz="0" w:space="0" w:color="auto"/>
            <w:bottom w:val="none" w:sz="0" w:space="0" w:color="auto"/>
            <w:right w:val="none" w:sz="0" w:space="0" w:color="auto"/>
          </w:divBdr>
        </w:div>
        <w:div w:id="2134712471">
          <w:marLeft w:val="0"/>
          <w:marRight w:val="0"/>
          <w:marTop w:val="0"/>
          <w:marBottom w:val="0"/>
          <w:divBdr>
            <w:top w:val="none" w:sz="0" w:space="0" w:color="auto"/>
            <w:left w:val="none" w:sz="0" w:space="0" w:color="auto"/>
            <w:bottom w:val="none" w:sz="0" w:space="0" w:color="auto"/>
            <w:right w:val="none" w:sz="0" w:space="0" w:color="auto"/>
          </w:divBdr>
        </w:div>
        <w:div w:id="1334798111">
          <w:marLeft w:val="0"/>
          <w:marRight w:val="0"/>
          <w:marTop w:val="0"/>
          <w:marBottom w:val="0"/>
          <w:divBdr>
            <w:top w:val="none" w:sz="0" w:space="0" w:color="auto"/>
            <w:left w:val="none" w:sz="0" w:space="0" w:color="auto"/>
            <w:bottom w:val="none" w:sz="0" w:space="0" w:color="auto"/>
            <w:right w:val="none" w:sz="0" w:space="0" w:color="auto"/>
          </w:divBdr>
        </w:div>
        <w:div w:id="754975586">
          <w:marLeft w:val="0"/>
          <w:marRight w:val="0"/>
          <w:marTop w:val="0"/>
          <w:marBottom w:val="0"/>
          <w:divBdr>
            <w:top w:val="none" w:sz="0" w:space="0" w:color="auto"/>
            <w:left w:val="none" w:sz="0" w:space="0" w:color="auto"/>
            <w:bottom w:val="none" w:sz="0" w:space="0" w:color="auto"/>
            <w:right w:val="none" w:sz="0" w:space="0" w:color="auto"/>
          </w:divBdr>
        </w:div>
        <w:div w:id="1344279359">
          <w:marLeft w:val="0"/>
          <w:marRight w:val="0"/>
          <w:marTop w:val="0"/>
          <w:marBottom w:val="0"/>
          <w:divBdr>
            <w:top w:val="none" w:sz="0" w:space="0" w:color="auto"/>
            <w:left w:val="none" w:sz="0" w:space="0" w:color="auto"/>
            <w:bottom w:val="none" w:sz="0" w:space="0" w:color="auto"/>
            <w:right w:val="none" w:sz="0" w:space="0" w:color="auto"/>
          </w:divBdr>
        </w:div>
        <w:div w:id="1843622760">
          <w:marLeft w:val="0"/>
          <w:marRight w:val="0"/>
          <w:marTop w:val="0"/>
          <w:marBottom w:val="0"/>
          <w:divBdr>
            <w:top w:val="none" w:sz="0" w:space="0" w:color="auto"/>
            <w:left w:val="none" w:sz="0" w:space="0" w:color="auto"/>
            <w:bottom w:val="none" w:sz="0" w:space="0" w:color="auto"/>
            <w:right w:val="none" w:sz="0" w:space="0" w:color="auto"/>
          </w:divBdr>
        </w:div>
        <w:div w:id="136647729">
          <w:marLeft w:val="0"/>
          <w:marRight w:val="0"/>
          <w:marTop w:val="0"/>
          <w:marBottom w:val="0"/>
          <w:divBdr>
            <w:top w:val="none" w:sz="0" w:space="0" w:color="auto"/>
            <w:left w:val="none" w:sz="0" w:space="0" w:color="auto"/>
            <w:bottom w:val="none" w:sz="0" w:space="0" w:color="auto"/>
            <w:right w:val="none" w:sz="0" w:space="0" w:color="auto"/>
          </w:divBdr>
        </w:div>
        <w:div w:id="984746044">
          <w:marLeft w:val="0"/>
          <w:marRight w:val="0"/>
          <w:marTop w:val="0"/>
          <w:marBottom w:val="0"/>
          <w:divBdr>
            <w:top w:val="none" w:sz="0" w:space="0" w:color="auto"/>
            <w:left w:val="none" w:sz="0" w:space="0" w:color="auto"/>
            <w:bottom w:val="none" w:sz="0" w:space="0" w:color="auto"/>
            <w:right w:val="none" w:sz="0" w:space="0" w:color="auto"/>
          </w:divBdr>
        </w:div>
        <w:div w:id="2010719069">
          <w:marLeft w:val="0"/>
          <w:marRight w:val="0"/>
          <w:marTop w:val="0"/>
          <w:marBottom w:val="0"/>
          <w:divBdr>
            <w:top w:val="none" w:sz="0" w:space="0" w:color="auto"/>
            <w:left w:val="none" w:sz="0" w:space="0" w:color="auto"/>
            <w:bottom w:val="none" w:sz="0" w:space="0" w:color="auto"/>
            <w:right w:val="none" w:sz="0" w:space="0" w:color="auto"/>
          </w:divBdr>
        </w:div>
        <w:div w:id="731319208">
          <w:marLeft w:val="0"/>
          <w:marRight w:val="0"/>
          <w:marTop w:val="0"/>
          <w:marBottom w:val="0"/>
          <w:divBdr>
            <w:top w:val="none" w:sz="0" w:space="0" w:color="auto"/>
            <w:left w:val="none" w:sz="0" w:space="0" w:color="auto"/>
            <w:bottom w:val="none" w:sz="0" w:space="0" w:color="auto"/>
            <w:right w:val="none" w:sz="0" w:space="0" w:color="auto"/>
          </w:divBdr>
        </w:div>
        <w:div w:id="1168669402">
          <w:marLeft w:val="0"/>
          <w:marRight w:val="0"/>
          <w:marTop w:val="0"/>
          <w:marBottom w:val="0"/>
          <w:divBdr>
            <w:top w:val="none" w:sz="0" w:space="0" w:color="auto"/>
            <w:left w:val="none" w:sz="0" w:space="0" w:color="auto"/>
            <w:bottom w:val="none" w:sz="0" w:space="0" w:color="auto"/>
            <w:right w:val="none" w:sz="0" w:space="0" w:color="auto"/>
          </w:divBdr>
        </w:div>
        <w:div w:id="942036890">
          <w:marLeft w:val="0"/>
          <w:marRight w:val="0"/>
          <w:marTop w:val="0"/>
          <w:marBottom w:val="0"/>
          <w:divBdr>
            <w:top w:val="none" w:sz="0" w:space="0" w:color="auto"/>
            <w:left w:val="none" w:sz="0" w:space="0" w:color="auto"/>
            <w:bottom w:val="none" w:sz="0" w:space="0" w:color="auto"/>
            <w:right w:val="none" w:sz="0" w:space="0" w:color="auto"/>
          </w:divBdr>
        </w:div>
        <w:div w:id="1644460476">
          <w:marLeft w:val="0"/>
          <w:marRight w:val="0"/>
          <w:marTop w:val="0"/>
          <w:marBottom w:val="0"/>
          <w:divBdr>
            <w:top w:val="none" w:sz="0" w:space="0" w:color="auto"/>
            <w:left w:val="none" w:sz="0" w:space="0" w:color="auto"/>
            <w:bottom w:val="none" w:sz="0" w:space="0" w:color="auto"/>
            <w:right w:val="none" w:sz="0" w:space="0" w:color="auto"/>
          </w:divBdr>
        </w:div>
        <w:div w:id="1107500034">
          <w:marLeft w:val="0"/>
          <w:marRight w:val="0"/>
          <w:marTop w:val="0"/>
          <w:marBottom w:val="0"/>
          <w:divBdr>
            <w:top w:val="none" w:sz="0" w:space="0" w:color="auto"/>
            <w:left w:val="none" w:sz="0" w:space="0" w:color="auto"/>
            <w:bottom w:val="none" w:sz="0" w:space="0" w:color="auto"/>
            <w:right w:val="none" w:sz="0" w:space="0" w:color="auto"/>
          </w:divBdr>
        </w:div>
        <w:div w:id="2093625083">
          <w:marLeft w:val="0"/>
          <w:marRight w:val="0"/>
          <w:marTop w:val="0"/>
          <w:marBottom w:val="0"/>
          <w:divBdr>
            <w:top w:val="none" w:sz="0" w:space="0" w:color="auto"/>
            <w:left w:val="none" w:sz="0" w:space="0" w:color="auto"/>
            <w:bottom w:val="none" w:sz="0" w:space="0" w:color="auto"/>
            <w:right w:val="none" w:sz="0" w:space="0" w:color="auto"/>
          </w:divBdr>
        </w:div>
        <w:div w:id="1994988041">
          <w:marLeft w:val="0"/>
          <w:marRight w:val="0"/>
          <w:marTop w:val="0"/>
          <w:marBottom w:val="0"/>
          <w:divBdr>
            <w:top w:val="none" w:sz="0" w:space="0" w:color="auto"/>
            <w:left w:val="none" w:sz="0" w:space="0" w:color="auto"/>
            <w:bottom w:val="none" w:sz="0" w:space="0" w:color="auto"/>
            <w:right w:val="none" w:sz="0" w:space="0" w:color="auto"/>
          </w:divBdr>
        </w:div>
        <w:div w:id="1383560737">
          <w:marLeft w:val="0"/>
          <w:marRight w:val="0"/>
          <w:marTop w:val="0"/>
          <w:marBottom w:val="0"/>
          <w:divBdr>
            <w:top w:val="none" w:sz="0" w:space="0" w:color="auto"/>
            <w:left w:val="none" w:sz="0" w:space="0" w:color="auto"/>
            <w:bottom w:val="none" w:sz="0" w:space="0" w:color="auto"/>
            <w:right w:val="none" w:sz="0" w:space="0" w:color="auto"/>
          </w:divBdr>
        </w:div>
        <w:div w:id="69471350">
          <w:marLeft w:val="0"/>
          <w:marRight w:val="0"/>
          <w:marTop w:val="0"/>
          <w:marBottom w:val="0"/>
          <w:divBdr>
            <w:top w:val="none" w:sz="0" w:space="0" w:color="auto"/>
            <w:left w:val="none" w:sz="0" w:space="0" w:color="auto"/>
            <w:bottom w:val="none" w:sz="0" w:space="0" w:color="auto"/>
            <w:right w:val="none" w:sz="0" w:space="0" w:color="auto"/>
          </w:divBdr>
        </w:div>
        <w:div w:id="328874727">
          <w:marLeft w:val="0"/>
          <w:marRight w:val="0"/>
          <w:marTop w:val="0"/>
          <w:marBottom w:val="0"/>
          <w:divBdr>
            <w:top w:val="none" w:sz="0" w:space="0" w:color="auto"/>
            <w:left w:val="none" w:sz="0" w:space="0" w:color="auto"/>
            <w:bottom w:val="none" w:sz="0" w:space="0" w:color="auto"/>
            <w:right w:val="none" w:sz="0" w:space="0" w:color="auto"/>
          </w:divBdr>
        </w:div>
        <w:div w:id="948508454">
          <w:marLeft w:val="0"/>
          <w:marRight w:val="0"/>
          <w:marTop w:val="0"/>
          <w:marBottom w:val="0"/>
          <w:divBdr>
            <w:top w:val="none" w:sz="0" w:space="0" w:color="auto"/>
            <w:left w:val="none" w:sz="0" w:space="0" w:color="auto"/>
            <w:bottom w:val="none" w:sz="0" w:space="0" w:color="auto"/>
            <w:right w:val="none" w:sz="0" w:space="0" w:color="auto"/>
          </w:divBdr>
        </w:div>
        <w:div w:id="305209376">
          <w:marLeft w:val="0"/>
          <w:marRight w:val="0"/>
          <w:marTop w:val="0"/>
          <w:marBottom w:val="0"/>
          <w:divBdr>
            <w:top w:val="none" w:sz="0" w:space="0" w:color="auto"/>
            <w:left w:val="none" w:sz="0" w:space="0" w:color="auto"/>
            <w:bottom w:val="none" w:sz="0" w:space="0" w:color="auto"/>
            <w:right w:val="none" w:sz="0" w:space="0" w:color="auto"/>
          </w:divBdr>
        </w:div>
        <w:div w:id="1790273608">
          <w:marLeft w:val="0"/>
          <w:marRight w:val="0"/>
          <w:marTop w:val="0"/>
          <w:marBottom w:val="0"/>
          <w:divBdr>
            <w:top w:val="none" w:sz="0" w:space="0" w:color="auto"/>
            <w:left w:val="none" w:sz="0" w:space="0" w:color="auto"/>
            <w:bottom w:val="none" w:sz="0" w:space="0" w:color="auto"/>
            <w:right w:val="none" w:sz="0" w:space="0" w:color="auto"/>
          </w:divBdr>
        </w:div>
        <w:div w:id="1021130848">
          <w:marLeft w:val="0"/>
          <w:marRight w:val="0"/>
          <w:marTop w:val="0"/>
          <w:marBottom w:val="0"/>
          <w:divBdr>
            <w:top w:val="none" w:sz="0" w:space="0" w:color="auto"/>
            <w:left w:val="none" w:sz="0" w:space="0" w:color="auto"/>
            <w:bottom w:val="none" w:sz="0" w:space="0" w:color="auto"/>
            <w:right w:val="none" w:sz="0" w:space="0" w:color="auto"/>
          </w:divBdr>
        </w:div>
        <w:div w:id="1378703904">
          <w:marLeft w:val="0"/>
          <w:marRight w:val="0"/>
          <w:marTop w:val="0"/>
          <w:marBottom w:val="0"/>
          <w:divBdr>
            <w:top w:val="none" w:sz="0" w:space="0" w:color="auto"/>
            <w:left w:val="none" w:sz="0" w:space="0" w:color="auto"/>
            <w:bottom w:val="none" w:sz="0" w:space="0" w:color="auto"/>
            <w:right w:val="none" w:sz="0" w:space="0" w:color="auto"/>
          </w:divBdr>
        </w:div>
        <w:div w:id="562788067">
          <w:marLeft w:val="0"/>
          <w:marRight w:val="0"/>
          <w:marTop w:val="0"/>
          <w:marBottom w:val="0"/>
          <w:divBdr>
            <w:top w:val="none" w:sz="0" w:space="0" w:color="auto"/>
            <w:left w:val="none" w:sz="0" w:space="0" w:color="auto"/>
            <w:bottom w:val="none" w:sz="0" w:space="0" w:color="auto"/>
            <w:right w:val="none" w:sz="0" w:space="0" w:color="auto"/>
          </w:divBdr>
        </w:div>
        <w:div w:id="2114283776">
          <w:marLeft w:val="0"/>
          <w:marRight w:val="0"/>
          <w:marTop w:val="0"/>
          <w:marBottom w:val="0"/>
          <w:divBdr>
            <w:top w:val="none" w:sz="0" w:space="0" w:color="auto"/>
            <w:left w:val="none" w:sz="0" w:space="0" w:color="auto"/>
            <w:bottom w:val="none" w:sz="0" w:space="0" w:color="auto"/>
            <w:right w:val="none" w:sz="0" w:space="0" w:color="auto"/>
          </w:divBdr>
        </w:div>
        <w:div w:id="1293174038">
          <w:marLeft w:val="0"/>
          <w:marRight w:val="0"/>
          <w:marTop w:val="0"/>
          <w:marBottom w:val="0"/>
          <w:divBdr>
            <w:top w:val="none" w:sz="0" w:space="0" w:color="auto"/>
            <w:left w:val="none" w:sz="0" w:space="0" w:color="auto"/>
            <w:bottom w:val="none" w:sz="0" w:space="0" w:color="auto"/>
            <w:right w:val="none" w:sz="0" w:space="0" w:color="auto"/>
          </w:divBdr>
        </w:div>
        <w:div w:id="2129346466">
          <w:marLeft w:val="0"/>
          <w:marRight w:val="0"/>
          <w:marTop w:val="0"/>
          <w:marBottom w:val="0"/>
          <w:divBdr>
            <w:top w:val="none" w:sz="0" w:space="0" w:color="auto"/>
            <w:left w:val="none" w:sz="0" w:space="0" w:color="auto"/>
            <w:bottom w:val="none" w:sz="0" w:space="0" w:color="auto"/>
            <w:right w:val="none" w:sz="0" w:space="0" w:color="auto"/>
          </w:divBdr>
        </w:div>
        <w:div w:id="1057508411">
          <w:marLeft w:val="0"/>
          <w:marRight w:val="0"/>
          <w:marTop w:val="0"/>
          <w:marBottom w:val="0"/>
          <w:divBdr>
            <w:top w:val="none" w:sz="0" w:space="0" w:color="auto"/>
            <w:left w:val="none" w:sz="0" w:space="0" w:color="auto"/>
            <w:bottom w:val="none" w:sz="0" w:space="0" w:color="auto"/>
            <w:right w:val="none" w:sz="0" w:space="0" w:color="auto"/>
          </w:divBdr>
        </w:div>
        <w:div w:id="279534299">
          <w:marLeft w:val="0"/>
          <w:marRight w:val="0"/>
          <w:marTop w:val="0"/>
          <w:marBottom w:val="0"/>
          <w:divBdr>
            <w:top w:val="none" w:sz="0" w:space="0" w:color="auto"/>
            <w:left w:val="none" w:sz="0" w:space="0" w:color="auto"/>
            <w:bottom w:val="none" w:sz="0" w:space="0" w:color="auto"/>
            <w:right w:val="none" w:sz="0" w:space="0" w:color="auto"/>
          </w:divBdr>
        </w:div>
        <w:div w:id="645627119">
          <w:marLeft w:val="0"/>
          <w:marRight w:val="0"/>
          <w:marTop w:val="0"/>
          <w:marBottom w:val="0"/>
          <w:divBdr>
            <w:top w:val="none" w:sz="0" w:space="0" w:color="auto"/>
            <w:left w:val="none" w:sz="0" w:space="0" w:color="auto"/>
            <w:bottom w:val="none" w:sz="0" w:space="0" w:color="auto"/>
            <w:right w:val="none" w:sz="0" w:space="0" w:color="auto"/>
          </w:divBdr>
        </w:div>
        <w:div w:id="2048871222">
          <w:marLeft w:val="0"/>
          <w:marRight w:val="0"/>
          <w:marTop w:val="0"/>
          <w:marBottom w:val="0"/>
          <w:divBdr>
            <w:top w:val="none" w:sz="0" w:space="0" w:color="auto"/>
            <w:left w:val="none" w:sz="0" w:space="0" w:color="auto"/>
            <w:bottom w:val="none" w:sz="0" w:space="0" w:color="auto"/>
            <w:right w:val="none" w:sz="0" w:space="0" w:color="auto"/>
          </w:divBdr>
        </w:div>
        <w:div w:id="2136020795">
          <w:marLeft w:val="0"/>
          <w:marRight w:val="0"/>
          <w:marTop w:val="0"/>
          <w:marBottom w:val="0"/>
          <w:divBdr>
            <w:top w:val="none" w:sz="0" w:space="0" w:color="auto"/>
            <w:left w:val="none" w:sz="0" w:space="0" w:color="auto"/>
            <w:bottom w:val="none" w:sz="0" w:space="0" w:color="auto"/>
            <w:right w:val="none" w:sz="0" w:space="0" w:color="auto"/>
          </w:divBdr>
        </w:div>
        <w:div w:id="860316271">
          <w:marLeft w:val="0"/>
          <w:marRight w:val="0"/>
          <w:marTop w:val="0"/>
          <w:marBottom w:val="0"/>
          <w:divBdr>
            <w:top w:val="none" w:sz="0" w:space="0" w:color="auto"/>
            <w:left w:val="none" w:sz="0" w:space="0" w:color="auto"/>
            <w:bottom w:val="none" w:sz="0" w:space="0" w:color="auto"/>
            <w:right w:val="none" w:sz="0" w:space="0" w:color="auto"/>
          </w:divBdr>
        </w:div>
        <w:div w:id="1806387891">
          <w:marLeft w:val="0"/>
          <w:marRight w:val="0"/>
          <w:marTop w:val="0"/>
          <w:marBottom w:val="0"/>
          <w:divBdr>
            <w:top w:val="none" w:sz="0" w:space="0" w:color="auto"/>
            <w:left w:val="none" w:sz="0" w:space="0" w:color="auto"/>
            <w:bottom w:val="none" w:sz="0" w:space="0" w:color="auto"/>
            <w:right w:val="none" w:sz="0" w:space="0" w:color="auto"/>
          </w:divBdr>
        </w:div>
        <w:div w:id="1429619291">
          <w:marLeft w:val="0"/>
          <w:marRight w:val="0"/>
          <w:marTop w:val="0"/>
          <w:marBottom w:val="0"/>
          <w:divBdr>
            <w:top w:val="none" w:sz="0" w:space="0" w:color="auto"/>
            <w:left w:val="none" w:sz="0" w:space="0" w:color="auto"/>
            <w:bottom w:val="none" w:sz="0" w:space="0" w:color="auto"/>
            <w:right w:val="none" w:sz="0" w:space="0" w:color="auto"/>
          </w:divBdr>
        </w:div>
        <w:div w:id="654649549">
          <w:marLeft w:val="0"/>
          <w:marRight w:val="0"/>
          <w:marTop w:val="0"/>
          <w:marBottom w:val="0"/>
          <w:divBdr>
            <w:top w:val="none" w:sz="0" w:space="0" w:color="auto"/>
            <w:left w:val="none" w:sz="0" w:space="0" w:color="auto"/>
            <w:bottom w:val="none" w:sz="0" w:space="0" w:color="auto"/>
            <w:right w:val="none" w:sz="0" w:space="0" w:color="auto"/>
          </w:divBdr>
        </w:div>
        <w:div w:id="1548761319">
          <w:marLeft w:val="0"/>
          <w:marRight w:val="0"/>
          <w:marTop w:val="0"/>
          <w:marBottom w:val="0"/>
          <w:divBdr>
            <w:top w:val="none" w:sz="0" w:space="0" w:color="auto"/>
            <w:left w:val="none" w:sz="0" w:space="0" w:color="auto"/>
            <w:bottom w:val="none" w:sz="0" w:space="0" w:color="auto"/>
            <w:right w:val="none" w:sz="0" w:space="0" w:color="auto"/>
          </w:divBdr>
        </w:div>
        <w:div w:id="340546907">
          <w:marLeft w:val="0"/>
          <w:marRight w:val="0"/>
          <w:marTop w:val="0"/>
          <w:marBottom w:val="0"/>
          <w:divBdr>
            <w:top w:val="none" w:sz="0" w:space="0" w:color="auto"/>
            <w:left w:val="none" w:sz="0" w:space="0" w:color="auto"/>
            <w:bottom w:val="none" w:sz="0" w:space="0" w:color="auto"/>
            <w:right w:val="none" w:sz="0" w:space="0" w:color="auto"/>
          </w:divBdr>
        </w:div>
        <w:div w:id="826750050">
          <w:marLeft w:val="0"/>
          <w:marRight w:val="0"/>
          <w:marTop w:val="0"/>
          <w:marBottom w:val="0"/>
          <w:divBdr>
            <w:top w:val="none" w:sz="0" w:space="0" w:color="auto"/>
            <w:left w:val="none" w:sz="0" w:space="0" w:color="auto"/>
            <w:bottom w:val="none" w:sz="0" w:space="0" w:color="auto"/>
            <w:right w:val="none" w:sz="0" w:space="0" w:color="auto"/>
          </w:divBdr>
        </w:div>
        <w:div w:id="901596009">
          <w:marLeft w:val="0"/>
          <w:marRight w:val="0"/>
          <w:marTop w:val="0"/>
          <w:marBottom w:val="0"/>
          <w:divBdr>
            <w:top w:val="none" w:sz="0" w:space="0" w:color="auto"/>
            <w:left w:val="none" w:sz="0" w:space="0" w:color="auto"/>
            <w:bottom w:val="none" w:sz="0" w:space="0" w:color="auto"/>
            <w:right w:val="none" w:sz="0" w:space="0" w:color="auto"/>
          </w:divBdr>
        </w:div>
        <w:div w:id="1081370636">
          <w:marLeft w:val="0"/>
          <w:marRight w:val="0"/>
          <w:marTop w:val="0"/>
          <w:marBottom w:val="0"/>
          <w:divBdr>
            <w:top w:val="none" w:sz="0" w:space="0" w:color="auto"/>
            <w:left w:val="none" w:sz="0" w:space="0" w:color="auto"/>
            <w:bottom w:val="none" w:sz="0" w:space="0" w:color="auto"/>
            <w:right w:val="none" w:sz="0" w:space="0" w:color="auto"/>
          </w:divBdr>
        </w:div>
        <w:div w:id="719866227">
          <w:marLeft w:val="0"/>
          <w:marRight w:val="0"/>
          <w:marTop w:val="0"/>
          <w:marBottom w:val="0"/>
          <w:divBdr>
            <w:top w:val="none" w:sz="0" w:space="0" w:color="auto"/>
            <w:left w:val="none" w:sz="0" w:space="0" w:color="auto"/>
            <w:bottom w:val="none" w:sz="0" w:space="0" w:color="auto"/>
            <w:right w:val="none" w:sz="0" w:space="0" w:color="auto"/>
          </w:divBdr>
        </w:div>
        <w:div w:id="1624578034">
          <w:marLeft w:val="0"/>
          <w:marRight w:val="0"/>
          <w:marTop w:val="0"/>
          <w:marBottom w:val="0"/>
          <w:divBdr>
            <w:top w:val="none" w:sz="0" w:space="0" w:color="auto"/>
            <w:left w:val="none" w:sz="0" w:space="0" w:color="auto"/>
            <w:bottom w:val="none" w:sz="0" w:space="0" w:color="auto"/>
            <w:right w:val="none" w:sz="0" w:space="0" w:color="auto"/>
          </w:divBdr>
        </w:div>
        <w:div w:id="576787617">
          <w:marLeft w:val="0"/>
          <w:marRight w:val="0"/>
          <w:marTop w:val="0"/>
          <w:marBottom w:val="0"/>
          <w:divBdr>
            <w:top w:val="none" w:sz="0" w:space="0" w:color="auto"/>
            <w:left w:val="none" w:sz="0" w:space="0" w:color="auto"/>
            <w:bottom w:val="none" w:sz="0" w:space="0" w:color="auto"/>
            <w:right w:val="none" w:sz="0" w:space="0" w:color="auto"/>
          </w:divBdr>
        </w:div>
        <w:div w:id="2086604846">
          <w:marLeft w:val="0"/>
          <w:marRight w:val="0"/>
          <w:marTop w:val="0"/>
          <w:marBottom w:val="0"/>
          <w:divBdr>
            <w:top w:val="none" w:sz="0" w:space="0" w:color="auto"/>
            <w:left w:val="none" w:sz="0" w:space="0" w:color="auto"/>
            <w:bottom w:val="none" w:sz="0" w:space="0" w:color="auto"/>
            <w:right w:val="none" w:sz="0" w:space="0" w:color="auto"/>
          </w:divBdr>
        </w:div>
        <w:div w:id="1265914812">
          <w:marLeft w:val="0"/>
          <w:marRight w:val="0"/>
          <w:marTop w:val="0"/>
          <w:marBottom w:val="0"/>
          <w:divBdr>
            <w:top w:val="none" w:sz="0" w:space="0" w:color="auto"/>
            <w:left w:val="none" w:sz="0" w:space="0" w:color="auto"/>
            <w:bottom w:val="none" w:sz="0" w:space="0" w:color="auto"/>
            <w:right w:val="none" w:sz="0" w:space="0" w:color="auto"/>
          </w:divBdr>
        </w:div>
        <w:div w:id="2061392876">
          <w:marLeft w:val="0"/>
          <w:marRight w:val="0"/>
          <w:marTop w:val="0"/>
          <w:marBottom w:val="0"/>
          <w:divBdr>
            <w:top w:val="none" w:sz="0" w:space="0" w:color="auto"/>
            <w:left w:val="none" w:sz="0" w:space="0" w:color="auto"/>
            <w:bottom w:val="none" w:sz="0" w:space="0" w:color="auto"/>
            <w:right w:val="none" w:sz="0" w:space="0" w:color="auto"/>
          </w:divBdr>
        </w:div>
        <w:div w:id="547762644">
          <w:marLeft w:val="0"/>
          <w:marRight w:val="0"/>
          <w:marTop w:val="0"/>
          <w:marBottom w:val="0"/>
          <w:divBdr>
            <w:top w:val="none" w:sz="0" w:space="0" w:color="auto"/>
            <w:left w:val="none" w:sz="0" w:space="0" w:color="auto"/>
            <w:bottom w:val="none" w:sz="0" w:space="0" w:color="auto"/>
            <w:right w:val="none" w:sz="0" w:space="0" w:color="auto"/>
          </w:divBdr>
        </w:div>
        <w:div w:id="847211905">
          <w:marLeft w:val="0"/>
          <w:marRight w:val="0"/>
          <w:marTop w:val="0"/>
          <w:marBottom w:val="0"/>
          <w:divBdr>
            <w:top w:val="none" w:sz="0" w:space="0" w:color="auto"/>
            <w:left w:val="none" w:sz="0" w:space="0" w:color="auto"/>
            <w:bottom w:val="none" w:sz="0" w:space="0" w:color="auto"/>
            <w:right w:val="none" w:sz="0" w:space="0" w:color="auto"/>
          </w:divBdr>
        </w:div>
        <w:div w:id="326789915">
          <w:marLeft w:val="0"/>
          <w:marRight w:val="0"/>
          <w:marTop w:val="0"/>
          <w:marBottom w:val="0"/>
          <w:divBdr>
            <w:top w:val="none" w:sz="0" w:space="0" w:color="auto"/>
            <w:left w:val="none" w:sz="0" w:space="0" w:color="auto"/>
            <w:bottom w:val="none" w:sz="0" w:space="0" w:color="auto"/>
            <w:right w:val="none" w:sz="0" w:space="0" w:color="auto"/>
          </w:divBdr>
        </w:div>
        <w:div w:id="129902148">
          <w:marLeft w:val="0"/>
          <w:marRight w:val="0"/>
          <w:marTop w:val="0"/>
          <w:marBottom w:val="0"/>
          <w:divBdr>
            <w:top w:val="none" w:sz="0" w:space="0" w:color="auto"/>
            <w:left w:val="none" w:sz="0" w:space="0" w:color="auto"/>
            <w:bottom w:val="none" w:sz="0" w:space="0" w:color="auto"/>
            <w:right w:val="none" w:sz="0" w:space="0" w:color="auto"/>
          </w:divBdr>
        </w:div>
        <w:div w:id="100733857">
          <w:marLeft w:val="0"/>
          <w:marRight w:val="0"/>
          <w:marTop w:val="0"/>
          <w:marBottom w:val="0"/>
          <w:divBdr>
            <w:top w:val="none" w:sz="0" w:space="0" w:color="auto"/>
            <w:left w:val="none" w:sz="0" w:space="0" w:color="auto"/>
            <w:bottom w:val="none" w:sz="0" w:space="0" w:color="auto"/>
            <w:right w:val="none" w:sz="0" w:space="0" w:color="auto"/>
          </w:divBdr>
        </w:div>
        <w:div w:id="90905126">
          <w:marLeft w:val="0"/>
          <w:marRight w:val="0"/>
          <w:marTop w:val="0"/>
          <w:marBottom w:val="0"/>
          <w:divBdr>
            <w:top w:val="none" w:sz="0" w:space="0" w:color="auto"/>
            <w:left w:val="none" w:sz="0" w:space="0" w:color="auto"/>
            <w:bottom w:val="none" w:sz="0" w:space="0" w:color="auto"/>
            <w:right w:val="none" w:sz="0" w:space="0" w:color="auto"/>
          </w:divBdr>
        </w:div>
        <w:div w:id="802311876">
          <w:marLeft w:val="0"/>
          <w:marRight w:val="0"/>
          <w:marTop w:val="0"/>
          <w:marBottom w:val="0"/>
          <w:divBdr>
            <w:top w:val="none" w:sz="0" w:space="0" w:color="auto"/>
            <w:left w:val="none" w:sz="0" w:space="0" w:color="auto"/>
            <w:bottom w:val="none" w:sz="0" w:space="0" w:color="auto"/>
            <w:right w:val="none" w:sz="0" w:space="0" w:color="auto"/>
          </w:divBdr>
        </w:div>
        <w:div w:id="1523396171">
          <w:marLeft w:val="0"/>
          <w:marRight w:val="0"/>
          <w:marTop w:val="0"/>
          <w:marBottom w:val="0"/>
          <w:divBdr>
            <w:top w:val="none" w:sz="0" w:space="0" w:color="auto"/>
            <w:left w:val="none" w:sz="0" w:space="0" w:color="auto"/>
            <w:bottom w:val="none" w:sz="0" w:space="0" w:color="auto"/>
            <w:right w:val="none" w:sz="0" w:space="0" w:color="auto"/>
          </w:divBdr>
        </w:div>
        <w:div w:id="2043820803">
          <w:marLeft w:val="0"/>
          <w:marRight w:val="0"/>
          <w:marTop w:val="0"/>
          <w:marBottom w:val="0"/>
          <w:divBdr>
            <w:top w:val="none" w:sz="0" w:space="0" w:color="auto"/>
            <w:left w:val="none" w:sz="0" w:space="0" w:color="auto"/>
            <w:bottom w:val="none" w:sz="0" w:space="0" w:color="auto"/>
            <w:right w:val="none" w:sz="0" w:space="0" w:color="auto"/>
          </w:divBdr>
        </w:div>
        <w:div w:id="1858499229">
          <w:marLeft w:val="0"/>
          <w:marRight w:val="0"/>
          <w:marTop w:val="0"/>
          <w:marBottom w:val="0"/>
          <w:divBdr>
            <w:top w:val="none" w:sz="0" w:space="0" w:color="auto"/>
            <w:left w:val="none" w:sz="0" w:space="0" w:color="auto"/>
            <w:bottom w:val="none" w:sz="0" w:space="0" w:color="auto"/>
            <w:right w:val="none" w:sz="0" w:space="0" w:color="auto"/>
          </w:divBdr>
        </w:div>
        <w:div w:id="627929657">
          <w:marLeft w:val="0"/>
          <w:marRight w:val="0"/>
          <w:marTop w:val="0"/>
          <w:marBottom w:val="0"/>
          <w:divBdr>
            <w:top w:val="none" w:sz="0" w:space="0" w:color="auto"/>
            <w:left w:val="none" w:sz="0" w:space="0" w:color="auto"/>
            <w:bottom w:val="none" w:sz="0" w:space="0" w:color="auto"/>
            <w:right w:val="none" w:sz="0" w:space="0" w:color="auto"/>
          </w:divBdr>
        </w:div>
        <w:div w:id="480468944">
          <w:marLeft w:val="0"/>
          <w:marRight w:val="0"/>
          <w:marTop w:val="0"/>
          <w:marBottom w:val="0"/>
          <w:divBdr>
            <w:top w:val="none" w:sz="0" w:space="0" w:color="auto"/>
            <w:left w:val="none" w:sz="0" w:space="0" w:color="auto"/>
            <w:bottom w:val="none" w:sz="0" w:space="0" w:color="auto"/>
            <w:right w:val="none" w:sz="0" w:space="0" w:color="auto"/>
          </w:divBdr>
        </w:div>
        <w:div w:id="1346128923">
          <w:marLeft w:val="0"/>
          <w:marRight w:val="0"/>
          <w:marTop w:val="0"/>
          <w:marBottom w:val="0"/>
          <w:divBdr>
            <w:top w:val="none" w:sz="0" w:space="0" w:color="auto"/>
            <w:left w:val="none" w:sz="0" w:space="0" w:color="auto"/>
            <w:bottom w:val="none" w:sz="0" w:space="0" w:color="auto"/>
            <w:right w:val="none" w:sz="0" w:space="0" w:color="auto"/>
          </w:divBdr>
        </w:div>
        <w:div w:id="1179276459">
          <w:marLeft w:val="0"/>
          <w:marRight w:val="0"/>
          <w:marTop w:val="0"/>
          <w:marBottom w:val="0"/>
          <w:divBdr>
            <w:top w:val="none" w:sz="0" w:space="0" w:color="auto"/>
            <w:left w:val="none" w:sz="0" w:space="0" w:color="auto"/>
            <w:bottom w:val="none" w:sz="0" w:space="0" w:color="auto"/>
            <w:right w:val="none" w:sz="0" w:space="0" w:color="auto"/>
          </w:divBdr>
        </w:div>
        <w:div w:id="1183009558">
          <w:marLeft w:val="0"/>
          <w:marRight w:val="0"/>
          <w:marTop w:val="0"/>
          <w:marBottom w:val="0"/>
          <w:divBdr>
            <w:top w:val="none" w:sz="0" w:space="0" w:color="auto"/>
            <w:left w:val="none" w:sz="0" w:space="0" w:color="auto"/>
            <w:bottom w:val="none" w:sz="0" w:space="0" w:color="auto"/>
            <w:right w:val="none" w:sz="0" w:space="0" w:color="auto"/>
          </w:divBdr>
        </w:div>
        <w:div w:id="723792624">
          <w:marLeft w:val="0"/>
          <w:marRight w:val="0"/>
          <w:marTop w:val="0"/>
          <w:marBottom w:val="0"/>
          <w:divBdr>
            <w:top w:val="none" w:sz="0" w:space="0" w:color="auto"/>
            <w:left w:val="none" w:sz="0" w:space="0" w:color="auto"/>
            <w:bottom w:val="none" w:sz="0" w:space="0" w:color="auto"/>
            <w:right w:val="none" w:sz="0" w:space="0" w:color="auto"/>
          </w:divBdr>
        </w:div>
        <w:div w:id="1121800636">
          <w:marLeft w:val="0"/>
          <w:marRight w:val="0"/>
          <w:marTop w:val="0"/>
          <w:marBottom w:val="0"/>
          <w:divBdr>
            <w:top w:val="none" w:sz="0" w:space="0" w:color="auto"/>
            <w:left w:val="none" w:sz="0" w:space="0" w:color="auto"/>
            <w:bottom w:val="none" w:sz="0" w:space="0" w:color="auto"/>
            <w:right w:val="none" w:sz="0" w:space="0" w:color="auto"/>
          </w:divBdr>
        </w:div>
        <w:div w:id="1252852563">
          <w:marLeft w:val="0"/>
          <w:marRight w:val="0"/>
          <w:marTop w:val="0"/>
          <w:marBottom w:val="0"/>
          <w:divBdr>
            <w:top w:val="none" w:sz="0" w:space="0" w:color="auto"/>
            <w:left w:val="none" w:sz="0" w:space="0" w:color="auto"/>
            <w:bottom w:val="none" w:sz="0" w:space="0" w:color="auto"/>
            <w:right w:val="none" w:sz="0" w:space="0" w:color="auto"/>
          </w:divBdr>
        </w:div>
        <w:div w:id="2112966962">
          <w:marLeft w:val="0"/>
          <w:marRight w:val="0"/>
          <w:marTop w:val="0"/>
          <w:marBottom w:val="0"/>
          <w:divBdr>
            <w:top w:val="none" w:sz="0" w:space="0" w:color="auto"/>
            <w:left w:val="none" w:sz="0" w:space="0" w:color="auto"/>
            <w:bottom w:val="none" w:sz="0" w:space="0" w:color="auto"/>
            <w:right w:val="none" w:sz="0" w:space="0" w:color="auto"/>
          </w:divBdr>
        </w:div>
        <w:div w:id="111438906">
          <w:marLeft w:val="0"/>
          <w:marRight w:val="0"/>
          <w:marTop w:val="0"/>
          <w:marBottom w:val="0"/>
          <w:divBdr>
            <w:top w:val="none" w:sz="0" w:space="0" w:color="auto"/>
            <w:left w:val="none" w:sz="0" w:space="0" w:color="auto"/>
            <w:bottom w:val="none" w:sz="0" w:space="0" w:color="auto"/>
            <w:right w:val="none" w:sz="0" w:space="0" w:color="auto"/>
          </w:divBdr>
        </w:div>
        <w:div w:id="314914920">
          <w:marLeft w:val="0"/>
          <w:marRight w:val="0"/>
          <w:marTop w:val="0"/>
          <w:marBottom w:val="0"/>
          <w:divBdr>
            <w:top w:val="none" w:sz="0" w:space="0" w:color="auto"/>
            <w:left w:val="none" w:sz="0" w:space="0" w:color="auto"/>
            <w:bottom w:val="none" w:sz="0" w:space="0" w:color="auto"/>
            <w:right w:val="none" w:sz="0" w:space="0" w:color="auto"/>
          </w:divBdr>
        </w:div>
        <w:div w:id="263728129">
          <w:marLeft w:val="0"/>
          <w:marRight w:val="0"/>
          <w:marTop w:val="0"/>
          <w:marBottom w:val="0"/>
          <w:divBdr>
            <w:top w:val="none" w:sz="0" w:space="0" w:color="auto"/>
            <w:left w:val="none" w:sz="0" w:space="0" w:color="auto"/>
            <w:bottom w:val="none" w:sz="0" w:space="0" w:color="auto"/>
            <w:right w:val="none" w:sz="0" w:space="0" w:color="auto"/>
          </w:divBdr>
        </w:div>
        <w:div w:id="746077836">
          <w:marLeft w:val="0"/>
          <w:marRight w:val="0"/>
          <w:marTop w:val="0"/>
          <w:marBottom w:val="0"/>
          <w:divBdr>
            <w:top w:val="none" w:sz="0" w:space="0" w:color="auto"/>
            <w:left w:val="none" w:sz="0" w:space="0" w:color="auto"/>
            <w:bottom w:val="none" w:sz="0" w:space="0" w:color="auto"/>
            <w:right w:val="none" w:sz="0" w:space="0" w:color="auto"/>
          </w:divBdr>
        </w:div>
        <w:div w:id="552086648">
          <w:marLeft w:val="0"/>
          <w:marRight w:val="0"/>
          <w:marTop w:val="0"/>
          <w:marBottom w:val="0"/>
          <w:divBdr>
            <w:top w:val="none" w:sz="0" w:space="0" w:color="auto"/>
            <w:left w:val="none" w:sz="0" w:space="0" w:color="auto"/>
            <w:bottom w:val="none" w:sz="0" w:space="0" w:color="auto"/>
            <w:right w:val="none" w:sz="0" w:space="0" w:color="auto"/>
          </w:divBdr>
        </w:div>
        <w:div w:id="254291679">
          <w:marLeft w:val="0"/>
          <w:marRight w:val="0"/>
          <w:marTop w:val="0"/>
          <w:marBottom w:val="0"/>
          <w:divBdr>
            <w:top w:val="none" w:sz="0" w:space="0" w:color="auto"/>
            <w:left w:val="none" w:sz="0" w:space="0" w:color="auto"/>
            <w:bottom w:val="none" w:sz="0" w:space="0" w:color="auto"/>
            <w:right w:val="none" w:sz="0" w:space="0" w:color="auto"/>
          </w:divBdr>
        </w:div>
        <w:div w:id="1013453397">
          <w:marLeft w:val="0"/>
          <w:marRight w:val="0"/>
          <w:marTop w:val="0"/>
          <w:marBottom w:val="0"/>
          <w:divBdr>
            <w:top w:val="none" w:sz="0" w:space="0" w:color="auto"/>
            <w:left w:val="none" w:sz="0" w:space="0" w:color="auto"/>
            <w:bottom w:val="none" w:sz="0" w:space="0" w:color="auto"/>
            <w:right w:val="none" w:sz="0" w:space="0" w:color="auto"/>
          </w:divBdr>
        </w:div>
        <w:div w:id="1728526632">
          <w:marLeft w:val="0"/>
          <w:marRight w:val="0"/>
          <w:marTop w:val="0"/>
          <w:marBottom w:val="0"/>
          <w:divBdr>
            <w:top w:val="none" w:sz="0" w:space="0" w:color="auto"/>
            <w:left w:val="none" w:sz="0" w:space="0" w:color="auto"/>
            <w:bottom w:val="none" w:sz="0" w:space="0" w:color="auto"/>
            <w:right w:val="none" w:sz="0" w:space="0" w:color="auto"/>
          </w:divBdr>
        </w:div>
        <w:div w:id="1047484671">
          <w:marLeft w:val="0"/>
          <w:marRight w:val="0"/>
          <w:marTop w:val="0"/>
          <w:marBottom w:val="0"/>
          <w:divBdr>
            <w:top w:val="none" w:sz="0" w:space="0" w:color="auto"/>
            <w:left w:val="none" w:sz="0" w:space="0" w:color="auto"/>
            <w:bottom w:val="none" w:sz="0" w:space="0" w:color="auto"/>
            <w:right w:val="none" w:sz="0" w:space="0" w:color="auto"/>
          </w:divBdr>
        </w:div>
        <w:div w:id="1094546321">
          <w:marLeft w:val="0"/>
          <w:marRight w:val="0"/>
          <w:marTop w:val="0"/>
          <w:marBottom w:val="0"/>
          <w:divBdr>
            <w:top w:val="none" w:sz="0" w:space="0" w:color="auto"/>
            <w:left w:val="none" w:sz="0" w:space="0" w:color="auto"/>
            <w:bottom w:val="none" w:sz="0" w:space="0" w:color="auto"/>
            <w:right w:val="none" w:sz="0" w:space="0" w:color="auto"/>
          </w:divBdr>
        </w:div>
        <w:div w:id="813330451">
          <w:marLeft w:val="0"/>
          <w:marRight w:val="0"/>
          <w:marTop w:val="0"/>
          <w:marBottom w:val="0"/>
          <w:divBdr>
            <w:top w:val="none" w:sz="0" w:space="0" w:color="auto"/>
            <w:left w:val="none" w:sz="0" w:space="0" w:color="auto"/>
            <w:bottom w:val="none" w:sz="0" w:space="0" w:color="auto"/>
            <w:right w:val="none" w:sz="0" w:space="0" w:color="auto"/>
          </w:divBdr>
        </w:div>
        <w:div w:id="644504182">
          <w:marLeft w:val="0"/>
          <w:marRight w:val="0"/>
          <w:marTop w:val="0"/>
          <w:marBottom w:val="0"/>
          <w:divBdr>
            <w:top w:val="none" w:sz="0" w:space="0" w:color="auto"/>
            <w:left w:val="none" w:sz="0" w:space="0" w:color="auto"/>
            <w:bottom w:val="none" w:sz="0" w:space="0" w:color="auto"/>
            <w:right w:val="none" w:sz="0" w:space="0" w:color="auto"/>
          </w:divBdr>
        </w:div>
        <w:div w:id="376127138">
          <w:marLeft w:val="0"/>
          <w:marRight w:val="0"/>
          <w:marTop w:val="0"/>
          <w:marBottom w:val="0"/>
          <w:divBdr>
            <w:top w:val="none" w:sz="0" w:space="0" w:color="auto"/>
            <w:left w:val="none" w:sz="0" w:space="0" w:color="auto"/>
            <w:bottom w:val="none" w:sz="0" w:space="0" w:color="auto"/>
            <w:right w:val="none" w:sz="0" w:space="0" w:color="auto"/>
          </w:divBdr>
        </w:div>
        <w:div w:id="1610509756">
          <w:marLeft w:val="0"/>
          <w:marRight w:val="0"/>
          <w:marTop w:val="0"/>
          <w:marBottom w:val="0"/>
          <w:divBdr>
            <w:top w:val="none" w:sz="0" w:space="0" w:color="auto"/>
            <w:left w:val="none" w:sz="0" w:space="0" w:color="auto"/>
            <w:bottom w:val="none" w:sz="0" w:space="0" w:color="auto"/>
            <w:right w:val="none" w:sz="0" w:space="0" w:color="auto"/>
          </w:divBdr>
        </w:div>
        <w:div w:id="1793672030">
          <w:marLeft w:val="0"/>
          <w:marRight w:val="0"/>
          <w:marTop w:val="0"/>
          <w:marBottom w:val="0"/>
          <w:divBdr>
            <w:top w:val="none" w:sz="0" w:space="0" w:color="auto"/>
            <w:left w:val="none" w:sz="0" w:space="0" w:color="auto"/>
            <w:bottom w:val="none" w:sz="0" w:space="0" w:color="auto"/>
            <w:right w:val="none" w:sz="0" w:space="0" w:color="auto"/>
          </w:divBdr>
        </w:div>
        <w:div w:id="113404379">
          <w:marLeft w:val="0"/>
          <w:marRight w:val="0"/>
          <w:marTop w:val="0"/>
          <w:marBottom w:val="0"/>
          <w:divBdr>
            <w:top w:val="none" w:sz="0" w:space="0" w:color="auto"/>
            <w:left w:val="none" w:sz="0" w:space="0" w:color="auto"/>
            <w:bottom w:val="none" w:sz="0" w:space="0" w:color="auto"/>
            <w:right w:val="none" w:sz="0" w:space="0" w:color="auto"/>
          </w:divBdr>
        </w:div>
        <w:div w:id="527379729">
          <w:marLeft w:val="0"/>
          <w:marRight w:val="0"/>
          <w:marTop w:val="0"/>
          <w:marBottom w:val="0"/>
          <w:divBdr>
            <w:top w:val="none" w:sz="0" w:space="0" w:color="auto"/>
            <w:left w:val="none" w:sz="0" w:space="0" w:color="auto"/>
            <w:bottom w:val="none" w:sz="0" w:space="0" w:color="auto"/>
            <w:right w:val="none" w:sz="0" w:space="0" w:color="auto"/>
          </w:divBdr>
        </w:div>
        <w:div w:id="1864705376">
          <w:marLeft w:val="0"/>
          <w:marRight w:val="0"/>
          <w:marTop w:val="0"/>
          <w:marBottom w:val="0"/>
          <w:divBdr>
            <w:top w:val="none" w:sz="0" w:space="0" w:color="auto"/>
            <w:left w:val="none" w:sz="0" w:space="0" w:color="auto"/>
            <w:bottom w:val="none" w:sz="0" w:space="0" w:color="auto"/>
            <w:right w:val="none" w:sz="0" w:space="0" w:color="auto"/>
          </w:divBdr>
        </w:div>
        <w:div w:id="1485200897">
          <w:marLeft w:val="0"/>
          <w:marRight w:val="0"/>
          <w:marTop w:val="0"/>
          <w:marBottom w:val="0"/>
          <w:divBdr>
            <w:top w:val="none" w:sz="0" w:space="0" w:color="auto"/>
            <w:left w:val="none" w:sz="0" w:space="0" w:color="auto"/>
            <w:bottom w:val="none" w:sz="0" w:space="0" w:color="auto"/>
            <w:right w:val="none" w:sz="0" w:space="0" w:color="auto"/>
          </w:divBdr>
        </w:div>
        <w:div w:id="1898545048">
          <w:marLeft w:val="0"/>
          <w:marRight w:val="0"/>
          <w:marTop w:val="0"/>
          <w:marBottom w:val="0"/>
          <w:divBdr>
            <w:top w:val="none" w:sz="0" w:space="0" w:color="auto"/>
            <w:left w:val="none" w:sz="0" w:space="0" w:color="auto"/>
            <w:bottom w:val="none" w:sz="0" w:space="0" w:color="auto"/>
            <w:right w:val="none" w:sz="0" w:space="0" w:color="auto"/>
          </w:divBdr>
        </w:div>
        <w:div w:id="233709273">
          <w:marLeft w:val="0"/>
          <w:marRight w:val="0"/>
          <w:marTop w:val="0"/>
          <w:marBottom w:val="0"/>
          <w:divBdr>
            <w:top w:val="none" w:sz="0" w:space="0" w:color="auto"/>
            <w:left w:val="none" w:sz="0" w:space="0" w:color="auto"/>
            <w:bottom w:val="none" w:sz="0" w:space="0" w:color="auto"/>
            <w:right w:val="none" w:sz="0" w:space="0" w:color="auto"/>
          </w:divBdr>
        </w:div>
        <w:div w:id="2005929854">
          <w:marLeft w:val="0"/>
          <w:marRight w:val="0"/>
          <w:marTop w:val="0"/>
          <w:marBottom w:val="0"/>
          <w:divBdr>
            <w:top w:val="none" w:sz="0" w:space="0" w:color="auto"/>
            <w:left w:val="none" w:sz="0" w:space="0" w:color="auto"/>
            <w:bottom w:val="none" w:sz="0" w:space="0" w:color="auto"/>
            <w:right w:val="none" w:sz="0" w:space="0" w:color="auto"/>
          </w:divBdr>
        </w:div>
        <w:div w:id="1596936318">
          <w:marLeft w:val="0"/>
          <w:marRight w:val="0"/>
          <w:marTop w:val="0"/>
          <w:marBottom w:val="0"/>
          <w:divBdr>
            <w:top w:val="none" w:sz="0" w:space="0" w:color="auto"/>
            <w:left w:val="none" w:sz="0" w:space="0" w:color="auto"/>
            <w:bottom w:val="none" w:sz="0" w:space="0" w:color="auto"/>
            <w:right w:val="none" w:sz="0" w:space="0" w:color="auto"/>
          </w:divBdr>
        </w:div>
        <w:div w:id="428624621">
          <w:marLeft w:val="0"/>
          <w:marRight w:val="0"/>
          <w:marTop w:val="0"/>
          <w:marBottom w:val="0"/>
          <w:divBdr>
            <w:top w:val="none" w:sz="0" w:space="0" w:color="auto"/>
            <w:left w:val="none" w:sz="0" w:space="0" w:color="auto"/>
            <w:bottom w:val="none" w:sz="0" w:space="0" w:color="auto"/>
            <w:right w:val="none" w:sz="0" w:space="0" w:color="auto"/>
          </w:divBdr>
        </w:div>
      </w:divsChild>
    </w:div>
    <w:div w:id="152263344">
      <w:bodyDiv w:val="1"/>
      <w:marLeft w:val="0"/>
      <w:marRight w:val="0"/>
      <w:marTop w:val="0"/>
      <w:marBottom w:val="0"/>
      <w:divBdr>
        <w:top w:val="none" w:sz="0" w:space="0" w:color="auto"/>
        <w:left w:val="none" w:sz="0" w:space="0" w:color="auto"/>
        <w:bottom w:val="none" w:sz="0" w:space="0" w:color="auto"/>
        <w:right w:val="none" w:sz="0" w:space="0" w:color="auto"/>
      </w:divBdr>
    </w:div>
    <w:div w:id="188686507">
      <w:bodyDiv w:val="1"/>
      <w:marLeft w:val="0"/>
      <w:marRight w:val="0"/>
      <w:marTop w:val="0"/>
      <w:marBottom w:val="0"/>
      <w:divBdr>
        <w:top w:val="none" w:sz="0" w:space="0" w:color="auto"/>
        <w:left w:val="none" w:sz="0" w:space="0" w:color="auto"/>
        <w:bottom w:val="none" w:sz="0" w:space="0" w:color="auto"/>
        <w:right w:val="none" w:sz="0" w:space="0" w:color="auto"/>
      </w:divBdr>
    </w:div>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629634464">
      <w:bodyDiv w:val="1"/>
      <w:marLeft w:val="0"/>
      <w:marRight w:val="0"/>
      <w:marTop w:val="0"/>
      <w:marBottom w:val="0"/>
      <w:divBdr>
        <w:top w:val="none" w:sz="0" w:space="0" w:color="auto"/>
        <w:left w:val="none" w:sz="0" w:space="0" w:color="auto"/>
        <w:bottom w:val="none" w:sz="0" w:space="0" w:color="auto"/>
        <w:right w:val="none" w:sz="0" w:space="0" w:color="auto"/>
      </w:divBdr>
    </w:div>
    <w:div w:id="671377420">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752430654">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31140653">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901907748">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071579209">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344669289">
      <w:bodyDiv w:val="1"/>
      <w:marLeft w:val="0"/>
      <w:marRight w:val="0"/>
      <w:marTop w:val="0"/>
      <w:marBottom w:val="0"/>
      <w:divBdr>
        <w:top w:val="none" w:sz="0" w:space="0" w:color="auto"/>
        <w:left w:val="none" w:sz="0" w:space="0" w:color="auto"/>
        <w:bottom w:val="none" w:sz="0" w:space="0" w:color="auto"/>
        <w:right w:val="none" w:sz="0" w:space="0" w:color="auto"/>
      </w:divBdr>
    </w:div>
    <w:div w:id="1416053933">
      <w:bodyDiv w:val="1"/>
      <w:marLeft w:val="0"/>
      <w:marRight w:val="0"/>
      <w:marTop w:val="0"/>
      <w:marBottom w:val="0"/>
      <w:divBdr>
        <w:top w:val="none" w:sz="0" w:space="0" w:color="auto"/>
        <w:left w:val="none" w:sz="0" w:space="0" w:color="auto"/>
        <w:bottom w:val="none" w:sz="0" w:space="0" w:color="auto"/>
        <w:right w:val="none" w:sz="0" w:space="0" w:color="auto"/>
      </w:divBdr>
      <w:divsChild>
        <w:div w:id="1990094427">
          <w:marLeft w:val="0"/>
          <w:marRight w:val="0"/>
          <w:marTop w:val="0"/>
          <w:marBottom w:val="0"/>
          <w:divBdr>
            <w:top w:val="none" w:sz="0" w:space="0" w:color="auto"/>
            <w:left w:val="none" w:sz="0" w:space="0" w:color="auto"/>
            <w:bottom w:val="none" w:sz="0" w:space="0" w:color="auto"/>
            <w:right w:val="none" w:sz="0" w:space="0" w:color="auto"/>
          </w:divBdr>
        </w:div>
      </w:divsChild>
    </w:div>
    <w:div w:id="1429540392">
      <w:bodyDiv w:val="1"/>
      <w:marLeft w:val="0"/>
      <w:marRight w:val="0"/>
      <w:marTop w:val="0"/>
      <w:marBottom w:val="0"/>
      <w:divBdr>
        <w:top w:val="none" w:sz="0" w:space="0" w:color="auto"/>
        <w:left w:val="none" w:sz="0" w:space="0" w:color="auto"/>
        <w:bottom w:val="none" w:sz="0" w:space="0" w:color="auto"/>
        <w:right w:val="none" w:sz="0" w:space="0" w:color="auto"/>
      </w:divBdr>
    </w:div>
    <w:div w:id="1457717734">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27478529">
      <w:bodyDiv w:val="1"/>
      <w:marLeft w:val="0"/>
      <w:marRight w:val="0"/>
      <w:marTop w:val="0"/>
      <w:marBottom w:val="0"/>
      <w:divBdr>
        <w:top w:val="none" w:sz="0" w:space="0" w:color="auto"/>
        <w:left w:val="none" w:sz="0" w:space="0" w:color="auto"/>
        <w:bottom w:val="none" w:sz="0" w:space="0" w:color="auto"/>
        <w:right w:val="none" w:sz="0" w:space="0" w:color="auto"/>
      </w:divBdr>
    </w:div>
    <w:div w:id="1533569545">
      <w:bodyDiv w:val="1"/>
      <w:marLeft w:val="0"/>
      <w:marRight w:val="0"/>
      <w:marTop w:val="0"/>
      <w:marBottom w:val="0"/>
      <w:divBdr>
        <w:top w:val="none" w:sz="0" w:space="0" w:color="auto"/>
        <w:left w:val="none" w:sz="0" w:space="0" w:color="auto"/>
        <w:bottom w:val="none" w:sz="0" w:space="0" w:color="auto"/>
        <w:right w:val="none" w:sz="0" w:space="0" w:color="auto"/>
      </w:divBdr>
    </w:div>
    <w:div w:id="1562594852">
      <w:bodyDiv w:val="1"/>
      <w:marLeft w:val="0"/>
      <w:marRight w:val="0"/>
      <w:marTop w:val="0"/>
      <w:marBottom w:val="0"/>
      <w:divBdr>
        <w:top w:val="none" w:sz="0" w:space="0" w:color="auto"/>
        <w:left w:val="none" w:sz="0" w:space="0" w:color="auto"/>
        <w:bottom w:val="none" w:sz="0" w:space="0" w:color="auto"/>
        <w:right w:val="none" w:sz="0" w:space="0" w:color="auto"/>
      </w:divBdr>
    </w:div>
    <w:div w:id="1566841698">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724209829">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1876501991">
      <w:bodyDiv w:val="1"/>
      <w:marLeft w:val="0"/>
      <w:marRight w:val="0"/>
      <w:marTop w:val="0"/>
      <w:marBottom w:val="0"/>
      <w:divBdr>
        <w:top w:val="none" w:sz="0" w:space="0" w:color="auto"/>
        <w:left w:val="none" w:sz="0" w:space="0" w:color="auto"/>
        <w:bottom w:val="none" w:sz="0" w:space="0" w:color="auto"/>
        <w:right w:val="none" w:sz="0" w:space="0" w:color="auto"/>
      </w:divBdr>
    </w:div>
    <w:div w:id="1898931193">
      <w:bodyDiv w:val="1"/>
      <w:marLeft w:val="0"/>
      <w:marRight w:val="0"/>
      <w:marTop w:val="0"/>
      <w:marBottom w:val="0"/>
      <w:divBdr>
        <w:top w:val="none" w:sz="0" w:space="0" w:color="auto"/>
        <w:left w:val="none" w:sz="0" w:space="0" w:color="auto"/>
        <w:bottom w:val="none" w:sz="0" w:space="0" w:color="auto"/>
        <w:right w:val="none" w:sz="0" w:space="0" w:color="auto"/>
      </w:divBdr>
    </w:div>
    <w:div w:id="1948385667">
      <w:bodyDiv w:val="1"/>
      <w:marLeft w:val="0"/>
      <w:marRight w:val="0"/>
      <w:marTop w:val="0"/>
      <w:marBottom w:val="0"/>
      <w:divBdr>
        <w:top w:val="none" w:sz="0" w:space="0" w:color="auto"/>
        <w:left w:val="none" w:sz="0" w:space="0" w:color="auto"/>
        <w:bottom w:val="none" w:sz="0" w:space="0" w:color="auto"/>
        <w:right w:val="none" w:sz="0" w:space="0" w:color="auto"/>
      </w:divBdr>
    </w:div>
    <w:div w:id="1994942224">
      <w:bodyDiv w:val="1"/>
      <w:marLeft w:val="0"/>
      <w:marRight w:val="0"/>
      <w:marTop w:val="0"/>
      <w:marBottom w:val="0"/>
      <w:divBdr>
        <w:top w:val="none" w:sz="0" w:space="0" w:color="auto"/>
        <w:left w:val="none" w:sz="0" w:space="0" w:color="auto"/>
        <w:bottom w:val="none" w:sz="0" w:space="0" w:color="auto"/>
        <w:right w:val="none" w:sz="0" w:space="0" w:color="auto"/>
      </w:divBdr>
    </w:div>
    <w:div w:id="2003968261">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 w:id="20972879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hyperlink" Target="https://doi.org/10.1111/bre.12328"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10.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3.jpeg"/><Relationship Id="rId28" Type="http://schemas.openxmlformats.org/officeDocument/2006/relationships/image" Target="media/image17.jpeg"/><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35E1A-BA60-4419-9C25-6B1B0563E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49</Pages>
  <Words>8504</Words>
  <Characters>48474</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Hanson</dc:creator>
  <cp:keywords/>
  <dc:description/>
  <cp:lastModifiedBy>Bailey Lathrop</cp:lastModifiedBy>
  <cp:revision>4</cp:revision>
  <cp:lastPrinted>2020-05-30T12:19:00Z</cp:lastPrinted>
  <dcterms:created xsi:type="dcterms:W3CDTF">2020-05-30T16:46:00Z</dcterms:created>
  <dcterms:modified xsi:type="dcterms:W3CDTF">2020-08-06T09:03:00Z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