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6052D1" w14:textId="77777777" w:rsidR="00CC1DFD" w:rsidRPr="00FA2B05" w:rsidRDefault="00CC1DFD" w:rsidP="00FA2B05">
      <w:pPr>
        <w:pStyle w:val="BATitle"/>
      </w:pPr>
      <w:r w:rsidRPr="00FA2B05">
        <w:t>A machine learning approach for ozone forecasting and its application for Kennewick, WA</w:t>
      </w:r>
    </w:p>
    <w:p w14:paraId="7D55DD43" w14:textId="77777777" w:rsidR="00CC1DFD" w:rsidRPr="00FA2B05" w:rsidRDefault="00CC1DFD" w:rsidP="00FA2B05">
      <w:pPr>
        <w:pStyle w:val="BBAuthorName"/>
      </w:pPr>
      <w:r w:rsidRPr="00FA2B05">
        <w:t>Kai Fan</w:t>
      </w:r>
      <w:r w:rsidRPr="00FA2B05">
        <w:rPr>
          <w:vertAlign w:val="superscript"/>
        </w:rPr>
        <w:t>1</w:t>
      </w:r>
      <w:r w:rsidRPr="00FA2B05">
        <w:t>, Brian Lamb</w:t>
      </w:r>
      <w:r w:rsidRPr="00FA2B05">
        <w:rPr>
          <w:vertAlign w:val="superscript"/>
        </w:rPr>
        <w:t>1</w:t>
      </w:r>
      <w:r w:rsidRPr="00FA2B05">
        <w:t>, Ranil Dhammapala</w:t>
      </w:r>
      <w:r w:rsidRPr="00FA2B05">
        <w:rPr>
          <w:vertAlign w:val="superscript"/>
        </w:rPr>
        <w:t>2</w:t>
      </w:r>
      <w:r w:rsidRPr="00FA2B05">
        <w:t>, Ryan Lamastro</w:t>
      </w:r>
      <w:r w:rsidRPr="00FA2B05">
        <w:rPr>
          <w:vertAlign w:val="superscript"/>
        </w:rPr>
        <w:t>3</w:t>
      </w:r>
      <w:r w:rsidRPr="00FA2B05">
        <w:t xml:space="preserve">, </w:t>
      </w:r>
      <w:proofErr w:type="spellStart"/>
      <w:r w:rsidRPr="00FA2B05">
        <w:t>Yunha</w:t>
      </w:r>
      <w:proofErr w:type="spellEnd"/>
      <w:r w:rsidRPr="00FA2B05">
        <w:t xml:space="preserve"> Lee</w:t>
      </w:r>
      <w:r w:rsidRPr="00FA2B05">
        <w:rPr>
          <w:vertAlign w:val="superscript"/>
        </w:rPr>
        <w:t>1</w:t>
      </w:r>
    </w:p>
    <w:p w14:paraId="62163C2A" w14:textId="77777777" w:rsidR="00CC1DFD" w:rsidRPr="00FA2B05" w:rsidRDefault="00CC1DFD" w:rsidP="00FA2B05">
      <w:pPr>
        <w:pStyle w:val="BCAuthorAddress"/>
      </w:pPr>
      <w:r w:rsidRPr="00FA2B05">
        <w:rPr>
          <w:vertAlign w:val="superscript"/>
        </w:rPr>
        <w:t>1</w:t>
      </w:r>
      <w:r w:rsidRPr="00FA2B05">
        <w:t>Laboratory for Atmospheric Research, Civil and Environmental Engineering, Washington State University</w:t>
      </w:r>
    </w:p>
    <w:p w14:paraId="0A0EF599" w14:textId="77777777" w:rsidR="00CC1DFD" w:rsidRPr="00FA2B05" w:rsidRDefault="00CC1DFD" w:rsidP="00FA2B05">
      <w:pPr>
        <w:pStyle w:val="BCAuthorAddress"/>
      </w:pPr>
      <w:r w:rsidRPr="00FA2B05">
        <w:rPr>
          <w:vertAlign w:val="superscript"/>
        </w:rPr>
        <w:t>2</w:t>
      </w:r>
      <w:r w:rsidRPr="00FA2B05">
        <w:t>Washington State Department of Ecology</w:t>
      </w:r>
    </w:p>
    <w:p w14:paraId="7AF095FE" w14:textId="77777777" w:rsidR="00CC1DFD" w:rsidRPr="00FA2B05" w:rsidRDefault="00CC1DFD" w:rsidP="00FA2B05">
      <w:pPr>
        <w:pStyle w:val="BCAuthorAddress"/>
      </w:pPr>
      <w:r w:rsidRPr="00FA2B05">
        <w:rPr>
          <w:vertAlign w:val="superscript"/>
        </w:rPr>
        <w:t>3</w:t>
      </w:r>
      <w:r w:rsidRPr="00FA2B05">
        <w:t>State University of New York at New Paltz</w:t>
      </w:r>
    </w:p>
    <w:p w14:paraId="7AB71FF0" w14:textId="77777777" w:rsidR="00CC1DFD" w:rsidRPr="00B24120" w:rsidRDefault="00CC1DFD" w:rsidP="00CC1DFD">
      <w:pPr>
        <w:rPr>
          <w:rFonts w:cstheme="minorHAnsi"/>
        </w:rPr>
      </w:pPr>
    </w:p>
    <w:p w14:paraId="5E514554" w14:textId="4148391E" w:rsidR="00CC1DFD" w:rsidRPr="00B24120" w:rsidRDefault="00CC1DFD" w:rsidP="00CC1DFD">
      <w:pPr>
        <w:pStyle w:val="Heading1"/>
        <w:spacing w:before="0" w:line="480" w:lineRule="auto"/>
        <w:rPr>
          <w:rFonts w:ascii="Times" w:hAnsi="Times" w:cstheme="minorHAnsi"/>
          <w:b/>
          <w:color w:val="000000" w:themeColor="text1"/>
        </w:rPr>
      </w:pPr>
      <w:r w:rsidRPr="00B24120">
        <w:rPr>
          <w:rFonts w:ascii="Times" w:hAnsi="Times" w:cstheme="minorHAnsi"/>
          <w:b/>
          <w:color w:val="000000" w:themeColor="text1"/>
        </w:rPr>
        <w:t>A</w:t>
      </w:r>
      <w:r w:rsidR="007F10F3">
        <w:rPr>
          <w:rFonts w:ascii="Times" w:hAnsi="Times" w:cstheme="minorHAnsi"/>
          <w:b/>
          <w:color w:val="000000" w:themeColor="text1"/>
        </w:rPr>
        <w:t>BSTRACT:</w:t>
      </w:r>
    </w:p>
    <w:p w14:paraId="447E7D4C" w14:textId="505DC9B2" w:rsidR="00CC1DFD" w:rsidRPr="006C5C32" w:rsidRDefault="006C5C32" w:rsidP="006C5C32">
      <w:pPr>
        <w:pStyle w:val="BDAbstract"/>
      </w:pPr>
      <w:r w:rsidRPr="006C5C32">
        <w:t>Chemical transport models (CTM) are widely used for air quality modeling, but these models miss forecasting some air pollution events, and require a lot of computational power. In Kennewick, WA, elevated O</w:t>
      </w:r>
      <w:r w:rsidRPr="00DA70CB">
        <w:rPr>
          <w:vertAlign w:val="subscript"/>
        </w:rPr>
        <w:t>3</w:t>
      </w:r>
      <w:r w:rsidRPr="006C5C32">
        <w:t xml:space="preserve"> episodes can occur during the summer and early fall, but the CTM-based operational forecasting system (AIRPACT) struggles to capture them. </w:t>
      </w:r>
      <w:r w:rsidR="00DA70CB" w:rsidRPr="00DA70CB">
        <w:t>This research used the 2015 – 2018 historical archives from the Weather Research and Forecasting (WRF) meteorological model forecasts produced daily by the University of Washington, and O</w:t>
      </w:r>
      <w:r w:rsidR="00DA70CB" w:rsidRPr="00DA70CB">
        <w:rPr>
          <w:vertAlign w:val="subscript"/>
        </w:rPr>
        <w:t>3</w:t>
      </w:r>
      <w:r w:rsidR="00DA70CB" w:rsidRPr="00DA70CB">
        <w:t xml:space="preserve"> observation data at Kennewick</w:t>
      </w:r>
      <w:r w:rsidRPr="006C5C32">
        <w:t xml:space="preserve"> to train </w:t>
      </w:r>
      <w:r>
        <w:t>t</w:t>
      </w:r>
      <w:r w:rsidRPr="006C5C32">
        <w:t>wo machine learning modeling frameworks, ML1 and ML2</w:t>
      </w:r>
      <w:r>
        <w:t xml:space="preserve"> </w:t>
      </w:r>
      <w:r w:rsidRPr="006C5C32">
        <w:t xml:space="preserve">for a reliable forecasting system. ML1 used the random forest (RF) classifier and multiple linear regression </w:t>
      </w:r>
      <w:r w:rsidRPr="006C5C32">
        <w:lastRenderedPageBreak/>
        <w:t>(MLR) models, and ML2 used a two-phase RF regression model with best-fit weighting factors. Since April 2019, the ML modeling frameworks have been used to produce daily 72-hour O</w:t>
      </w:r>
      <w:r w:rsidRPr="006C5C32">
        <w:rPr>
          <w:vertAlign w:val="subscript"/>
        </w:rPr>
        <w:t>3</w:t>
      </w:r>
      <w:r w:rsidRPr="006C5C32">
        <w:t xml:space="preserve"> forecasts and have provided the forecasts via the web for the agency and public use. </w:t>
      </w:r>
      <w:r w:rsidR="00BE5A36" w:rsidRPr="006C5C32">
        <w:t>For the peak O</w:t>
      </w:r>
      <w:r w:rsidR="00BE5A36" w:rsidRPr="006C5C32">
        <w:rPr>
          <w:vertAlign w:val="subscript"/>
        </w:rPr>
        <w:t>3</w:t>
      </w:r>
      <w:r w:rsidR="00BE5A36" w:rsidRPr="006C5C32">
        <w:t xml:space="preserve"> days, AIRPACT showed a large variation, while ML2 underpredicted and ML1 performed the best. </w:t>
      </w:r>
      <w:r w:rsidRPr="006C5C32">
        <w:t xml:space="preserve">In the future, this ML forecast system will be applied to other locations within the Pacific Northwest.  </w:t>
      </w:r>
    </w:p>
    <w:p w14:paraId="4399A70C" w14:textId="7DB73436" w:rsidR="00CC1DFD" w:rsidRPr="00B24120" w:rsidRDefault="00D44320" w:rsidP="00CC1DFD">
      <w:pPr>
        <w:rPr>
          <w:rFonts w:cstheme="minorHAnsi"/>
          <w:lang w:eastAsia="zh-CN"/>
        </w:rPr>
      </w:pPr>
      <w:r>
        <w:rPr>
          <w:rFonts w:cstheme="minorHAnsi"/>
          <w:noProof/>
          <w:lang w:eastAsia="zh-CN"/>
        </w:rPr>
        <w:drawing>
          <wp:inline distT="0" distB="0" distL="0" distR="0" wp14:anchorId="785AF453" wp14:editId="5FA92C8B">
            <wp:extent cx="3044952" cy="1713761"/>
            <wp:effectExtent l="0" t="0" r="3175" b="1270"/>
            <wp:docPr id="3" name="Picture 3" descr="A picture containing outdoor, water, large,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amp;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4952" cy="1713761"/>
                    </a:xfrm>
                    <a:prstGeom prst="rect">
                      <a:avLst/>
                    </a:prstGeom>
                  </pic:spPr>
                </pic:pic>
              </a:graphicData>
            </a:graphic>
          </wp:inline>
        </w:drawing>
      </w:r>
    </w:p>
    <w:p w14:paraId="78AA5A69" w14:textId="66D9EED7" w:rsidR="00CC1DFD" w:rsidRPr="00B24120" w:rsidRDefault="00CC1DFD" w:rsidP="00CC1DFD">
      <w:pPr>
        <w:pStyle w:val="Heading1"/>
        <w:spacing w:before="0" w:line="480" w:lineRule="auto"/>
        <w:rPr>
          <w:rFonts w:ascii="Times" w:hAnsi="Times" w:cstheme="minorHAnsi"/>
          <w:b/>
          <w:color w:val="000000" w:themeColor="text1"/>
        </w:rPr>
      </w:pPr>
      <w:r w:rsidRPr="00B24120">
        <w:rPr>
          <w:rFonts w:ascii="Times" w:hAnsi="Times" w:cstheme="minorHAnsi"/>
          <w:b/>
          <w:color w:val="000000" w:themeColor="text1"/>
        </w:rPr>
        <w:t>1. I</w:t>
      </w:r>
      <w:r w:rsidR="007F10F3">
        <w:rPr>
          <w:rFonts w:ascii="Times" w:hAnsi="Times" w:cstheme="minorHAnsi"/>
          <w:b/>
          <w:color w:val="000000" w:themeColor="text1"/>
        </w:rPr>
        <w:t>NTRODUCTION</w:t>
      </w:r>
    </w:p>
    <w:p w14:paraId="3A5B734B" w14:textId="70C829B5" w:rsidR="00CC1DFD" w:rsidRPr="00B24120" w:rsidRDefault="00CC1DFD" w:rsidP="00CC1DFD">
      <w:pPr>
        <w:spacing w:line="480" w:lineRule="auto"/>
        <w:rPr>
          <w:rFonts w:cstheme="minorHAnsi"/>
        </w:rPr>
      </w:pPr>
      <w:r w:rsidRPr="00B24120">
        <w:rPr>
          <w:rFonts w:cstheme="minorHAnsi"/>
        </w:rPr>
        <w:t>Chemical transport models (CTM) are widely used to simulate the temporal and spatial variation of air quality</w:t>
      </w:r>
      <w:r w:rsidR="00B24120">
        <w:rPr>
          <w:rFonts w:cstheme="minorHAnsi"/>
        </w:rPr>
        <w:t>.</w:t>
      </w:r>
      <w:r w:rsidRPr="00B24120">
        <w:rPr>
          <w:rFonts w:cstheme="minorHAnsi"/>
        </w:rPr>
        <w:fldChar w:fldCharType="begin"/>
      </w:r>
      <w:r w:rsidR="00B24120">
        <w:rPr>
          <w:rFonts w:cstheme="minorHAnsi"/>
        </w:rPr>
        <w:instrText xml:space="preserve"> ADDIN ZOTERO_ITEM CSL_CITATION {"citationID":"tjDB4Rfc","properties":{"formattedCitation":"\\super 1\\nosupersub{}","plainCitation":"1","noteIndex":0},"citationItems":[{"id":211,"uris":["http://zotero.org/users/4238889/items/SIHQRFLM"],"uri":["http://zotero.org/users/4238889/items/SIHQRFLM"],"itemData":{"id":211,"type":"article-journal","abstract":"Air pollution modeling is now a mature ﬁeld, and comprehensive numerical models (the chemistrytransport models) are used in many applications. This article aims at reviewing the main issues from the point of view of applied mathematics and computational physics (as viewed by the author). We address topics such as subgrid parameterization, numerical algorithms with a focus on aerosol simulation, data assimilation and inverse modeling, reduction of high-dimensional models and propagation of uncertainties. Even if this article is strictly related to air pollution modeling, many issues and methods can be extended to dispersion of tracers in other media (for instance, water).","container-title":"Computational Geosciences","DOI":"10.1007/s10596-006-9036-4","ISSN":"1420-0597, 1573-1499","issue":"2","language":"en","page":"159-181","source":"Crossref","title":"A review of current issues in air pollution modeling and simulation","volume":"11","author":[{"family":"Sportisse","given":"Bruno"}],"issued":{"date-parts":[["2007",6,4]]}}}],"schema":"https://github.com/citation-style-language/schema/raw/master/csl-citation.json"} </w:instrText>
      </w:r>
      <w:r w:rsidRPr="00B24120">
        <w:rPr>
          <w:rFonts w:cstheme="minorHAnsi"/>
        </w:rPr>
        <w:fldChar w:fldCharType="separate"/>
      </w:r>
      <w:r w:rsidR="008A1E89" w:rsidRPr="008A1E89">
        <w:rPr>
          <w:vertAlign w:val="superscript"/>
        </w:rPr>
        <w:t>1</w:t>
      </w:r>
      <w:r w:rsidRPr="00B24120">
        <w:rPr>
          <w:rFonts w:cstheme="minorHAnsi"/>
        </w:rPr>
        <w:fldChar w:fldCharType="end"/>
      </w:r>
      <w:r w:rsidRPr="00B24120">
        <w:rPr>
          <w:rFonts w:cstheme="minorHAnsi"/>
        </w:rPr>
        <w:t xml:space="preserve"> CTMs include various atmospheric physical and chemical processes as well as sources and sinks. However, not every physical and chemical process in the atmosphere has been understood.</w:t>
      </w:r>
      <w:r w:rsidR="008A1E89">
        <w:rPr>
          <w:rFonts w:cstheme="minorHAnsi"/>
        </w:rPr>
        <w:fldChar w:fldCharType="begin"/>
      </w:r>
      <w:r w:rsidR="008A1E89">
        <w:rPr>
          <w:rFonts w:cstheme="minorHAnsi"/>
        </w:rPr>
        <w:instrText xml:space="preserve"> ADDIN ZOTERO_ITEM CSL_CITATION {"citationID":"mQd1e05l","properties":{"formattedCitation":"\\super 2\\nosupersub{}","plainCitation":"2","noteIndex":0},"citationItems":[{"id":8,"uris":["http://zotero.org/users/4238889/items/QN8AU6F4"],"uri":["http://zotero.org/users/4238889/items/QN8AU6F4"],"itemData":{"id":8,"type":"book","ISBN":"1-118-94740-1","publisher":"John Wiley &amp; Sons","title":"Atmospheric chemistry and physics: from air pollution to climate change","title-short":"Atmospheric chemistry and physics: from air pollution to climate change","author":[{"family":"Seinfeld","given":"John H"},{"family":"Pandis","given":"Spyros N"}],"issued":{"date-parts":[["2016"]]}}}],"schema":"https://github.com/citation-style-language/schema/raw/master/csl-citation.json"} </w:instrText>
      </w:r>
      <w:r w:rsidR="008A1E89">
        <w:rPr>
          <w:rFonts w:cstheme="minorHAnsi"/>
        </w:rPr>
        <w:fldChar w:fldCharType="separate"/>
      </w:r>
      <w:r w:rsidR="008A1E89" w:rsidRPr="008A1E89">
        <w:rPr>
          <w:vertAlign w:val="superscript"/>
        </w:rPr>
        <w:t>2</w:t>
      </w:r>
      <w:r w:rsidR="008A1E89">
        <w:rPr>
          <w:rFonts w:cstheme="minorHAnsi"/>
        </w:rPr>
        <w:fldChar w:fldCharType="end"/>
      </w:r>
      <w:r w:rsidRPr="00B24120">
        <w:rPr>
          <w:rFonts w:cstheme="minorHAnsi"/>
        </w:rPr>
        <w:t xml:space="preserve"> Even though the accuracy of numerical models keeps improving, there are still large uncertainties and errors in the simulations. For the CTMs, the high computational cost is an additional concern. </w:t>
      </w:r>
    </w:p>
    <w:p w14:paraId="6162D58B" w14:textId="77777777" w:rsidR="00CC1DFD" w:rsidRPr="00B24120" w:rsidRDefault="00CC1DFD" w:rsidP="00FA2B05">
      <w:pPr>
        <w:pStyle w:val="TAMainText"/>
      </w:pPr>
      <w:r w:rsidRPr="00B24120">
        <w:t xml:space="preserve">The Air Indicator Report for Public Awareness and Community Tracking (AIRPACT) was developed for air quality forecasting in the Pacific Northwest in the U.S. AIRPACT uses the Community Multiscale Air Quality Modeling System (CMAQ) model to compute air quality with </w:t>
      </w:r>
      <w:r w:rsidRPr="00B24120">
        <w:lastRenderedPageBreak/>
        <w:t>the Weather Research and Forecasting (WRF) meteorology. The AIRPACT domain mainly covers Washington, Idaho and Oregon State with 4 km horizontal grid cells and 37 vertical levels. The hourly simulations use the Carbon Bond, version 5 (CB05) as the gas chemistry mechanism and AERO6 as the aerosol module. AIRPACT 48-hour forecasts are produced daily and provided via the web to the public and local air quality agencies (</w:t>
      </w:r>
      <w:hyperlink r:id="rId9" w:history="1">
        <w:r w:rsidRPr="00B24120">
          <w:rPr>
            <w:rStyle w:val="Hyperlink"/>
            <w:rFonts w:eastAsiaTheme="majorEastAsia" w:cstheme="minorHAnsi"/>
          </w:rPr>
          <w:t>http://lar.wsu.edu/airpact/</w:t>
        </w:r>
      </w:hyperlink>
      <w:r w:rsidRPr="00B24120">
        <w:t xml:space="preserve">).  </w:t>
      </w:r>
    </w:p>
    <w:p w14:paraId="27A71269" w14:textId="4C0175D2" w:rsidR="00CC1DFD" w:rsidRPr="00B24120" w:rsidRDefault="00CC1DFD" w:rsidP="00FA2B05">
      <w:pPr>
        <w:pStyle w:val="TAMainText"/>
      </w:pPr>
      <w:r w:rsidRPr="00B24120">
        <w:t xml:space="preserve">Within the AIRPACT domain, Kennewick is part of the Tri-cities metropolitan area with a total population of about 216,000 </w:t>
      </w:r>
      <w:r w:rsidRPr="00B24120">
        <w:fldChar w:fldCharType="begin"/>
      </w:r>
      <w:r w:rsidRPr="00B24120">
        <w:instrText xml:space="preserve"> ADDIN ZOTERO_ITEM CSL_CITATION {"citationID":"qnqu1hIr","properties":{"formattedCitation":"(\\uc0\\u8220{}April 1, 2019 Population of Cities, Towns and Counties Used for Allocation of Selected State Revenues State of Washington\\uc0\\u8221{}, 2019)","plainCitation":"(“April 1, 2019 Population of Cities, Towns and Counties Used for Allocation of Selected State Revenues State of Washington”, 2019)","dontUpdate":true,"noteIndex":0},"citationItems":[{"id":526,"uris":["http://zotero.org/users/4238889/items/3BAZNEXN"],"uri":["http://zotero.org/users/4238889/items/3BAZNEXN"],"itemData":{"id":526,"type":"article","publisher":"Washington State Office of Financial Management","source":"Zotero","title":"April 1, 2019 Population of Cities, Towns and Counties Used for Allocation of Selected State Revenues State of Washington","URL":"https://www.ofm.wa.gov/sites/default/files/public/dataresearch/pop/april1/ofm_april1_population_final.pdf","issued":{"date-parts":[["2019"]]}}}],"schema":"https://github.com/citation-style-language/schema/raw/master/csl-citation.json"} </w:instrText>
      </w:r>
      <w:r w:rsidRPr="00B24120">
        <w:fldChar w:fldCharType="separate"/>
      </w:r>
      <w:r w:rsidRPr="00B24120">
        <w:t>(Estimated population of Kennewick 83,670, Pasco 75,290 and Richland 56,850 in 2019)</w:t>
      </w:r>
      <w:r w:rsidRPr="00B24120">
        <w:fldChar w:fldCharType="end"/>
      </w:r>
      <w:r w:rsidRPr="00B24120">
        <w:t>.</w:t>
      </w:r>
      <w:r w:rsidR="008A1E89">
        <w:fldChar w:fldCharType="begin"/>
      </w:r>
      <w:r w:rsidR="008A1E89">
        <w:instrText xml:space="preserve"> ADDIN ZOTERO_ITEM CSL_CITATION {"citationID":"RkNOIaqc","properties":{"formattedCitation":"\\super 3\\nosupersub{}","plainCitation":"3","noteIndex":0},"citationItems":[{"id":526,"uris":["http://zotero.org/users/4238889/items/3BAZNEXN"],"uri":["http://zotero.org/users/4238889/items/3BAZNEXN"],"itemData":{"id":526,"type":"article","publisher":"Washington State Office of Financial Management","source":"Zotero","title":"April 1, 2019 Population of Cities, Towns and Counties Used for Allocation of Selected State Revenues State of Washington","URL":"https://www.ofm.wa.gov/sites/default/files/public/dataresearch/pop/april1/ofm_april1_population_final.pdf","issued":{"date-parts":[["2019"]]}}}],"schema":"https://github.com/citation-style-language/schema/raw/master/csl-citation.json"} </w:instrText>
      </w:r>
      <w:r w:rsidR="008A1E89">
        <w:fldChar w:fldCharType="separate"/>
      </w:r>
      <w:r w:rsidR="008A1E89" w:rsidRPr="008A1E89">
        <w:rPr>
          <w:vertAlign w:val="superscript"/>
        </w:rPr>
        <w:t>3</w:t>
      </w:r>
      <w:r w:rsidR="008A1E89">
        <w:fldChar w:fldCharType="end"/>
      </w:r>
      <w:r w:rsidRPr="00B24120">
        <w:t xml:space="preserve"> The city is 32 km north of Washington State’s southern border and is in a hot dry portion of the state.  Recent monitoring and a large field study have shown that a few high O</w:t>
      </w:r>
      <w:r w:rsidRPr="00B24120">
        <w:rPr>
          <w:vertAlign w:val="subscript"/>
        </w:rPr>
        <w:t>3</w:t>
      </w:r>
      <w:r w:rsidRPr="00B24120">
        <w:t xml:space="preserve"> events typically occur during summer and early fall.</w:t>
      </w:r>
      <w:r w:rsidR="008A1E89" w:rsidRPr="00B24120">
        <w:fldChar w:fldCharType="begin"/>
      </w:r>
      <w:r w:rsidR="008A1E89">
        <w:instrText xml:space="preserve"> ADDIN ZOTERO_ITEM CSL_CITATION {"citationID":"PrMkXs2N","properties":{"formattedCitation":"\\super 4\\nosupersub{}","plainCitation":"4","noteIndex":0},"citationItems":[{"id":539,"uris":["http://zotero.org/users/4238889/items/5NRECC2C"],"uri":["http://zotero.org/users/4238889/items/5NRECC2C"],"itemData":{"id":539,"type":"report","genre":"Final Report","publisher":"Washington Department of Ecology","title":"The Tri-Cities Ozone Precursor Study (T-COPS)","URL":"https://ecology.wa.gov/DOE/files/93/934a2f46-b000-4f9a-837c-a286ccfa615e.pdf","author":[{"literal":"B. T. Jobson"},{"literal":"G. VanderSchelden"}],"issued":{"date-parts":[["2017",12,12]]}}}],"schema":"https://github.com/citation-style-language/schema/raw/master/csl-citation.json"} </w:instrText>
      </w:r>
      <w:r w:rsidR="008A1E89" w:rsidRPr="00B24120">
        <w:fldChar w:fldCharType="separate"/>
      </w:r>
      <w:r w:rsidR="008A1E89" w:rsidRPr="008A1E89">
        <w:rPr>
          <w:vertAlign w:val="superscript"/>
        </w:rPr>
        <w:t>4</w:t>
      </w:r>
      <w:r w:rsidR="008A1E89" w:rsidRPr="00B24120">
        <w:fldChar w:fldCharType="end"/>
      </w:r>
      <w:r w:rsidRPr="00B24120">
        <w:t xml:space="preserve"> While AIRPACT forecasts initially predicted the Tri-cities area as an ozone hotspot, the daily forecasts struggle to forecast correctly high O</w:t>
      </w:r>
      <w:r w:rsidRPr="00B24120">
        <w:rPr>
          <w:vertAlign w:val="subscript"/>
        </w:rPr>
        <w:t>3</w:t>
      </w:r>
      <w:r w:rsidRPr="00B24120">
        <w:t xml:space="preserve"> concentrations in this area. There were 20 days when the air quality was unhealthy for sensitive groups in 2015 – 2018, but AIPRACT only captured one of them.</w:t>
      </w:r>
    </w:p>
    <w:p w14:paraId="4F7A029C" w14:textId="700B44F7" w:rsidR="00CC1DFD" w:rsidRPr="00B24120" w:rsidRDefault="00CC1DFD" w:rsidP="00FA2B05">
      <w:pPr>
        <w:pStyle w:val="TAMainText"/>
      </w:pPr>
      <w:r w:rsidRPr="00B24120">
        <w:t xml:space="preserve">Machine learning models have been used to predict air quality in recent years. These methods incorporate a variety of features, including observed pollutant levels and various meteorological variables as the basis for training and applying ML methods.  For example, Feng </w:t>
      </w:r>
      <w:r w:rsidRPr="008A1E89">
        <w:t>et al.</w:t>
      </w:r>
      <w:r w:rsidRPr="00B24120">
        <w:fldChar w:fldCharType="begin"/>
      </w:r>
      <w:r w:rsidR="00B24120">
        <w:instrText xml:space="preserve"> ADDIN ZOTERO_ITEM CSL_CITATION {"citationID":"0Iarw5YW","properties":{"formattedCitation":"\\super 5\\nosupersub{}","plainCitation":"5","noteIndex":0},"citationItems":[{"id":147,"uris":["http://zotero.org/users/4238889/items/XNVMMT6W"],"uri":["http://zotero.org/users/4238889/items/XNVMMT6W"],"itemData":{"id":147,"type":"article-journal","container-title":"Atmospheric Environment","DOI":"10.1016/j.atmosenv.2015.02.030","ISSN":"13522310","language":"en","page":"118-128","source":"CrossRef","title":"Artificial neural networks forecasting of PM2.5 pollution using air mass trajectory based geographic model and wavelet transformation","volume":"107","author":[{"family":"Feng","given":"Xiao"},{"family":"Li","given":"Qi"},{"family":"Zhu","given":"Yajie"},{"family":"Hou","given":"Junxiong"},{"family":"Jin","given":"Lingyan"},{"family":"Wang","given":"Jingjie"}],"issued":{"date-parts":[["2015",4]]}},"suppress-author":true}],"schema":"https://github.com/citation-style-language/schema/raw/master/csl-citation.json"} </w:instrText>
      </w:r>
      <w:r w:rsidRPr="00B24120">
        <w:fldChar w:fldCharType="separate"/>
      </w:r>
      <w:r w:rsidR="008A1E89" w:rsidRPr="008A1E89">
        <w:rPr>
          <w:vertAlign w:val="superscript"/>
        </w:rPr>
        <w:t>5</w:t>
      </w:r>
      <w:r w:rsidRPr="00B24120">
        <w:fldChar w:fldCharType="end"/>
      </w:r>
      <w:r w:rsidRPr="00B24120">
        <w:t xml:space="preserve"> input trajectory-based geographic parameters, meteorological forecasts and associated pollutant predictors to an artificial neural network to predict PM2.5 concentrations in Beijing, China. Freeman </w:t>
      </w:r>
      <w:r w:rsidRPr="008A1E89">
        <w:t>et al.</w:t>
      </w:r>
      <w:r w:rsidRPr="00B24120">
        <w:fldChar w:fldCharType="begin"/>
      </w:r>
      <w:r w:rsidR="00B24120">
        <w:instrText xml:space="preserve"> ADDIN ZOTERO_ITEM CSL_CITATION {"citationID":"2XPUsNKA","properties":{"formattedCitation":"\\super 6\\nosupersub{}","plainCitation":"6","noteIndex":0},"citationItems":[{"id":250,"uris":["http://zotero.org/users/4238889/items/ZH3XC2Y3"],"uri":["http://zotero.org/users/4238889/items/ZH3XC2Y3"],"itemData":{"id":250,"type":"article-journal","abstract":"This paper presents one of the first applications of deep learning (DL) techniques to predict air pollution time series. Air quality management relies extensively on time series data captured at air monitoring stations as the basis of identifying population exposure to airborne pollutants and determining compliance with local ambient air standards. In this paper, 8 hr averaged surface ozone (O3) concentrations were predicted using deep learning consisting of a recurrent neural network (RNN) with long short-term memory (LSTM). Hourly air quality and meteorological data were used to train and forecast values up to 72 hours with low error rates. The LSTM was able to forecast the duration of continuous O3 exceedances as well. Prior to training the network, the dataset was reviewed for missing data and outliers. Missing data were imputed using a novel technique that averaged gaps less than eight time steps with incremental steps based on first-order differences of neighboring time periods. Data were then used to train decision trees to evaluate input feature importance over different time prediction horizons. The number of features used to train the LSTM model was reduced from 25 features to 5 features, resulting in improved accuracy as measured by Mean Absolute Error (MAE). Parameter sensitivity analysis identified look-back nodes associated with the RNN proved to be a significant source of error if not aligned with the prediction horizon. Overall, MAE's less than 2 were calculated for predictions out to 72 hours.","container-title":"Journal of the Air &amp; Waste Management Association","DOI":"10.1080/10962247.2018.1459956","ISSN":"1096-2247, 2162-2906","issue":"8","language":"en","page":"866-886","source":"Crossref","title":"Forecasting air quality time series using deep learning","volume":"68","author":[{"family":"Freeman","given":"Brian S."},{"family":"Taylor","given":"Graham"},{"family":"Gharabaghi","given":"Bahram"},{"family":"Thé","given":"Jesse"}],"issued":{"date-parts":[["2018",8,3]]}},"suppress-author":true}],"schema":"https://github.com/citation-style-language/schema/raw/master/csl-citation.json"} </w:instrText>
      </w:r>
      <w:r w:rsidRPr="00B24120">
        <w:fldChar w:fldCharType="separate"/>
      </w:r>
      <w:r w:rsidR="008A1E89" w:rsidRPr="008A1E89">
        <w:rPr>
          <w:vertAlign w:val="superscript"/>
        </w:rPr>
        <w:t>6</w:t>
      </w:r>
      <w:r w:rsidRPr="00B24120">
        <w:fldChar w:fldCharType="end"/>
      </w:r>
      <w:r w:rsidRPr="00B24120">
        <w:t xml:space="preserve"> used a recurrent neural network with short-term memory to predict 72-hour O</w:t>
      </w:r>
      <w:r w:rsidRPr="00B24120">
        <w:rPr>
          <w:vertAlign w:val="subscript"/>
        </w:rPr>
        <w:t>3</w:t>
      </w:r>
      <w:r w:rsidRPr="00B24120">
        <w:t xml:space="preserve"> forecasting with training via hourly air quality and meteorological data. Zamani </w:t>
      </w:r>
      <w:proofErr w:type="spellStart"/>
      <w:r w:rsidRPr="00B24120">
        <w:t>Joharestani</w:t>
      </w:r>
      <w:proofErr w:type="spellEnd"/>
      <w:r w:rsidRPr="00B24120">
        <w:t xml:space="preserve"> </w:t>
      </w:r>
      <w:r w:rsidRPr="008A1E89">
        <w:t>et al.</w:t>
      </w:r>
      <w:r w:rsidRPr="00B24120">
        <w:fldChar w:fldCharType="begin"/>
      </w:r>
      <w:r w:rsidR="00B24120">
        <w:instrText xml:space="preserve"> ADDIN ZOTERO_ITEM CSL_CITATION {"citationID":"aTd1KRVs","properties":{"formattedCitation":"\\super 7\\nosupersub{}","plainCitation":"7","noteIndex":0},"citationItems":[{"id":222,"uris":["http://zotero.org/users/4238889/items/4K4SVLWJ"],"uri":["http://zotero.org/users/4238889/items/4K4SVLWJ"],"itemData":{"id":222,"type":"article-journal","abstract":"In recent years, air pollution has become an important public health concern. The high concentration of ﬁne particulate matter with diameter less than 2.5 µm (PM2.5) is known to be associated with lung cancer, cardiovascular disease, respiratory disease, and metabolic disease. Predicting PM2.5 concentrations can help governments warn people at high risk, thus mitigating the complications. Although attempts have been made to predict PM2.5 concentrations, the factors inﬂuencing PM2.5 prediction have not been investigated. In this work, we study feature importance for PM2.5 prediction in Tehran’s urban area, implementing random forest, extreme gradient boosting, and deep learning machine learning (ML) approaches. We use 23 features, including satellite and meteorological data, ground-measured PM2.5, and geographical data, in the modeling. The best model performance obtained was R2 = 0.81 (R = 0.9), MAE = 9.93 µg/m3, and RMSE = 13.58 µg/m3 using the XGBoost approach, incorporating elimination of unimportant features. However, all three ML methods performed similarly and R2 varied from 0.63 to 0.67, when Aerosol Optical Depth (AOD) at 3 km resolution was included, and 0.77 to 0.81, when AOD at 3 km resolution was excluded. Contrary to the PM2.5 lag data, satellite-derived AODs did not improve model performance.","container-title":"Atmosphere","DOI":"10.3390/atmos10070373","ISSN":"2073-4433","issue":"7","language":"en","page":"373","source":"Crossref","title":"PM2.5 Prediction Based on Random Forest, XGBoost, and Deep Learning Using Multisource Remote Sensing Data","volume":"10","author":[{"family":"Zamani Joharestani","given":"Mehdi"},{"family":"Cao","given":"Chunxiang"},{"family":"Ni","given":"Xiliang"},{"family":"Bashir","given":"Barjeece"},{"family":"Talebiesfandarani","given":"Somayeh"}],"issued":{"date-parts":[["2019",7,4]]}},"suppress-author":true}],"schema":"https://github.com/citation-style-language/schema/raw/master/csl-citation.json"} </w:instrText>
      </w:r>
      <w:r w:rsidRPr="00B24120">
        <w:fldChar w:fldCharType="separate"/>
      </w:r>
      <w:r w:rsidR="008A1E89" w:rsidRPr="008A1E89">
        <w:rPr>
          <w:vertAlign w:val="superscript"/>
        </w:rPr>
        <w:t>7</w:t>
      </w:r>
      <w:r w:rsidRPr="00B24120">
        <w:fldChar w:fldCharType="end"/>
      </w:r>
      <w:r w:rsidRPr="00B24120">
        <w:t xml:space="preserve"> tested three machine learning approaches, random forest, extreme gradient boosting and deep learning to predict the PM2.5 concentrations in Tehran, Iran using  23 features.</w:t>
      </w:r>
    </w:p>
    <w:p w14:paraId="16C30AEB" w14:textId="643CB3ED" w:rsidR="00CC1DFD" w:rsidRPr="00B24120" w:rsidRDefault="00CC1DFD" w:rsidP="00FA2B05">
      <w:pPr>
        <w:pStyle w:val="TAMainText"/>
      </w:pPr>
      <w:r w:rsidRPr="00B24120">
        <w:lastRenderedPageBreak/>
        <w:t>A successful machine learning model must be trained with a big dataset. For air quality prediction, the training dataset usually includes meteorological data (temperature, relative humidity, pressure, wind speed and direction, etc.) and observed pollutant concentrations. However, compared to numerical models, it tends to be more computationally efficient, requires less input data, and performs better for specific events, which makes the machine learning models popular in recent years</w:t>
      </w:r>
      <w:r w:rsidR="008A1E89">
        <w:t>.</w:t>
      </w:r>
      <w:r w:rsidRPr="00B24120">
        <w:fldChar w:fldCharType="begin"/>
      </w:r>
      <w:r w:rsidR="00B24120">
        <w:instrText xml:space="preserve"> ADDIN ZOTERO_ITEM CSL_CITATION {"citationID":"6B4VGuD2","properties":{"formattedCitation":"\\super 5,6,8\\uc0\\u8211{}10\\nosupersub{}","plainCitation":"5,6,8–10","noteIndex":0},"citationItems":[{"id":204,"uris":["http://zotero.org/users/4238889/items/NSUUTUXT"],"uri":["http://zotero.org/users/4238889/items/NSUUTUXT"],"itemData":{"id":204,"type":"article-journal","abstract":"Environmental pollution has mainly been attributed to urbanization and industrial developments across the globe. Air pollution has been marked as one of the major problems of metropolitan areas around the world, especially in Tehran, the capital of Iran, where its administrators and residents have long been struggling with air pollution damage such as the health issues of its citizens. As far as the study area of this research is concerned, a considerable proportion of Tehran air pollution is attributed to PM10 and PM2.5 pollutants. Therefore, the present study was conducted to determine the prediction models to determine air pollutions based on PM10 and PM2.5 pollution concentrations in Tehran. To predict the air-pollution, the data related to day of week, month of year, topography, meteorology, and pollutant rate of two nearest neighbors as the input parameters and machine learning methods were used. These methods include a regression support vector machine, geographically weighted regression, artiﬁcial neural network and auto-regressive nonlinear neural network with an external input as the machine learning method for the air pollution prediction. A prediction model was then proposed to improve the afore-mentioned methods, by which the error percentage has been reduced and improved by 57%, 47%, 47% and 94%, respectively. The most reliable algorithm for the prediction of air pollution was autoregressive nonlinear neural network with external input using the proposed prediction model, where its one-day prediction error reached 1.79 µg/m3. Finally, using genetic algorithm, data for day of week, month of year, topography, wind direction, maximum temperature and pollutant rate of the two nearest neighbors were identiﬁed as the most effective parameters in the prediction of air pollution.","container-title":"ISPRS International Journal of Geo-Information","DOI":"10.3390/ijgi8020099","ISSN":"2220-9964","issue":"2","language":"en","page":"99","source":"Crossref","title":"A Novel Method for Improving Air Pollution Prediction Based on Machine Learning Approaches: A Case Study Applied to the Capital City of Tehran","title-short":"A Novel Method for Improving Air Pollution Prediction Based on Machine Learning Approaches","volume":"8","author":[{"family":"Delavar","given":"Mahmoud"},{"family":"Gholami","given":"Amin"},{"family":"Shiran","given":"Gholam"},{"family":"Rashidi","given":"Yousef"},{"family":"Nakhaeizadeh","given":"Gholam"},{"family":"Fedra","given":"Kurt"},{"family":"Hatefi Afshar","given":"Smaeil"}],"issued":{"date-parts":[["2019",2,23]]}}},{"id":147,"uris":["http://zotero.org/users/4238889/items/XNVMMT6W"],"uri":["http://zotero.org/users/4238889/items/XNVMMT6W"],"itemData":{"id":147,"type":"article-journal","container-title":"Atmospheric Environment","DOI":"10.1016/j.atmosenv.2015.02.030","ISSN":"13522310","language":"en","page":"118-128","source":"CrossRef","title":"Artificial neural networks forecasting of PM2.5 pollution using air mass trajectory based geographic model and wavelet transformation","volume":"107","author":[{"family":"Feng","given":"Xiao"},{"family":"Li","given":"Qi"},{"family":"Zhu","given":"Yajie"},{"family":"Hou","given":"Junxiong"},{"family":"Jin","given":"Lingyan"},{"family":"Wang","given":"Jingjie"}],"issued":{"date-parts":[["2015",4]]}}},{"id":250,"uris":["http://zotero.org/users/4238889/items/ZH3XC2Y3"],"uri":["http://zotero.org/users/4238889/items/ZH3XC2Y3"],"itemData":{"id":250,"type":"article-journal","abstract":"This paper presents one of the first applications of deep learning (DL) techniques to predict air pollution time series. Air quality management relies extensively on time series data captured at air monitoring stations as the basis of identifying population exposure to airborne pollutants and determining compliance with local ambient air standards. In this paper, 8 hr averaged surface ozone (O3) concentrations were predicted using deep learning consisting of a recurrent neural network (RNN) with long short-term memory (LSTM). Hourly air quality and meteorological data were used to train and forecast values up to 72 hours with low error rates. The LSTM was able to forecast the duration of continuous O3 exceedances as well. Prior to training the network, the dataset was reviewed for missing data and outliers. Missing data were imputed using a novel technique that averaged gaps less than eight time steps with incremental steps based on first-order differences of neighboring time periods. Data were then used to train decision trees to evaluate input feature importance over different time prediction horizons. The number of features used to train the LSTM model was reduced from 25 features to 5 features, resulting in improved accuracy as measured by Mean Absolute Error (MAE). Parameter sensitivity analysis identified look-back nodes associated with the RNN proved to be a significant source of error if not aligned with the prediction horizon. Overall, MAE's less than 2 were calculated for predictions out to 72 hours.","container-title":"Journal of the Air &amp; Waste Management Association","DOI":"10.1080/10962247.2018.1459956","ISSN":"1096-2247, 2162-2906","issue":"8","language":"en","page":"866-886","source":"Crossref","title":"Forecasting air quality time series using deep learning","volume":"68","author":[{"family":"Freeman","given":"Brian S."},{"family":"Taylor","given":"Graham"},{"family":"Gharabaghi","given":"Bahram"},{"family":"Thé","given":"Jesse"}],"issued":{"date-parts":[["2018",8,3]]}}},{"id":220,"uris":["http://zotero.org/users/4238889/items/PPQSVEBT"],"uri":["http://zotero.org/users/4238889/items/PPQSVEBT"],"itemData":{"id":220,"type":"article-journal","abstract":"Epidemiologists use prediction models to downscale (i.e., interpolate) air pollution exposure where monitoring data is insufﬁcient. This study compares machine learning prediction models for groundlevel ozone during wildﬁres, evaluating the predictive accuracy of ten algorithms on the daily 8-hour maximum average ozone during a 2008 wildﬁre event in northern California. Models were evaluated using a leave-one-location-out cross-validation (LOLO CV) procedure to account for the spatial and temporal dependence of the data and produce more realistic estimates of prediction error. LOLO CV avoids both the well-known overly optimistic bias of k-fold cross-validation on dependent data and the conservative bias of evaluating prediction error over a coarser spatial resolution via leave-k-locations-out CV. Gradient boosting was the most accurate of the ten machine learning algorithms with the lowest LOLO CV estimated root mean square error (0.228) and the highest LOLO CV Rb2 (0.677). Random forest was the second best performing algorithm with an LOLO CV Rb2 of 0.661. The LOLO CV estimates of predictive accuracy were less optimistic than 10-fold CV estimates for all ten models. The difference in estimated accuracy between the 10-fold CV and LOLO CV was greater for more ﬂexible models like gradient boosting and random forest. The order of estimated model accuracy depended on the choice of evaluation metric, indicating that 10-fold CV and LOLO CV may select different models or sets of covariates as optimal, which calls into question the reliability of 10-fold CV for model (or variable) selection. These prediction models are designed for interpolating ozone exposure, and are not suited to inferring the effect of wildﬁres on ozone or extrapolating to predict ozone in other spatial or temporal domains. This is demonstrated by the inability of the best performing models to accurately predict ozone during 2007 southern California wildﬁres.","container-title":"Environmental Pollution","DOI":"10.1016/j.envpol.2019.06.088","ISSN":"02697491","language":"en","page":"112792","source":"Crossref","title":"Machine learning models accurately predict ozone exposure during wildfire events","volume":"254","author":[{"family":"Watson","given":"Gregory L."},{"family":"Telesca","given":"Donatello"},{"family":"Reid","given":"Colleen E."},{"family":"Pfister","given":"Gabriele G."},{"family":"Jerrett","given":"Michael"}],"issued":{"date-parts":[["2019",11]]}}},{"id":206,"uris":["http://zotero.org/users/4238889/items/SPSIBJK4"],"uri":["http://zotero.org/users/4238889/items/SPSIBJK4"],"itemData":{"id":206,"type":"paper-conference","abstract":"Information about urban air quality, e.g., the concentration of PM2.5, is of great importance to protect human health and control air pollution. While there are limited air-quality-monitor-stations in a city, air quality varies in urban spaces non-linearly and depends on multiple factors, such as meteorology, traffic volume, and land uses. In this paper, we infer the real-time and finegrained air quality information throughout a city, based on the (historical and real-time) air quality data reported by existing monitor stations and a variety of data sources we observed in the city, such as meteorology, traffic flow, human mobility, structure of road networks, and point of interests (POIs). We propose a semi-supervised learning approach based on a co-training framework that consists of two separated classifiers. One is a spatial classifier based on an artificial neural network (ANN), which takes spatially-related features (e.g., the density of POIs and length of highways) as input to model the spatial correlation between air qualities of different locations. The other is a temporal classifier based on a linear-chain conditional random field (CRF), involving temporally-related features (e.g., traffic and meteorology) to model the temporal dependency of air quality in a location. We evaluated our approach with extensive experiments based on five real data sources obtained in Beijing and Shanghai. The results show the advantages of our method over four categories of baselines, including linear/Gaussian interpolations, classical dispersion models, well-known classification models like decision tree and CRF, and ANN.","container-title":"Proceedings of the 19th ACM SIGKDD international conference on Knowledge discovery and data mining - KDD '13","DOI":"10.1145/2487575.2488188","event":"the 19th ACM SIGKDD international conference","event-place":"Chicago, Illinois, USA","ISBN":"978-1-4503-2174-7","language":"en","page":"1436","publisher":"ACM Press","publisher-place":"Chicago, Illinois, USA","source":"Crossref","title":"U-Air: when urban air quality inference meets big data","title-short":"U-Air","URL":"http://dl.acm.org/citation.cfm?doid=2487575.2488188","author":[{"family":"Zheng","given":"Yu"},{"family":"Liu","given":"Furui"},{"family":"Hsieh","given":"Hsun-Ping"}],"accessed":{"date-parts":[["2019",10,8]]},"issued":{"date-parts":[["2013"]]}}}],"schema":"https://github.com/citation-style-language/schema/raw/master/csl-citation.json"} </w:instrText>
      </w:r>
      <w:r w:rsidRPr="00B24120">
        <w:fldChar w:fldCharType="separate"/>
      </w:r>
      <w:r w:rsidR="008A1E89" w:rsidRPr="008A1E89">
        <w:rPr>
          <w:vertAlign w:val="superscript"/>
        </w:rPr>
        <w:t>5,6,8–10</w:t>
      </w:r>
      <w:r w:rsidRPr="00B24120">
        <w:fldChar w:fldCharType="end"/>
      </w:r>
    </w:p>
    <w:p w14:paraId="53869098" w14:textId="77AE18E4" w:rsidR="00CC1DFD" w:rsidRPr="00B24120" w:rsidRDefault="00CC1DFD" w:rsidP="00FA2B05">
      <w:pPr>
        <w:pStyle w:val="TAMainText"/>
      </w:pPr>
      <w:r w:rsidRPr="00B24120">
        <w:t>In this study, we developed machine learning modeling frameworks to predict O</w:t>
      </w:r>
      <w:r w:rsidRPr="00B24120">
        <w:rPr>
          <w:vertAlign w:val="subscript"/>
        </w:rPr>
        <w:t>3</w:t>
      </w:r>
      <w:r w:rsidRPr="00B24120">
        <w:t xml:space="preserve"> mixing ratios, which were based on the following approaches: random forest (RF) and multiple linear regression (MLR).  RF is one of the most popular machine learning methods and has been used in many </w:t>
      </w:r>
      <w:proofErr w:type="gramStart"/>
      <w:r w:rsidRPr="00B24120">
        <w:t>air</w:t>
      </w:r>
      <w:proofErr w:type="gramEnd"/>
      <w:r w:rsidRPr="00B24120">
        <w:t xml:space="preserve"> quality modeling and forecast studies. The RF method has been demonstrated to provide reliable forecasts for O</w:t>
      </w:r>
      <w:r w:rsidRPr="00B24120">
        <w:rPr>
          <w:vertAlign w:val="subscript"/>
        </w:rPr>
        <w:t>3</w:t>
      </w:r>
      <w:r w:rsidRPr="00B24120">
        <w:t xml:space="preserve"> and PM2.5 with lower computational cost compared to physical models</w:t>
      </w:r>
      <w:r w:rsidR="008A1E89">
        <w:t>.</w:t>
      </w:r>
      <w:r w:rsidRPr="00B24120">
        <w:fldChar w:fldCharType="begin"/>
      </w:r>
      <w:r w:rsidR="00B24120">
        <w:instrText xml:space="preserve"> ADDIN ZOTERO_ITEM CSL_CITATION {"citationID":"fvkE19Lu","properties":{"formattedCitation":"\\super 11\\uc0\\u8211{}14\\nosupersub{}","plainCitation":"11–14","noteIndex":0},"citationItems":[{"id":512,"uris":["http://zotero.org/users/4238889/items/LU3K2WC3"],"uri":["http://zotero.org/users/4238889/items/LU3K2WC3"],"itemData":{"id":512,"type":"article-journal","abstract":"We developed and evaluated three types of statistical forecasting models (quantitative, probabilistic, and classification) for predicting the maximum daily 8-hour average concentration of ozone based on meteorological and ozone monitoring data for six Texas urban areas from 2009 to 2015. The quantitative and probabilistic forecasting models were generalized additive models (GAMs), whereas the classification forecast used the random forest machine learning method. We found that for the quantitative forecasting models, five of the eight predictors (the day of week, day of the year, water vapor density, wind speed, and previous day’s ozone measurement) were significant at the α = 0.001 level for all urban areas, whereas the other three varied in significance according to the location. The quantitative forecasting for the 2016 ozone season agreed well with the associated measurements (R2 of ~0.70), but it tended to under-predict the ozone level for the days with the highest concentrations. By contrast, the probabilistic forecasting models showed little accuracy in determining the probability of concentrations exceeding policy-relevant thresholds during this season. The success rate for the random forest classification models typically exceeded 75% and would likely increase if the training data sets contained more extreme events.","container-title":"Aerosol and Air Quality Research","DOI":"10.4209/aaqr.2018.12.0464","ISSN":"16808584, 20711409","issue":"12","journalAbbreviation":"Aerosol Air Qual. Res.","language":"en","page":"2815-2826","source":"DOI.org (Crossref)","title":"Forecasting Surface O3 in Texas Urban Areas Using Random Forest and Generalized Additive Models","volume":"9","author":[{"family":"Pernak","given":"Rick"},{"family":"Alvarado","given":"Matthew"},{"family":"Lonsdale","given":"Chantelle"},{"family":"Mountain","given":"Marikate"},{"family":"Hegarty","given":"Jennifer"},{"family":"Nehrkorn","given":"Thomas"}],"issued":{"date-parts":[["2019"]]}}},{"id":524,"uris":["http://zotero.org/users/4238889/items/JEEVIE93"],"uri":["http://zotero.org/users/4238889/items/JEEVIE93"],"itemData":{"id":524,"type":"article-journal","abstract":"Current studies show that traditional deterministic models tend to struggle to capture the non-linear relationship between the concentration of air pollutants and their sources of emission and dispersion. To tackle such a limitation, the most promising approach is to use statistical models based on machine learning techniques. Nevertheless, it is puzzling why a certain algorithm is chosen over another for a given task. This systematic review intends to clarify this question by providing the reader with a comprehensive description of the principles underlying these algorithms and how they are applied to enhance prediction accuracy. A rigorous search that conforms to the PRISMA guideline is performed and results in the selection of the 46 most relevant journal papers in the area. Through a factorial analysis method these studies are synthetized and linked to each other. The main ﬁndings of this literature review show that: (i) machine learning is mainly applied in Eurasian and North American continents and (ii) estimation problems tend to implement Ensemble Learning and Regressions, whereas forecasting make use of Neural Networks and Support Vector Machines. The next challenges of this approach are to improve the prediction of pollution peaks and contaminants recently put in the spotlights (e.g., nanoparticles).","container-title":"Applied Sciences","DOI":"10.3390/app8122570","ISSN":"2076-3417","issue":"12","journalAbbreviation":"Applied Sciences","language":"en","page":"2570","source":"DOI.org (Crossref)","title":"Machine Learning Approaches for Outdoor Air Quality Modelling: A Systematic Review","title-short":"Machine Learning Approaches for Outdoor Air Quality Modelling","volume":"8","author":[{"family":"Rybarczyk","given":"Yves"},{"family":"Zalakeviciute","given":"Rasa"}],"issued":{"date-parts":[["2018",12,11]]}}},{"id":510,"uris":["http://zotero.org/users/4238889/items/2PVBVQSP"],"uri":["http://zotero.org/users/4238889/items/2PVBVQSP"],"itemData":{"id":510,"type":"article-journal","abstract":"Air quality information such as the concentration of PM2.5 is of great signiﬁcance for human health and city management. It affects the way of traveling, urban planning, government policies and so on. However, in major cities there is typically only a limited number of air quality monitoring stations. In the meantime, air quality varies in the urban areas and there can be large differences, even between closely neighboring regions. In this paper, a random forest approach for predicting air quality (RAQ) is proposed for urban sensing systems. The data generated by urban sensing includes meteorology data, road information, real-time trafﬁc status and point of interest (POI) distribution. The random forest algorithm is exploited for data training and prediction. The performance of RAQ is evaluated with real city data. Compared with three other algorithms, this approach achieves better prediction precision. Exciting results are observed from the experiments that the air quality can be inferred with amazingly high accuracy from the data which are obtained from urban sensing.","container-title":"Sensors","DOI":"10.3390/s16010086","ISSN":"1424-8220","issue":"1","journalAbbreviation":"Sensors","language":"en","page":"86","source":"DOI.org (Crossref)","title":"RAQ–A Random Forest Approach for Predicting Air Quality in Urban Sensing Systems","volume":"16","author":[{"family":"Yu","given":"Ruiyun"},{"family":"Yang","given":"Yu"},{"family":"Yang","given":"Leyou"},{"family":"Han","given":"Guangjie"},{"family":"Move","given":"Oguti"}],"issued":{"date-parts":[["2016",1,9]]}}},{"id":514,"uris":["http://zotero.org/users/4238889/items/S33DPVTY"],"uri":["http://zotero.org/users/4238889/items/S33DPVTY"],"itemData":{"id":514,"type":"article-journal","abstract":"In China, ozone pollution shows an increasing trend and becomes the primary air pollutant in warm seasons. Leveraging the air quality monitoring network, a random forest model is developed to predict the daily maximum 8-h average ozone concentrations ([O3]MDA8) across China in 2015 for human exposure assessment. This model captures the observed spatiotemporal variations of [O3]MDA8 by using the data of meteorology, elevation, and recent-year emission inventories (cross-validation R2 ¼ 0.69 and RMSE ¼ 26 mg/m3). Compared with chemical transport models that require a plenty of variables and expensive computation, the random forest model shows comparable or higher predictive performance based on only a handful of readily-available variables at much lower computational cost. The nationwide population-weighted [O3]MDA8 is predicted to be 84 ± 23 mg/m3 annually, with the highest seasonal mean in the summer (103 ± 8 mg/m3). The summer [O3]MDA8 is predicted to be the highest in North China (125 ± 17 mg/m3). Approximately 58% of the population lives in areas with more than 100 nonattainment days ([O3]MDA8&gt;100 mg/m3), and 12% of the population are exposed to [O3]MDA8&gt;160 mg/m3 (WHO Interim Target 1) for more than 30 days. As the most populous zones in China, the Beijing-Tianjin Metro, Yangtze River Delta, Pearl River Delta, and Sichuan Basin are predicted to be at 154, 141, 124, and 98 nonattainment days, respectively. Effective controls of O3 pollution are urgently needed for the highlypopulated zones, especially the Beijing-Tianjin Metro with seasonal [O3]MDA8 of 140 ± 29 mg/m3 in summer. To the best of the authors’ knowledge, this study is the ﬁrst statistical modeling work of ambient O3 for China at the national level. This timely and extensively validated [O3]MDA8 dataset is valuable for reﬁning epidemiological analyses on O3 pollution in China.","container-title":"Environmental Pollution","DOI":"10.1016/j.envpol.2017.10.029","ISSN":"02697491","journalAbbreviation":"Environmental Pollution","language":"en","page":"464-473","source":"DOI.org (Crossref)","title":"Spatiotemporal prediction of daily ambient ozone levels across China using random forest for human exposure assessment","volume":"233","author":[{"family":"Zhan","given":"Yu"},{"family":"Luo","given":"Yuzhou"},{"family":"Deng","given":"Xunfei"},{"family":"Grieneisen","given":"Michael L."},{"family":"Zhang","given":"Minghua"},{"family":"Di","given":"Baofeng"}],"issued":{"date-parts":[["2018",2]]}}}],"schema":"https://github.com/citation-style-language/schema/raw/master/csl-citation.json"} </w:instrText>
      </w:r>
      <w:r w:rsidRPr="00B24120">
        <w:fldChar w:fldCharType="separate"/>
      </w:r>
      <w:r w:rsidR="008A1E89" w:rsidRPr="008A1E89">
        <w:rPr>
          <w:vertAlign w:val="superscript"/>
        </w:rPr>
        <w:t>11–14</w:t>
      </w:r>
      <w:r w:rsidRPr="00B24120">
        <w:fldChar w:fldCharType="end"/>
      </w:r>
      <w:r w:rsidRPr="00B24120">
        <w:t xml:space="preserve"> RF consists of an ensemble of decision trees, and decision tree learning is for approximating discrete-valued functions</w:t>
      </w:r>
      <w:r w:rsidR="008A1E89">
        <w:t>.</w:t>
      </w:r>
      <w:r w:rsidRPr="00B24120">
        <w:fldChar w:fldCharType="begin"/>
      </w:r>
      <w:r w:rsidR="00B24120">
        <w:instrText xml:space="preserve"> ADDIN ZOTERO_ITEM CSL_CITATION {"citationID":"ugDmW1xC","properties":{"formattedCitation":"\\super 15\\uc0\\u8211{}17\\nosupersub{}","plainCitation":"15–17","noteIndex":0},"citationItems":[{"id":202,"uris":["http://zotero.org/users/4238889/items/286TTYRH"],"uri":["http://zotero.org/users/4238889/items/286TTYRH"],"itemData":{"id":202,"type":"article-journal","abstract":"Random forests are a combination of tree predictors such that each tree depends on the values of a random vector sampled independently and with the same distribution for all trees in the forest. The generalization error for forests converges a.s. to a limit as the number of trees in the forest becomes large. The generalization error of a forest of tree classifiers depends on the strength of the individual trees in the forest and the correlation between them. Using a random selection of features to split each node yields error rates that compare favorably to Adaboost (Y. Freund &amp; R. Schapire, Machine Learning: Proceedings of the Thirteenth International conference, ***, 148–156), but are more robust with respect to noise. Internal estimates monitor error, strength, and correlation and these are used to show the response to increasing the number of features used in the splitting. Internal estimates are also used to measure variable importance. These ideas are also applicable to regression.","container-title":"Machine Learning","DOI":"10.1023/A:1010933404324","ISSN":"1573-0565","issue":"1","journalAbbreviation":"Machine Learning","page":"5-32","title":"Random Forests","volume":"45","author":[{"family":"Breiman","given":"Leo"}],"issued":{"date-parts":[["2001",10,1]]}}},{"id":201,"uris":["http://zotero.org/users/4238889/items/EH2MTBZV"],"uri":["http://zotero.org/users/4238889/items/EH2MTBZV"],"itemData":{"id":201,"type":"paper-conference","container-title":"Proceedings of the 3rd International Conference on Document Analysis and Recognition","page":"278282","title":"Random decision forest","volume":"1416","author":[{"family":"Kam","given":"Ho Tin"}],"issued":{"date-parts":[["1995"]]}}},{"id":209,"uris":["http://zotero.org/users/4238889/items/MNV8MMBU"],"uri":["http://zotero.org/users/4238889/items/MNV8MMBU"],"itemData":{"id":209,"type":"book","call-number":"Q325.5 .M58 1997","collection-title":"McGraw-Hill series in computer science","event-place":"New York","ISBN":"978-0-07-042807-2","language":"en","number-of-pages":"414","publisher":"McGraw-Hill","publisher-place":"New York","source":"Library of Congress ISBN","title":"Machine Learning","author":[{"family":"Mitchell","given":"Tom M."}],"issued":{"date-parts":[["1997"]]}}}],"schema":"https://github.com/citation-style-language/schema/raw/master/csl-citation.json"} </w:instrText>
      </w:r>
      <w:r w:rsidRPr="00B24120">
        <w:fldChar w:fldCharType="separate"/>
      </w:r>
      <w:r w:rsidR="008A1E89" w:rsidRPr="008A1E89">
        <w:rPr>
          <w:vertAlign w:val="superscript"/>
        </w:rPr>
        <w:t>15–17</w:t>
      </w:r>
      <w:r w:rsidRPr="00B24120">
        <w:fldChar w:fldCharType="end"/>
      </w:r>
      <w:r w:rsidRPr="00B24120">
        <w:t xml:space="preserve"> The RF model can be used for classification and regression. For our study, the RF classifier model was used to predict the O</w:t>
      </w:r>
      <w:r w:rsidRPr="00B24120">
        <w:rPr>
          <w:vertAlign w:val="subscript"/>
        </w:rPr>
        <w:t>3</w:t>
      </w:r>
      <w:r w:rsidRPr="00B24120">
        <w:t xml:space="preserve"> Air Quality Index (AQI) categories, and the RF regression model was used to predict O</w:t>
      </w:r>
      <w:r w:rsidRPr="00B24120">
        <w:rPr>
          <w:vertAlign w:val="subscript"/>
        </w:rPr>
        <w:t>3</w:t>
      </w:r>
      <w:r w:rsidRPr="00B24120">
        <w:t xml:space="preserve"> mixing ratios. MLR is a regression method with one dependent variable and several independent variables, which we used to predict O</w:t>
      </w:r>
      <w:r w:rsidRPr="00B24120">
        <w:rPr>
          <w:vertAlign w:val="subscript"/>
        </w:rPr>
        <w:t>3</w:t>
      </w:r>
      <w:r w:rsidRPr="00B24120">
        <w:t xml:space="preserve"> levels.  Previous studies that used MLR models to predict O</w:t>
      </w:r>
      <w:r w:rsidRPr="00B24120">
        <w:rPr>
          <w:vertAlign w:val="subscript"/>
        </w:rPr>
        <w:t>3</w:t>
      </w:r>
      <w:r w:rsidRPr="00B24120">
        <w:t xml:space="preserve"> mixing ratios showed performance as good as more complex machine learning models</w:t>
      </w:r>
      <w:r w:rsidR="008A1E89">
        <w:t>.</w:t>
      </w:r>
      <w:r w:rsidRPr="00B24120">
        <w:fldChar w:fldCharType="begin"/>
      </w:r>
      <w:r w:rsidR="00B24120">
        <w:instrText xml:space="preserve"> ADDIN ZOTERO_ITEM CSL_CITATION {"citationID":"zW0LVChj","properties":{"formattedCitation":"\\super 18\\uc0\\u8211{}21\\nosupersub{}","plainCitation":"18–21","noteIndex":0},"citationItems":[{"id":54,"uris":["http://zotero.org/users/4238889/items/5GNKRRJT"],"uri":["http://zotero.org/users/4238889/items/5GNKRRJT"],"itemData":{"id":54,"type":"chapter","container-title":"Genetic Programming - New Approaches and Successful Applications","ISBN":"978-953-51-0809-2","language":"en","note":"DOI: 10.5772/50556","publisher":"InTech","source":"Crossref","title":"Comparison Between Equations Obtained by Means of Multiple Linear Regression and Genetic Programming to Approach Measured Climatic Data in a River","URL":"http://www.intechopen.com/books/genetic-programming-new-approaches-and-successful-applications/comparison-between-equations-obtained-by-means-of-multiple-linear-regression-and-genetic-programming","editor":[{"family":"Ventura Soto","given":"Sebastian"}],"author":[{"family":"Arganis","given":"M.L."},{"family":"Val","given":"R."},{"family":"Dominguez","given":"R."},{"family":"Rodriguez","given":"K."},{"family":"Dolz","given":"J."},{"family":"Eato","given":"J.M."}],"accessed":{"date-parts":[["2018",10,10]]},"issued":{"date-parts":[["2012",10,18]]}}},{"id":199,"uris":["http://zotero.org/users/4238889/items/ZV3HJ8VU"],"uri":["http://zotero.org/users/4238889/items/ZV3HJ8VU"],"itemData":{"id":199,"type":"article-journal","abstract":"In the work ozone data from the Liossion monitoring station of the Athens/PERPA network are analysed. Data cover the months May to September for the period 1987–93. Four statistical models, three multiple regression and one ARIMA (0,1,2), for the prediction of the daily maximum 1-hour ozone concentrations are developed. All models together, with a persistence forecast, are evaluated and compared with the 1993’s data, not used in the models development. Validation statistics were used to assess the relative accuracy of models. Analysis, concerning the models’ ability to forecast real ozone episodes, was also carried out. Two of the three regression models provide the most accurate forecasts. The ARIMA model had the worst performance, even lower than the persistence one. The forecast skill of a bivariate wind speed and persistence based regression model for ozone episode days was found to be quite satisfactory, with a detection rate of 73% and 60% for O3 &gt;180 µg m−3 and O3 &gt;200 µg m−3, respectively.","language":"en","page":"16","source":"Zotero","title":"Forecasting Daily Maximum Ozone Concentrations in the Athens Basin","author":[{"family":"Chaloulakou","given":"A"},{"family":"Assimacopoulos","given":"D"},{"family":"Lekkas","given":"T"}]}},{"id":197,"uris":["http://zotero.org/users/4238889/items/4KKUAAPX"],"uri":["http://zotero.org/users/4238889/items/4KKUAAPX"],"itemData":{"id":197,"type":"article-journal","container-title":"Advances in Meteorology","DOI":"10.1155/2012/894714","ISSN":"1687-9309, 1687-9317","language":"en","page":"1-8","source":"Crossref","title":"Application of Multiple Linear Regression Models and Artificial Neural Networks on the Surface Ozone Forecast in the Greater Athens Area, Greece","volume":"2012","author":[{"family":"Moustris","given":"K. P."},{"family":"Nastos","given":"P. T."},{"family":"Larissi","given":"I. K."},{"family":"Paliatsos","given":"A. G."}],"issued":{"date-parts":[["2012"]]}}},{"id":200,"uris":["http://zotero.org/users/4238889/items/VV4X2VD2"],"uri":["http://zotero.org/users/4238889/items/VV4X2VD2"],"itemData":{"id":200,"type":"article-journal","abstract":"The prediction of tropospheric ozone concentrations is very important due to the negative impacts of ozone on human health, climate and vegetation. The development of models to predict ozone concentrations is thus very useful because it can provide early warnings to the population and also reduce the number of measuring sites. The aim of this study was to predict next day hourly ozone concentrations through a new methodology based on feedforward artiﬁcial neural networks using principal components as inputs. The developed model was compared with multiple linear regression, feedforward artiﬁcial neural networks based on the original data and also with principal component regression. Results showed that the use of principal components as inputs improved both models prediction by reducing their complexity and eliminating data collinearity.","container-title":"Environmental Modelling &amp; Software","DOI":"10.1016/j.envsoft.2005.12.002","ISSN":"13648152","issue":"1","language":"en","page":"97-103","source":"Crossref","title":"Multiple linear regression and artificial neural networks based on principal components to predict ozone concentrations","volume":"22","author":[{"family":"Sousa","given":"S"},{"family":"Martins","given":"F"},{"family":"Alvimferraz","given":"M"},{"family":"Pereira","given":"M"}],"issued":{"date-parts":[["2007",1]]}}}],"schema":"https://github.com/citation-style-language/schema/raw/master/csl-citation.json"} </w:instrText>
      </w:r>
      <w:r w:rsidRPr="00B24120">
        <w:fldChar w:fldCharType="separate"/>
      </w:r>
      <w:r w:rsidR="008A1E89" w:rsidRPr="008A1E89">
        <w:rPr>
          <w:vertAlign w:val="superscript"/>
        </w:rPr>
        <w:t>18–21</w:t>
      </w:r>
      <w:r w:rsidRPr="00B24120">
        <w:fldChar w:fldCharType="end"/>
      </w:r>
      <w:r w:rsidRPr="00B24120">
        <w:t xml:space="preserve"> Yuchi </w:t>
      </w:r>
      <w:r w:rsidRPr="008A1E89">
        <w:t>et al.</w:t>
      </w:r>
      <w:r w:rsidRPr="00B24120">
        <w:fldChar w:fldCharType="begin"/>
      </w:r>
      <w:r w:rsidR="00B24120">
        <w:instrText xml:space="preserve"> ADDIN ZOTERO_ITEM CSL_CITATION {"citationID":"5mUrwVOs","properties":{"formattedCitation":"\\super 22\\nosupersub{}","plainCitation":"22","noteIndex":0},"citationItems":[{"id":542,"uris":["http://zotero.org/users/4238889/items/Y3B4J6EJ"],"uri":["http://zotero.org/users/4238889/items/Y3B4J6EJ"],"itemData":{"id":542,"type":"article-journal","abstract":"Background: Indoor and outdoor ﬁne particulate matter (PM2.5) are both leading risk factors for death and disease, but making indoor measurements is often infeasible for large study populations.\nMethods: We developed models to predict indoor PM2.5 concentrations for pregnant women who were part of a randomized controlled trial of portable air cleaners in Ulaanbaatar, Mongolia. We used multiple linear regression (MLR) and random forest regression (RFR) to model indoor PM2.5 concentrations with 447 independent 7-day PM2.5 measurements and 87 potential predictor variables obtained from outdoor monitoring data, questionnaires, home assessments, and geographic data sets. We also developed blended models that combined the MLR and RFR approaches. All models were evaluated in a 10-fold cross-validation.\nResults: The predictors in the MLR model were season, outdoor PM2.5 concentration, the number of air cleaners deployed, and the density of gers (traditional felt-lined yurts) surrounding the apartments. MLR and RFR had similar performance in cross-validation (R2 ¼ 50.2%, R2 ¼ 48.9% respectively). The blended MLR model that included RFR predictions had the best performance (cross validation R2 ¼ 81.5%). Intervention status alone explained only 6.0% of the variation in indoor PM2.5 concentrations.\nConclusions: We predicted a moderate amount of variation in indoor PM2.5 concentrations using easily obtained predictor variables and the models explained substantially more variation than intervention status alone. While RFR shows promise for modelling indoor concentrations, our results highlight the importance of out-of-sample validation when evaluating model performance. We also demonstrate the improved performance of blended MLR/RFR models in predicting indoor air pollution.","container-title":"Environmental Pollution","DOI":"10.1016/j.envpol.2018.11.034","ISSN":"02697491","journalAbbreviation":"Environmental Pollution","language":"en","page":"746-753","source":"DOI.org (Crossref)","title":"Evaluation of random forest regression and multiple linear regression for predicting indoor fine particulate matter concentrations in a highly polluted city","volume":"245","author":[{"family":"Yuchi","given":"Weiran"},{"family":"Gombojav","given":"Enkhjargal"},{"family":"Boldbaatar","given":"Buyantushig"},{"family":"Galsuren","given":"Jargalsaikhan"},{"family":"Enkhmaa","given":"Sarangerel"},{"family":"Beejin","given":"Bolor"},{"family":"Naidan","given":"Gerel"},{"family":"Ochir","given":"Chimedsuren"},{"family":"Legtseg","given":"Bayarkhuu"},{"family":"Byambaa","given":"Tsogtbaatar"},{"family":"Barn","given":"Prabjit"},{"family":"Henderson","given":"Sarah B."},{"family":"Janes","given":"Craig R."},{"family":"Lanphear","given":"Bruce P."},{"family":"McCandless","given":"Lawrence C."},{"family":"Takaro","given":"Tim K."},{"family":"Venners","given":"Scott A."},{"family":"Webster","given":"Glenys M."},{"family":"Allen","given":"Ryan W."}],"issued":{"date-parts":[["2019",2]]}},"suppress-author":true}],"schema":"https://github.com/citation-style-language/schema/raw/master/csl-citation.json"} </w:instrText>
      </w:r>
      <w:r w:rsidRPr="00B24120">
        <w:fldChar w:fldCharType="separate"/>
      </w:r>
      <w:r w:rsidR="008A1E89" w:rsidRPr="008A1E89">
        <w:rPr>
          <w:vertAlign w:val="superscript"/>
        </w:rPr>
        <w:t>22</w:t>
      </w:r>
      <w:r w:rsidRPr="00B24120">
        <w:fldChar w:fldCharType="end"/>
      </w:r>
      <w:r w:rsidRPr="00B24120">
        <w:t xml:space="preserve"> used RF and MLR for indoor air quality forecasts, and RF showed better in-sample predictions, MLR showed better out-of-sample predictions. So, this paper will discuss the application of both RF and MLR for O</w:t>
      </w:r>
      <w:r w:rsidRPr="00B24120">
        <w:rPr>
          <w:vertAlign w:val="subscript"/>
        </w:rPr>
        <w:t>3</w:t>
      </w:r>
      <w:r w:rsidRPr="00B24120">
        <w:t xml:space="preserve"> forecasts.</w:t>
      </w:r>
    </w:p>
    <w:p w14:paraId="6C65EC09" w14:textId="77777777" w:rsidR="00CC1DFD" w:rsidRPr="00B24120" w:rsidRDefault="00CC1DFD" w:rsidP="00FA2B05">
      <w:pPr>
        <w:pStyle w:val="TAMainText"/>
      </w:pPr>
      <w:r w:rsidRPr="00B24120">
        <w:t>The goal of this study is to provide reliable air quality forecasts using machine learning approaches, especially for high O</w:t>
      </w:r>
      <w:r w:rsidRPr="00B24120">
        <w:rPr>
          <w:vertAlign w:val="subscript"/>
        </w:rPr>
        <w:t>3</w:t>
      </w:r>
      <w:r w:rsidRPr="00B24120">
        <w:t xml:space="preserve"> events in Kennewick, WA. Section 2 presents the two machine learning modeling frameworks we developed, including the training dataset. Section 3 presents the </w:t>
      </w:r>
      <w:r w:rsidRPr="00B24120">
        <w:lastRenderedPageBreak/>
        <w:t>feature selection, evaluation of the model performance using 10-time 10-fold/walk-forward cross-validation and a summary of the forecast results in 2019.</w:t>
      </w:r>
    </w:p>
    <w:p w14:paraId="1D1D06CA" w14:textId="77777777" w:rsidR="00CC1DFD" w:rsidRPr="00B24120" w:rsidRDefault="00CC1DFD" w:rsidP="00CC1DFD">
      <w:pPr>
        <w:spacing w:line="480" w:lineRule="auto"/>
        <w:ind w:firstLine="720"/>
        <w:rPr>
          <w:rFonts w:cstheme="minorHAnsi"/>
        </w:rPr>
      </w:pPr>
    </w:p>
    <w:p w14:paraId="7D9A2E0C" w14:textId="68BF9DF2" w:rsidR="00CC1DFD" w:rsidRPr="00B24120" w:rsidRDefault="00CC1DFD" w:rsidP="00CC1DFD">
      <w:pPr>
        <w:pStyle w:val="Heading1"/>
        <w:spacing w:before="0" w:line="480" w:lineRule="auto"/>
        <w:rPr>
          <w:rFonts w:ascii="Times" w:hAnsi="Times" w:cstheme="minorHAnsi"/>
          <w:b/>
          <w:color w:val="000000" w:themeColor="text1"/>
        </w:rPr>
      </w:pPr>
      <w:r w:rsidRPr="00B24120">
        <w:rPr>
          <w:rFonts w:ascii="Times" w:hAnsi="Times" w:cstheme="minorHAnsi"/>
          <w:b/>
          <w:color w:val="000000" w:themeColor="text1"/>
        </w:rPr>
        <w:t>2. D</w:t>
      </w:r>
      <w:r w:rsidR="007F10F3">
        <w:rPr>
          <w:rFonts w:ascii="Times" w:hAnsi="Times" w:cstheme="minorHAnsi"/>
          <w:b/>
          <w:color w:val="000000" w:themeColor="text1"/>
        </w:rPr>
        <w:t>ATASETS</w:t>
      </w:r>
      <w:r w:rsidRPr="00B24120">
        <w:rPr>
          <w:rFonts w:ascii="Times" w:hAnsi="Times" w:cstheme="minorHAnsi"/>
          <w:b/>
          <w:color w:val="000000" w:themeColor="text1"/>
        </w:rPr>
        <w:t xml:space="preserve"> </w:t>
      </w:r>
      <w:r w:rsidR="007F10F3">
        <w:rPr>
          <w:rFonts w:ascii="Times" w:hAnsi="Times" w:cstheme="minorHAnsi"/>
          <w:b/>
          <w:color w:val="000000" w:themeColor="text1"/>
        </w:rPr>
        <w:t>AND</w:t>
      </w:r>
      <w:r w:rsidRPr="00B24120">
        <w:rPr>
          <w:rFonts w:ascii="Times" w:hAnsi="Times" w:cstheme="minorHAnsi"/>
          <w:b/>
          <w:color w:val="000000" w:themeColor="text1"/>
        </w:rPr>
        <w:t xml:space="preserve"> </w:t>
      </w:r>
      <w:r w:rsidR="007F10F3">
        <w:rPr>
          <w:rFonts w:ascii="Times" w:hAnsi="Times" w:cstheme="minorHAnsi"/>
          <w:b/>
          <w:color w:val="000000" w:themeColor="text1"/>
        </w:rPr>
        <w:t>MODELING FRAMEWORKS</w:t>
      </w:r>
    </w:p>
    <w:p w14:paraId="1EE58B2E" w14:textId="3AE68958" w:rsidR="00CC1DFD" w:rsidRPr="00B24120" w:rsidRDefault="00CC1DFD" w:rsidP="00CC1DFD">
      <w:pPr>
        <w:pStyle w:val="Heading2"/>
        <w:spacing w:line="480" w:lineRule="auto"/>
        <w:rPr>
          <w:rFonts w:ascii="Times" w:hAnsi="Times" w:cstheme="minorHAnsi"/>
        </w:rPr>
      </w:pPr>
      <w:r w:rsidRPr="00B24120">
        <w:rPr>
          <w:rFonts w:ascii="Times" w:hAnsi="Times" w:cstheme="minorHAnsi"/>
        </w:rPr>
        <w:t>2.1</w:t>
      </w:r>
      <w:r w:rsidR="00E16FBA">
        <w:rPr>
          <w:rFonts w:ascii="Times" w:hAnsi="Times" w:cstheme="minorHAnsi"/>
        </w:rPr>
        <w:t>.</w:t>
      </w:r>
      <w:r w:rsidRPr="00B24120">
        <w:rPr>
          <w:rFonts w:ascii="Times" w:hAnsi="Times" w:cstheme="minorHAnsi"/>
        </w:rPr>
        <w:t xml:space="preserve"> Training dataset</w:t>
      </w:r>
      <w:r w:rsidR="00E16FBA">
        <w:rPr>
          <w:rFonts w:ascii="Times" w:hAnsi="Times" w:cstheme="minorHAnsi"/>
        </w:rPr>
        <w:t>.</w:t>
      </w:r>
    </w:p>
    <w:p w14:paraId="4C83B11A" w14:textId="30AFF7FB" w:rsidR="00CC1DFD" w:rsidRPr="00B24120" w:rsidRDefault="00CC1DFD" w:rsidP="00AF64F6">
      <w:pPr>
        <w:spacing w:line="480" w:lineRule="auto"/>
      </w:pPr>
      <w:r w:rsidRPr="00B24120">
        <w:rPr>
          <w:rFonts w:cstheme="minorHAnsi"/>
        </w:rPr>
        <w:t>The training dataset for our machine learning models includes the previous day’s observed O</w:t>
      </w:r>
      <w:r w:rsidRPr="00B24120">
        <w:rPr>
          <w:rFonts w:cstheme="minorHAnsi"/>
          <w:vertAlign w:val="subscript"/>
        </w:rPr>
        <w:t>3</w:t>
      </w:r>
      <w:r w:rsidRPr="00B24120">
        <w:rPr>
          <w:rFonts w:cstheme="minorHAnsi"/>
        </w:rPr>
        <w:t xml:space="preserve"> mixing ratios, time information (hour, weekday, month), and simulated meteorology from daily WRF forecasts from May to September in 2015 – 2018 at Kennewick, WA. Because the heat and sunlight favor the O</w:t>
      </w:r>
      <w:r w:rsidRPr="00B24120">
        <w:rPr>
          <w:rFonts w:cstheme="minorHAnsi"/>
          <w:vertAlign w:val="subscript"/>
        </w:rPr>
        <w:t>3</w:t>
      </w:r>
      <w:r w:rsidRPr="00B24120">
        <w:rPr>
          <w:rFonts w:cstheme="minorHAnsi"/>
        </w:rPr>
        <w:t xml:space="preserve"> generation</w:t>
      </w:r>
      <w:r w:rsidR="008A1E89">
        <w:rPr>
          <w:rFonts w:cstheme="minorHAnsi"/>
        </w:rPr>
        <w:t>,</w:t>
      </w:r>
      <w:r w:rsidRPr="00B24120">
        <w:rPr>
          <w:rFonts w:cstheme="minorHAnsi"/>
        </w:rPr>
        <w:fldChar w:fldCharType="begin"/>
      </w:r>
      <w:r w:rsidR="00B24120">
        <w:rPr>
          <w:rFonts w:cstheme="minorHAnsi"/>
        </w:rPr>
        <w:instrText xml:space="preserve"> ADDIN ZOTERO_ITEM CSL_CITATION {"citationID":"4DmCtbMm","properties":{"formattedCitation":"\\super 23\\nosupersub{}","plainCitation":"23","noteIndex":0},"citationItems":[{"id":500,"uris":["http://zotero.org/users/4238889/items/GUQ76IAF"],"uri":["http://zotero.org/users/4238889/items/GUQ76IAF"],"itemData":{"id":500,"type":"article-journal","container-title":"Bulletin of the American Meteorological Society","DOI":"10.1175/2009BAMS2568.1","ISSN":"0003-0007, 1520-0477","issue":"12","journalAbbreviation":"Bull. Amer. Meteor. Soc.","language":"en","page":"1843-1864","source":"DOI.org (Crossref)","title":"A Preliminary Synthesis of Modeled Climate Change Impacts on U.S. Regional Ozone Concentrations","volume":"90","author":[{"family":"Weaver","given":"C. P."},{"family":"Liang","given":"X.-Z."},{"family":"Zhu","given":"J."},{"family":"Adams","given":"P. J."},{"family":"Amar","given":"P."},{"family":"Avise","given":"J."},{"family":"Caughey","given":"M."},{"family":"Chen","given":"J."},{"family":"Cohen","given":"R. C."},{"family":"Cooter","given":"E."},{"family":"Dawson","given":"J. P."},{"family":"Gilliam","given":"R."},{"family":"Gilliland","given":"A."},{"family":"Goldstein","given":"A. H."},{"family":"Grambsch","given":"A."},{"family":"Grano","given":"D."},{"family":"Guenther","given":"A."},{"family":"Gustafson","given":"W. I."},{"family":"Harley","given":"R. A."},{"family":"He","given":"S."},{"family":"Hemming","given":"B."},{"family":"Hogrefe","given":"C."},{"family":"Huang","given":"H.-C."},{"family":"Hunt","given":"S. W."},{"family":"Jacob","given":"D.J."},{"family":"Kinney","given":"P. L."},{"family":"Kunkel","given":"K."},{"family":"Lamarque","given":"J.-F."},{"family":"Lamb","given":"B."},{"family":"Larkin","given":"N. K."},{"family":"Leung","given":"L. R."},{"family":"Liao","given":"K.-J."},{"family":"Lin","given":"J.-T."},{"family":"Lynn","given":"B. H."},{"family":"Manomaiphiboon","given":"K."},{"family":"Mass","given":"C."},{"family":"McKenzie","given":"D."},{"family":"Mickley","given":"L. J."},{"family":"O'neill","given":"S. M."},{"family":"Nolte","given":"C."},{"family":"Pandis","given":"S. N."},{"family":"Racherla","given":"P. N."},{"family":"Rosenzweig","given":"C."},{"family":"Russell","given":"A. G."},{"family":"Salathé","given":"E."},{"family":"Steiner","given":"A. L."},{"family":"Tagaris","given":"E."},{"family":"Tao","given":"Z."},{"family":"Tonse","given":"S."},{"family":"Wiedinmyer","given":"C."},{"family":"Williams","given":"A."},{"family":"Winner","given":"D. A."},{"family":"Woo","given":"J.-H."},{"family":"Wu","given":"S."},{"family":"Wuebbles","given":"D. J."}],"issued":{"date-parts":[["2009",12]]}}}],"schema":"https://github.com/citation-style-language/schema/raw/master/csl-citation.json"} </w:instrText>
      </w:r>
      <w:r w:rsidRPr="00B24120">
        <w:rPr>
          <w:rFonts w:cstheme="minorHAnsi"/>
        </w:rPr>
        <w:fldChar w:fldCharType="separate"/>
      </w:r>
      <w:r w:rsidR="008A1E89" w:rsidRPr="008A1E89">
        <w:rPr>
          <w:vertAlign w:val="superscript"/>
        </w:rPr>
        <w:t>23</w:t>
      </w:r>
      <w:r w:rsidRPr="00B24120">
        <w:rPr>
          <w:rFonts w:cstheme="minorHAnsi"/>
        </w:rPr>
        <w:fldChar w:fldCharType="end"/>
      </w:r>
      <w:r w:rsidRPr="00B24120">
        <w:rPr>
          <w:rFonts w:cstheme="minorHAnsi"/>
        </w:rPr>
        <w:t xml:space="preserve"> and wildfires can generate the O</w:t>
      </w:r>
      <w:r w:rsidRPr="00B24120">
        <w:rPr>
          <w:rFonts w:cstheme="minorHAnsi"/>
          <w:vertAlign w:val="subscript"/>
        </w:rPr>
        <w:t>3</w:t>
      </w:r>
      <w:r w:rsidRPr="00B24120">
        <w:rPr>
          <w:rFonts w:cstheme="minorHAnsi"/>
        </w:rPr>
        <w:t xml:space="preserve"> precursors</w:t>
      </w:r>
      <w:r w:rsidR="008A1E89">
        <w:rPr>
          <w:rFonts w:cstheme="minorHAnsi"/>
        </w:rPr>
        <w:t>,</w:t>
      </w:r>
      <w:r w:rsidRPr="00B24120">
        <w:rPr>
          <w:rFonts w:cstheme="minorHAnsi"/>
        </w:rPr>
        <w:fldChar w:fldCharType="begin"/>
      </w:r>
      <w:r w:rsidR="00B24120">
        <w:rPr>
          <w:rFonts w:cstheme="minorHAnsi"/>
        </w:rPr>
        <w:instrText xml:space="preserve"> ADDIN ZOTERO_ITEM CSL_CITATION {"citationID":"vD0baIfL","properties":{"formattedCitation":"\\super 24\\nosupersub{}","plainCitation":"24","noteIndex":0},"citationItems":[{"id":522,"uris":["http://zotero.org/users/4238889/items/KFW9R9IC"],"uri":["http://zotero.org/users/4238889/items/KFW9R9IC"],"itemData":{"id":522,"type":"article-journal","abstract":"Wildﬁres emit O3 precursors but there are large variations in emissions, plume heights, and photochemical processing. These factors make it challenging to model O3 production from wildﬁres using Eulerian models. Here we describe a statistical approach to characterize the maximum daily 8-h average O3 (MDA8) for 8 cities in the U.S. for typical, nonﬁre, conditions. The statistical model represents between 35% and 81% of the variance in MDA8 for each city. We then examine the residual from the model under conditions with elevated particulate matter (PM) and satellite observed smoke (“smoke days”). For these days, the residuals are elevated by an average of 3−8 ppb (MDA8) compared to nonsmoke days. We found that while smoke days are only 4.1% of all days (May− Sept) they are 19% of days with an MDA8 greater than 75 ppb. We also show that a published method that does not account for transport patterns gives rise to large overestimates in the amount of O3 from ﬁres, particularly for coastal cities. Finally, we apply this method to a case study from August 2015, and show that the method gives results that are directly applicable to the EPA guidance on excluding data due to an uncontrollable source.","container-title":"Environmental Science &amp; Technology","DOI":"10.1021/acs.est.7b03130","ISSN":"0013-936X, 1520-5851","issue":"22","journalAbbreviation":"Environ. Sci. Technol.","language":"en","page":"13216-13223","source":"DOI.org (Crossref)","title":"Quantifying O &lt;sub&gt;3&lt;/sub&gt; Impacts in Urban Areas Due to Wildfires Using a Generalized Additive Model","volume":"51","author":[{"family":"Gong","given":"Xi"},{"family":"Kaulfus","given":"Aaron"},{"family":"Nair","given":"Udaysankar"},{"family":"Jaffe","given":"Daniel A."}],"issued":{"date-parts":[["2017",11,21]]}}}],"schema":"https://github.com/citation-style-language/schema/raw/master/csl-citation.json"} </w:instrText>
      </w:r>
      <w:r w:rsidRPr="00B24120">
        <w:rPr>
          <w:rFonts w:cstheme="minorHAnsi"/>
        </w:rPr>
        <w:fldChar w:fldCharType="separate"/>
      </w:r>
      <w:r w:rsidR="008A1E89" w:rsidRPr="008A1E89">
        <w:rPr>
          <w:vertAlign w:val="superscript"/>
        </w:rPr>
        <w:t>24</w:t>
      </w:r>
      <w:r w:rsidRPr="00B24120">
        <w:rPr>
          <w:rFonts w:cstheme="minorHAnsi"/>
        </w:rPr>
        <w:fldChar w:fldCharType="end"/>
      </w:r>
      <w:r w:rsidRPr="00B24120">
        <w:rPr>
          <w:rFonts w:cstheme="minorHAnsi"/>
        </w:rPr>
        <w:t xml:space="preserve"> observations are only made from May to September. The training dataset covered this period. The WRF meteorology was obtained from the University of Washington</w:t>
      </w:r>
      <w:r w:rsidR="008A1E89">
        <w:rPr>
          <w:rFonts w:cstheme="minorHAnsi"/>
        </w:rPr>
        <w:t>,</w:t>
      </w:r>
      <w:r w:rsidRPr="00B24120">
        <w:rPr>
          <w:rFonts w:cstheme="minorHAnsi"/>
        </w:rPr>
        <w:fldChar w:fldCharType="begin"/>
      </w:r>
      <w:r w:rsidR="00B24120">
        <w:rPr>
          <w:rFonts w:cstheme="minorHAnsi"/>
        </w:rPr>
        <w:instrText xml:space="preserve"> ADDIN ZOTERO_ITEM CSL_CITATION {"citationID":"MxPWMn6n","properties":{"formattedCitation":"\\super 25,26\\nosupersub{}","plainCitation":"25,26","noteIndex":0},"citationItems":[{"id":518,"uris":["http://zotero.org/users/4238889/items/CPBPKP6N"],"uri":["http://zotero.org/users/4238889/items/CPBPKP6N"],"itemData":{"id":518,"type":"article-journal","container-title":"Bulletin of the American Meteorological Society","DOI":"10.1175/BAMS-84-10-1353","ISSN":"0003-0007, 1520-0477","issue":"10","journalAbbreviation":"Bull. Amer. Meteor. Soc.","language":"en","page":"1353-1366","source":"DOI.org (Crossref)","title":"Regional Environmental Prediction Over the Pacific Northwest","volume":"84","author":[{"family":"Mass","given":"Clifford F."},{"family":"Albright","given":"Mark"},{"family":"Ovens","given":"David"},{"family":"Steed","given":"Richard"},{"family":"Maciver","given":"Mark"},{"family":"Grimit","given":"Eric"},{"family":"Eckel","given":"Tony"},{"family":"Lamb","given":"Brian"},{"family":"Vaughan","given":"Joseph"},{"family":"Westrick","given":"Kenneth"},{"family":"Storck","given":"Pascal"},{"family":"Colman","given":"Brad"},{"family":"Hill","given":"Chris"},{"family":"Maykut","given":"Naydene"},{"family":"Gilroy","given":"Mike"},{"family":"Ferguson","given":"Sue A."},{"family":"Yetter","given":"Joseph"},{"family":"Sierchio","given":"John M."},{"family":"Bowman","given":"Clint"},{"family":"Stender","given":"Richard"},{"family":"Wilson","given":"Robert"},{"family":"Brown","given":"William"}],"issued":{"date-parts":[["2003",10]]}}},{"id":519,"uris":["http://zotero.org/users/4238889/items/WGL4GXXZ"],"uri":["http://zotero.org/users/4238889/items/WGL4GXXZ"],"itemData":{"id":519,"type":"webpage","title":"Pacific Northwest Environmental Forecasts and Observations","URL":"https://a.atmos.washington.edu/mm5rt/","accessed":{"date-parts":[["2020",3,6]]}}}],"schema":"https://github.com/citation-style-language/schema/raw/master/csl-citation.json"} </w:instrText>
      </w:r>
      <w:r w:rsidRPr="00B24120">
        <w:rPr>
          <w:rFonts w:cstheme="minorHAnsi"/>
        </w:rPr>
        <w:fldChar w:fldCharType="separate"/>
      </w:r>
      <w:r w:rsidR="008A1E89" w:rsidRPr="008A1E89">
        <w:rPr>
          <w:vertAlign w:val="superscript"/>
        </w:rPr>
        <w:t>25,26</w:t>
      </w:r>
      <w:r w:rsidRPr="00B24120">
        <w:rPr>
          <w:rFonts w:cstheme="minorHAnsi"/>
        </w:rPr>
        <w:fldChar w:fldCharType="end"/>
      </w:r>
      <w:r w:rsidRPr="00B24120">
        <w:rPr>
          <w:rFonts w:cstheme="minorHAnsi"/>
        </w:rPr>
        <w:t xml:space="preserve"> which is used in AIRPACT as an input to generate emissions and air quality forecasting. We used the temperature, </w:t>
      </w:r>
      <w:r w:rsidR="003A7B7E">
        <w:rPr>
          <w:rFonts w:cstheme="minorHAnsi"/>
        </w:rPr>
        <w:t>surface</w:t>
      </w:r>
      <w:r w:rsidRPr="00B24120">
        <w:rPr>
          <w:rFonts w:cstheme="minorHAnsi"/>
        </w:rPr>
        <w:t xml:space="preserve"> pressure, relative humidity, wind speed, wind direction, and planetary boundary layer height (PBL) in the training dataset. Time information was included in the training dataset due to the significant trend of O</w:t>
      </w:r>
      <w:r w:rsidRPr="00B24120">
        <w:rPr>
          <w:rFonts w:cstheme="minorHAnsi"/>
          <w:vertAlign w:val="subscript"/>
        </w:rPr>
        <w:t>3</w:t>
      </w:r>
      <w:r w:rsidRPr="00B24120">
        <w:rPr>
          <w:rFonts w:cstheme="minorHAnsi"/>
        </w:rPr>
        <w:t xml:space="preserve"> variation in the diurnal, weekday and monthly scales. Table </w:t>
      </w:r>
      <w:r w:rsidR="00AF64F6">
        <w:rPr>
          <w:rFonts w:cstheme="minorHAnsi"/>
        </w:rPr>
        <w:t>S</w:t>
      </w:r>
      <w:r w:rsidRPr="00B24120">
        <w:rPr>
          <w:rFonts w:cstheme="minorHAnsi"/>
        </w:rPr>
        <w:t>1 summarizes the historical O</w:t>
      </w:r>
      <w:r w:rsidRPr="00B24120">
        <w:rPr>
          <w:rFonts w:cstheme="minorHAnsi"/>
          <w:vertAlign w:val="subscript"/>
        </w:rPr>
        <w:t>3</w:t>
      </w:r>
      <w:r w:rsidRPr="00B24120">
        <w:rPr>
          <w:rFonts w:cstheme="minorHAnsi"/>
        </w:rPr>
        <w:t xml:space="preserve"> AQI during the training period. Here we define a high O</w:t>
      </w:r>
      <w:r w:rsidRPr="00B24120">
        <w:rPr>
          <w:rFonts w:cstheme="minorHAnsi"/>
          <w:vertAlign w:val="subscript"/>
        </w:rPr>
        <w:t>3</w:t>
      </w:r>
      <w:r w:rsidRPr="00B24120">
        <w:rPr>
          <w:rFonts w:cstheme="minorHAnsi"/>
        </w:rPr>
        <w:t xml:space="preserve"> day as the day when the observed AQI category is worse than Moderate (i.e. AQI category 3 or worse). The high O</w:t>
      </w:r>
      <w:r w:rsidRPr="00B24120">
        <w:rPr>
          <w:rFonts w:cstheme="minorHAnsi"/>
          <w:vertAlign w:val="subscript"/>
        </w:rPr>
        <w:t>3</w:t>
      </w:r>
      <w:r w:rsidRPr="00B24120">
        <w:rPr>
          <w:rFonts w:cstheme="minorHAnsi"/>
        </w:rPr>
        <w:t xml:space="preserve"> days in all the years used here are less than 5% of total simulated days, except for 2017. Extensive wildfires occurred in 2017, and there were 8 days that the air quality was unhealthy for sensitive groups (i.e., O</w:t>
      </w:r>
      <w:r w:rsidRPr="00B24120">
        <w:rPr>
          <w:rFonts w:cstheme="minorHAnsi"/>
          <w:vertAlign w:val="subscript"/>
        </w:rPr>
        <w:t>3</w:t>
      </w:r>
      <w:r w:rsidRPr="00B24120">
        <w:rPr>
          <w:rFonts w:cstheme="minorHAnsi"/>
        </w:rPr>
        <w:t xml:space="preserve"> AQI category = 3). The days when the wildfire smoke caused excess O</w:t>
      </w:r>
      <w:r w:rsidRPr="00B24120">
        <w:rPr>
          <w:rFonts w:cstheme="minorHAnsi"/>
          <w:vertAlign w:val="subscript"/>
        </w:rPr>
        <w:t>3</w:t>
      </w:r>
      <w:r w:rsidRPr="00B24120">
        <w:rPr>
          <w:rFonts w:cstheme="minorHAnsi"/>
        </w:rPr>
        <w:t xml:space="preserve"> were marked in the historical data, but it could not be involved in the training dataset because it was not </w:t>
      </w:r>
      <w:r w:rsidRPr="00B24120">
        <w:rPr>
          <w:rFonts w:cstheme="minorHAnsi"/>
        </w:rPr>
        <w:lastRenderedPageBreak/>
        <w:t xml:space="preserve">predictable. And there were only four days in this case, so it would not affect the model training significantly. </w:t>
      </w:r>
    </w:p>
    <w:p w14:paraId="589A7197" w14:textId="77777777" w:rsidR="00B24120" w:rsidRPr="00B24120" w:rsidRDefault="00B24120" w:rsidP="00B24120"/>
    <w:p w14:paraId="732E2382" w14:textId="25C3E4E8" w:rsidR="00CC1DFD" w:rsidRPr="00B24120" w:rsidRDefault="00CC1DFD" w:rsidP="00CC1DFD">
      <w:pPr>
        <w:pStyle w:val="Heading3"/>
        <w:spacing w:line="480" w:lineRule="auto"/>
        <w:rPr>
          <w:rFonts w:ascii="Times" w:hAnsi="Times" w:cstheme="minorHAnsi"/>
          <w:i/>
          <w:iCs/>
        </w:rPr>
      </w:pPr>
      <w:r w:rsidRPr="00B24120">
        <w:rPr>
          <w:rFonts w:ascii="Times" w:hAnsi="Times" w:cstheme="minorHAnsi"/>
          <w:sz w:val="26"/>
          <w:szCs w:val="26"/>
        </w:rPr>
        <w:t>2.2</w:t>
      </w:r>
      <w:r w:rsidR="00E16FBA">
        <w:rPr>
          <w:rFonts w:ascii="Times" w:hAnsi="Times" w:cstheme="minorHAnsi"/>
          <w:sz w:val="26"/>
          <w:szCs w:val="26"/>
        </w:rPr>
        <w:t>.</w:t>
      </w:r>
      <w:r w:rsidRPr="00B24120">
        <w:rPr>
          <w:rFonts w:ascii="Times" w:hAnsi="Times" w:cstheme="minorHAnsi"/>
          <w:sz w:val="26"/>
          <w:szCs w:val="26"/>
        </w:rPr>
        <w:t xml:space="preserve"> Machine learning modeling frameworks</w:t>
      </w:r>
    </w:p>
    <w:p w14:paraId="4C15361A" w14:textId="5F1C21D5" w:rsidR="00CC1DFD" w:rsidRPr="00B24120" w:rsidRDefault="00CC1DFD" w:rsidP="00CC1DFD">
      <w:pPr>
        <w:spacing w:line="480" w:lineRule="auto"/>
        <w:rPr>
          <w:rFonts w:cstheme="minorHAnsi"/>
        </w:rPr>
      </w:pPr>
      <w:r w:rsidRPr="00B24120">
        <w:rPr>
          <w:rFonts w:cstheme="minorHAnsi"/>
        </w:rPr>
        <w:t>We have developed two O</w:t>
      </w:r>
      <w:r w:rsidRPr="00B24120">
        <w:rPr>
          <w:rFonts w:cstheme="minorHAnsi"/>
          <w:vertAlign w:val="subscript"/>
        </w:rPr>
        <w:t>3</w:t>
      </w:r>
      <w:r w:rsidRPr="00B24120">
        <w:rPr>
          <w:rFonts w:cstheme="minorHAnsi"/>
        </w:rPr>
        <w:t xml:space="preserve"> forecast modeling frameworks based on machine learning frameworks. The first machine learning modeling framework (ML1, hereafter; see </w:t>
      </w:r>
      <w:r w:rsidR="00E16FBA">
        <w:rPr>
          <w:rFonts w:cstheme="minorHAnsi"/>
        </w:rPr>
        <w:t>Figure</w:t>
      </w:r>
      <w:r w:rsidRPr="00B24120">
        <w:rPr>
          <w:rFonts w:cstheme="minorHAnsi"/>
        </w:rPr>
        <w:t xml:space="preserve"> 1</w:t>
      </w:r>
      <w:r w:rsidR="00563C42">
        <w:rPr>
          <w:rFonts w:cstheme="minorHAnsi"/>
        </w:rPr>
        <w:t>A</w:t>
      </w:r>
      <w:r w:rsidRPr="00B24120">
        <w:rPr>
          <w:rFonts w:cstheme="minorHAnsi"/>
        </w:rPr>
        <w:t xml:space="preserve">) used RF classifier and MLR models. The </w:t>
      </w:r>
      <w:proofErr w:type="spellStart"/>
      <w:r w:rsidRPr="00B24120">
        <w:rPr>
          <w:rFonts w:cstheme="minorHAnsi"/>
          <w:i/>
        </w:rPr>
        <w:t>RandomForestClassifier</w:t>
      </w:r>
      <w:proofErr w:type="spellEnd"/>
      <w:r w:rsidRPr="00B24120">
        <w:rPr>
          <w:rFonts w:cstheme="minorHAnsi"/>
        </w:rPr>
        <w:t xml:space="preserve"> and </w:t>
      </w:r>
      <w:r w:rsidRPr="00B24120">
        <w:rPr>
          <w:rFonts w:cstheme="minorHAnsi"/>
          <w:i/>
        </w:rPr>
        <w:t>RFE</w:t>
      </w:r>
      <w:r w:rsidRPr="00B24120">
        <w:rPr>
          <w:rFonts w:cstheme="minorHAnsi"/>
        </w:rPr>
        <w:t xml:space="preserve"> functions in the python module </w:t>
      </w:r>
      <w:proofErr w:type="spellStart"/>
      <w:r w:rsidRPr="00B24120">
        <w:rPr>
          <w:rFonts w:cstheme="minorHAnsi"/>
          <w:i/>
        </w:rPr>
        <w:t>sklearn</w:t>
      </w:r>
      <w:proofErr w:type="spellEnd"/>
      <w:r w:rsidRPr="00B24120">
        <w:rPr>
          <w:rFonts w:cstheme="minorHAnsi"/>
        </w:rPr>
        <w:t xml:space="preserve"> were used. In ML1, the WRF meteorology, time information, and previous day’s 8-hour averaged O</w:t>
      </w:r>
      <w:r w:rsidRPr="00B24120">
        <w:rPr>
          <w:rFonts w:cstheme="minorHAnsi"/>
          <w:vertAlign w:val="subscript"/>
        </w:rPr>
        <w:t>3</w:t>
      </w:r>
      <w:r w:rsidRPr="00B24120">
        <w:rPr>
          <w:rFonts w:cstheme="minorHAnsi"/>
        </w:rPr>
        <w:t xml:space="preserve"> mixing ratios were first used to train an RF classifier model to predict AQI categories. There are not many high O</w:t>
      </w:r>
      <w:r w:rsidRPr="00B24120">
        <w:rPr>
          <w:rFonts w:cstheme="minorHAnsi"/>
          <w:vertAlign w:val="subscript"/>
        </w:rPr>
        <w:t>3</w:t>
      </w:r>
      <w:r w:rsidRPr="00B24120">
        <w:rPr>
          <w:rFonts w:cstheme="minorHAnsi"/>
        </w:rPr>
        <w:t xml:space="preserve"> cases, which makes the dataset imbalanced, and the imbalanced training data may lead the bias toward the low O</w:t>
      </w:r>
      <w:r w:rsidRPr="00B24120">
        <w:rPr>
          <w:rFonts w:cstheme="minorHAnsi"/>
          <w:vertAlign w:val="subscript"/>
        </w:rPr>
        <w:t>3</w:t>
      </w:r>
      <w:r w:rsidRPr="00B24120">
        <w:rPr>
          <w:rFonts w:cstheme="minorHAnsi"/>
        </w:rPr>
        <w:t xml:space="preserve"> prediction</w:t>
      </w:r>
      <w:r w:rsidR="008A1E89">
        <w:rPr>
          <w:rFonts w:cstheme="minorHAnsi"/>
        </w:rPr>
        <w:t>.</w:t>
      </w:r>
      <w:r w:rsidRPr="00B24120">
        <w:rPr>
          <w:rFonts w:cstheme="minorHAnsi"/>
        </w:rPr>
        <w:fldChar w:fldCharType="begin"/>
      </w:r>
      <w:r w:rsidR="00B24120">
        <w:rPr>
          <w:rFonts w:cstheme="minorHAnsi"/>
        </w:rPr>
        <w:instrText xml:space="preserve"> ADDIN ZOTERO_ITEM CSL_CITATION {"citationID":"I4o0QSYt","properties":{"formattedCitation":"\\super 27\\nosupersub{}","plainCitation":"27","noteIndex":0},"citationItems":[{"id":534,"uris":["http://zotero.org/users/4238889/items/ZPE4HVSC"],"uri":["http://zotero.org/users/4238889/items/ZPE4HVSC"],"itemData":{"id":534,"type":"article-journal","abstract":"Rare events, especially those that could potentially negatively impact society, often require humans’ decision-making responses. Detecting rare events can be viewed as a prediction task in data mining and machine learning communities. As these events are rarely observed in daily life, the prediction task suffers from a lack of balanced data. In this paper, we provide an in depth review of rare event detection from an imbalanced learning perspective. Five hundred and seventeen related papers that have been published in the past decade were collected for the study. The initial statistics suggested that rare events detection and imbalanced learning are concerned across a wide range of research areas from management science to engineering. We reviewed all collected papers from both a technical and a practical point of view. Modeling methods discussed include techniques such as data preprocessing, classiﬁcation algorithms and model evaluation. For applications, we ﬁrst provide a comprehensive taxonomy of the existing application domains of imbalanced learning, and then we detail the applications for each category. Finally, some suggestions from the reviewed papers are incorporated with our experiences and judgments to offer further research directions for the imbalanced learning and rare event detection ﬁelds.","container-title":"Expert Systems with Applications","DOI":"10.1016/j.eswa.2016.12.035","ISSN":"09574174","journalAbbreviation":"Expert Systems with Applications","language":"en","page":"220-239","source":"DOI.org (Crossref)","title":"Learning from class-imbalanced data: Review of methods and applications","title-short":"Learning from class-imbalanced data","volume":"73","author":[{"family":"Haixiang","given":"Guo"},{"family":"Yijing","given":"Li"},{"family":"Shang","given":"Jennifer"},{"family":"Mingyun","given":"Gu"},{"family":"Yuanyue","given":"Huang"},{"family":"Bing","given":"Gong"}],"issued":{"date-parts":[["2017",5]]}}}],"schema":"https://github.com/citation-style-language/schema/raw/master/csl-citation.json"} </w:instrText>
      </w:r>
      <w:r w:rsidRPr="00B24120">
        <w:rPr>
          <w:rFonts w:cstheme="minorHAnsi"/>
        </w:rPr>
        <w:fldChar w:fldCharType="separate"/>
      </w:r>
      <w:r w:rsidR="008A1E89" w:rsidRPr="008A1E89">
        <w:rPr>
          <w:vertAlign w:val="superscript"/>
        </w:rPr>
        <w:t>27</w:t>
      </w:r>
      <w:r w:rsidRPr="00B24120">
        <w:rPr>
          <w:rFonts w:cstheme="minorHAnsi"/>
        </w:rPr>
        <w:fldChar w:fldCharType="end"/>
      </w:r>
      <w:r w:rsidRPr="00B24120">
        <w:rPr>
          <w:rFonts w:cstheme="minorHAnsi"/>
        </w:rPr>
        <w:t xml:space="preserve"> To address the problem from the imbalanced data, the </w:t>
      </w:r>
      <w:proofErr w:type="spellStart"/>
      <w:r w:rsidRPr="00B24120">
        <w:rPr>
          <w:rFonts w:cstheme="minorHAnsi"/>
          <w:i/>
        </w:rPr>
        <w:t>balanced_subsample</w:t>
      </w:r>
      <w:proofErr w:type="spellEnd"/>
      <w:r w:rsidRPr="00B24120">
        <w:rPr>
          <w:rFonts w:cstheme="minorHAnsi"/>
        </w:rPr>
        <w:t xml:space="preserve"> option was turned on for the RF classifier. The </w:t>
      </w:r>
      <w:proofErr w:type="spellStart"/>
      <w:r w:rsidRPr="00B24120">
        <w:rPr>
          <w:rFonts w:cstheme="minorHAnsi"/>
          <w:i/>
          <w:iCs/>
        </w:rPr>
        <w:t>balanced_subsample</w:t>
      </w:r>
      <w:proofErr w:type="spellEnd"/>
      <w:r w:rsidRPr="00B24120">
        <w:rPr>
          <w:rFonts w:cstheme="minorHAnsi"/>
        </w:rPr>
        <w:t xml:space="preserve"> gives weights to the AQI category values based on their frequency in the bootstrap sample for each tree, so the high AQI values with low frequency in the training dataset are weighted proportionally more. Separately, the observed AQI categories were added to the training dataset to train the MLR model. When used for forecasting, the RF classifier model was first used to predict the AQI categories, which were in turn fed into the MLR model to predict the O3 mixing ratios, as the red dashed line shown in </w:t>
      </w:r>
      <w:r w:rsidR="00E16FBA">
        <w:rPr>
          <w:rFonts w:cstheme="minorHAnsi"/>
        </w:rPr>
        <w:t>Figure</w:t>
      </w:r>
      <w:r w:rsidRPr="00B24120">
        <w:rPr>
          <w:rFonts w:cstheme="minorHAnsi"/>
        </w:rPr>
        <w:t xml:space="preserve"> 1</w:t>
      </w:r>
      <w:r w:rsidR="00563C42">
        <w:rPr>
          <w:rFonts w:cstheme="minorHAnsi"/>
        </w:rPr>
        <w:t>A</w:t>
      </w:r>
      <w:r w:rsidRPr="00B24120">
        <w:rPr>
          <w:rFonts w:cstheme="minorHAnsi"/>
        </w:rPr>
        <w:t xml:space="preserve">. </w:t>
      </w:r>
    </w:p>
    <w:p w14:paraId="3DE92272" w14:textId="75B4A4EF" w:rsidR="00857004" w:rsidRDefault="00563C42" w:rsidP="00CC1DFD">
      <w:pPr>
        <w:spacing w:line="480" w:lineRule="auto"/>
        <w:ind w:left="360"/>
        <w:jc w:val="center"/>
      </w:pPr>
      <w:r w:rsidRPr="00563C42">
        <w:rPr>
          <w:b/>
          <w:bCs/>
        </w:rPr>
        <w:lastRenderedPageBreak/>
        <w:t>A</w:t>
      </w:r>
      <w:r w:rsidRPr="00563C42">
        <w:rPr>
          <w:noProof/>
        </w:rPr>
        <w:drawing>
          <wp:inline distT="0" distB="0" distL="0" distR="0" wp14:anchorId="648C9E82" wp14:editId="2E284BC7">
            <wp:extent cx="3017520" cy="155698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17520" cy="1556985"/>
                    </a:xfrm>
                    <a:prstGeom prst="rect">
                      <a:avLst/>
                    </a:prstGeom>
                  </pic:spPr>
                </pic:pic>
              </a:graphicData>
            </a:graphic>
          </wp:inline>
        </w:drawing>
      </w:r>
    </w:p>
    <w:p w14:paraId="42565232" w14:textId="57D1CC9E" w:rsidR="00CC1DFD" w:rsidRPr="00B24120" w:rsidRDefault="00563C42" w:rsidP="00CC1DFD">
      <w:pPr>
        <w:spacing w:line="480" w:lineRule="auto"/>
        <w:ind w:left="360"/>
        <w:jc w:val="center"/>
      </w:pPr>
      <w:r w:rsidRPr="00563C42">
        <w:rPr>
          <w:b/>
          <w:bCs/>
        </w:rPr>
        <w:t>B</w:t>
      </w:r>
      <w:r w:rsidR="00857004" w:rsidRPr="00B24120">
        <w:rPr>
          <w:noProof/>
        </w:rPr>
        <w:drawing>
          <wp:inline distT="0" distB="0" distL="0" distR="0" wp14:anchorId="08321CB3" wp14:editId="0583B401">
            <wp:extent cx="3017520" cy="1521978"/>
            <wp:effectExtent l="0" t="0" r="508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17520" cy="1521978"/>
                    </a:xfrm>
                    <a:prstGeom prst="rect">
                      <a:avLst/>
                    </a:prstGeom>
                  </pic:spPr>
                </pic:pic>
              </a:graphicData>
            </a:graphic>
          </wp:inline>
        </w:drawing>
      </w:r>
    </w:p>
    <w:p w14:paraId="049C192A" w14:textId="17F623E2" w:rsidR="00CC1DFD" w:rsidRPr="00B24120" w:rsidRDefault="00E16FBA" w:rsidP="00FA2B05">
      <w:pPr>
        <w:pStyle w:val="VAFigureCaption"/>
      </w:pPr>
      <w:r w:rsidRPr="00E16FBA">
        <w:rPr>
          <w:b/>
          <w:bCs/>
        </w:rPr>
        <w:t>Figure</w:t>
      </w:r>
      <w:r w:rsidR="00CC1DFD" w:rsidRPr="00E16FBA">
        <w:rPr>
          <w:b/>
          <w:bCs/>
        </w:rPr>
        <w:t xml:space="preserve"> 1.</w:t>
      </w:r>
      <w:r w:rsidR="00CC1DFD" w:rsidRPr="00B24120">
        <w:t xml:space="preserve"> </w:t>
      </w:r>
      <w:r w:rsidR="00857004">
        <w:t>(</w:t>
      </w:r>
      <w:r w:rsidR="00563C42">
        <w:t>A</w:t>
      </w:r>
      <w:r w:rsidR="00857004">
        <w:t xml:space="preserve">) </w:t>
      </w:r>
      <w:r w:rsidR="00CC1DFD" w:rsidRPr="00B24120">
        <w:t xml:space="preserve">ML1 modeling framework based on random forest (RF) classifier and multiple linear regression (MLR) models </w:t>
      </w:r>
      <w:r w:rsidR="00857004">
        <w:t>(</w:t>
      </w:r>
      <w:r w:rsidR="00563C42">
        <w:t>B</w:t>
      </w:r>
      <w:r w:rsidR="00857004">
        <w:t xml:space="preserve">) </w:t>
      </w:r>
      <w:r w:rsidR="00857004" w:rsidRPr="00B24120">
        <w:t>ML2 based on a two-phase RF regression and weight factors</w:t>
      </w:r>
    </w:p>
    <w:p w14:paraId="4A99CA65" w14:textId="77777777" w:rsidR="00CC1DFD" w:rsidRPr="00B24120" w:rsidRDefault="00CC1DFD" w:rsidP="00CC1DFD">
      <w:pPr>
        <w:spacing w:line="480" w:lineRule="auto"/>
        <w:rPr>
          <w:rFonts w:cstheme="minorHAnsi"/>
        </w:rPr>
      </w:pPr>
    </w:p>
    <w:p w14:paraId="64C9514B" w14:textId="0565497B" w:rsidR="00CC1DFD" w:rsidRPr="00B24120" w:rsidRDefault="00CC1DFD" w:rsidP="00FA2B05">
      <w:pPr>
        <w:pStyle w:val="TAMainText"/>
      </w:pPr>
      <w:r w:rsidRPr="00B24120">
        <w:t xml:space="preserve">Machine Learning modeling framework 2 (ML2 hereafter; see </w:t>
      </w:r>
      <w:r w:rsidR="00E16FBA">
        <w:t>Figure</w:t>
      </w:r>
      <w:r w:rsidRPr="00B24120">
        <w:t xml:space="preserve"> </w:t>
      </w:r>
      <w:r w:rsidR="00563C42">
        <w:t>1B</w:t>
      </w:r>
      <w:r w:rsidRPr="00B24120">
        <w:t xml:space="preserve">) is based on a two-phase random forest regression model. The </w:t>
      </w:r>
      <w:proofErr w:type="spellStart"/>
      <w:r w:rsidRPr="00B24120">
        <w:rPr>
          <w:i/>
        </w:rPr>
        <w:t>RandomForestRegressor</w:t>
      </w:r>
      <w:proofErr w:type="spellEnd"/>
      <w:r w:rsidRPr="00B24120">
        <w:t xml:space="preserve"> function in the python module </w:t>
      </w:r>
      <w:proofErr w:type="spellStart"/>
      <w:r w:rsidRPr="00B24120">
        <w:rPr>
          <w:i/>
        </w:rPr>
        <w:t>sklearn</w:t>
      </w:r>
      <w:proofErr w:type="spellEnd"/>
      <w:r w:rsidRPr="00B24120">
        <w:t xml:space="preserve"> was used.  ML2 used the WRF meteorology, time information, and previous day’s hourly O</w:t>
      </w:r>
      <w:r w:rsidRPr="00B24120">
        <w:rPr>
          <w:vertAlign w:val="subscript"/>
        </w:rPr>
        <w:t>3</w:t>
      </w:r>
      <w:r w:rsidRPr="00B24120">
        <w:t xml:space="preserve"> mixing ratios to train an RF regression model to predict O</w:t>
      </w:r>
      <w:r w:rsidRPr="00B24120">
        <w:rPr>
          <w:vertAlign w:val="subscript"/>
        </w:rPr>
        <w:t>3</w:t>
      </w:r>
      <w:r w:rsidRPr="00B24120">
        <w:t xml:space="preserve"> mixing ratios.  The whole historical dataset was used to train the first RF regression model (RF1 in </w:t>
      </w:r>
      <w:r w:rsidR="00E16FBA">
        <w:t>Figure</w:t>
      </w:r>
      <w:r w:rsidRPr="00B24120">
        <w:t xml:space="preserve"> </w:t>
      </w:r>
      <w:r w:rsidR="00563C42">
        <w:t>1B</w:t>
      </w:r>
      <w:r w:rsidRPr="00B24120">
        <w:t>). The training data was isolated when RF1 predicted O</w:t>
      </w:r>
      <w:r w:rsidRPr="00B24120">
        <w:rPr>
          <w:vertAlign w:val="subscript"/>
        </w:rPr>
        <w:t>3</w:t>
      </w:r>
      <w:r w:rsidRPr="00B24120">
        <w:t xml:space="preserve"> mixing ratios differed from the observations by more than 5 ppb, and then the isolated dataset was used to train the second RF regression model (RF2 in </w:t>
      </w:r>
      <w:r w:rsidR="00E16FBA">
        <w:t>Figure</w:t>
      </w:r>
      <w:r w:rsidRPr="00B24120">
        <w:t xml:space="preserve"> </w:t>
      </w:r>
      <w:r w:rsidR="00563C42">
        <w:t>1B</w:t>
      </w:r>
      <w:r w:rsidRPr="00B24120">
        <w:t>). The training dataset for RF2 was a subset of the whole training data, so RF2 required more decision trees (100 trees for RF1 and 200 trees for RF2)</w:t>
      </w:r>
      <w:r w:rsidR="008A1E89">
        <w:t>.</w:t>
      </w:r>
      <w:r w:rsidRPr="00B24120">
        <w:fldChar w:fldCharType="begin"/>
      </w:r>
      <w:r w:rsidR="00B24120">
        <w:instrText xml:space="preserve"> ADDIN ZOTERO_ITEM CSL_CITATION {"citationID":"K5SbVtYO","properties":{"formattedCitation":"\\super 28\\nosupersub{}","plainCitation":"28","noteIndex":0},"citationItems":[{"id":219,"uris":["http://zotero.org/users/4238889/items/F6UQIL9Q"],"uri":["http://zotero.org/users/4238889/items/F6UQIL9Q"],"itemData":{"id":219,"type":"article-journal","abstract":"This paper explores the utility of an ensemble decision-tree method called random forest, in comparison with the classic classification and regression trees (CART) algorithm, for forecasting ground-level ozone pollution in the Sydney metropolitan region. Statistical forecasting models are developed to provide daily ozone forecasts in November-March for three subregions, i.e., Sydney east, Sydney south-west and Sydney north-west. The random forest models are evaluated in reference to the single decision-tree models developed from the classic CART algorithm. The results show that the random forest models outperform the CART models for forecasting high ozone pollution in Sydney south-west and Sydney north-west, the areas where the highest ozone pollution are observed. The random forest models also show a lift in forecasting skills in Sydney south-west if compared to the existing forecasting practice for the basin as a whole. These results suggest that random forest is a promising method for air quality forecasting in Sydney. This study promotes the application of a statistical ensemble approach to air quality forecasting.","issue":"5","language":"en","page":"10","source":"Zotero","title":"Exploring the Utility of the Random Forest Method for Forecasting Ozone Pollution in SYDNEY","volume":"1","author":[{"family":"Jiang","given":"Ningbo"},{"family":"Riley","given":"Matthew L"}],"issued":{"date-parts":[["2015"]]}}}],"schema":"https://github.com/citation-style-language/schema/raw/master/csl-citation.json"} </w:instrText>
      </w:r>
      <w:r w:rsidRPr="00B24120">
        <w:fldChar w:fldCharType="separate"/>
      </w:r>
      <w:r w:rsidR="008A1E89" w:rsidRPr="008A1E89">
        <w:rPr>
          <w:vertAlign w:val="superscript"/>
        </w:rPr>
        <w:t>28</w:t>
      </w:r>
      <w:r w:rsidRPr="00B24120">
        <w:fldChar w:fldCharType="end"/>
      </w:r>
      <w:r w:rsidRPr="00B24120">
        <w:t xml:space="preserve"> This is why it is called a two-</w:t>
      </w:r>
      <w:r w:rsidRPr="00B24120">
        <w:lastRenderedPageBreak/>
        <w:t>phase RF regression model. The RF1 predicted O</w:t>
      </w:r>
      <w:r w:rsidRPr="00B24120">
        <w:rPr>
          <w:vertAlign w:val="subscript"/>
        </w:rPr>
        <w:t>3</w:t>
      </w:r>
      <w:r w:rsidRPr="00B24120">
        <w:t xml:space="preserve"> mixing ratios were divided into three levels (low: &lt; 30 ppb, medium: 30 – 50 ppb, high: &gt; 50 ppb). For the data within each level, a set of weighting factors, a</w:t>
      </w:r>
      <w:r w:rsidRPr="00B24120">
        <w:rPr>
          <w:vertAlign w:val="subscript"/>
        </w:rPr>
        <w:t>1</w:t>
      </w:r>
      <w:r w:rsidRPr="00B24120">
        <w:t xml:space="preserve"> and a</w:t>
      </w:r>
      <w:r w:rsidRPr="00B24120">
        <w:rPr>
          <w:vertAlign w:val="subscript"/>
        </w:rPr>
        <w:t>2</w:t>
      </w:r>
      <w:r w:rsidRPr="00B24120">
        <w:t>, were computed based on a linear regression equation,</w:t>
      </w:r>
    </w:p>
    <w:p w14:paraId="1A409FE3" w14:textId="77777777" w:rsidR="00CC1DFD" w:rsidRPr="00B24120" w:rsidRDefault="00CC1DFD" w:rsidP="00D86AE6">
      <w:pPr>
        <w:jc w:val="center"/>
      </w:pPr>
      <w:r w:rsidRPr="00B24120">
        <w:t>O</w:t>
      </w:r>
      <w:r w:rsidRPr="00B24120">
        <w:rPr>
          <w:vertAlign w:val="subscript"/>
        </w:rPr>
        <w:t>3observed</w:t>
      </w:r>
      <w:r w:rsidRPr="00B24120">
        <w:t xml:space="preserve"> = a</w:t>
      </w:r>
      <w:r w:rsidRPr="00B24120">
        <w:rPr>
          <w:vertAlign w:val="subscript"/>
        </w:rPr>
        <w:t>1</w:t>
      </w:r>
      <w:r w:rsidRPr="00B24120">
        <w:t>*RF</w:t>
      </w:r>
      <w:r w:rsidRPr="00B24120">
        <w:rPr>
          <w:vertAlign w:val="subscript"/>
        </w:rPr>
        <w:t>1</w:t>
      </w:r>
      <w:r w:rsidRPr="00B24120">
        <w:t xml:space="preserve"> + a</w:t>
      </w:r>
      <w:r w:rsidRPr="00B24120">
        <w:rPr>
          <w:vertAlign w:val="subscript"/>
        </w:rPr>
        <w:t>2</w:t>
      </w:r>
      <w:r w:rsidRPr="00B24120">
        <w:t>*RF</w:t>
      </w:r>
      <w:r w:rsidRPr="00B24120">
        <w:rPr>
          <w:vertAlign w:val="subscript"/>
        </w:rPr>
        <w:t>2</w:t>
      </w:r>
      <w:r w:rsidRPr="00B24120">
        <w:tab/>
      </w:r>
      <w:r w:rsidRPr="00B24120">
        <w:tab/>
      </w:r>
      <w:r w:rsidRPr="00B24120">
        <w:tab/>
        <w:t>(1)</w:t>
      </w:r>
    </w:p>
    <w:p w14:paraId="3C4281AF" w14:textId="77777777" w:rsidR="00CC1DFD" w:rsidRPr="00B24120" w:rsidRDefault="00CC1DFD" w:rsidP="00FA2B05">
      <w:pPr>
        <w:pStyle w:val="TAMainText"/>
      </w:pPr>
      <w:r w:rsidRPr="00B24120">
        <w:t>When doing forecasting, RF1 and RF2 were used to provide initial predictions. The RF1 prediction determined which weighting factors would be used. The hourly O</w:t>
      </w:r>
      <w:r w:rsidRPr="00B24120">
        <w:rPr>
          <w:vertAlign w:val="subscript"/>
        </w:rPr>
        <w:t>3</w:t>
      </w:r>
      <w:r w:rsidRPr="00B24120">
        <w:t xml:space="preserve"> prediction was computed as </w:t>
      </w:r>
    </w:p>
    <w:p w14:paraId="5E75F595" w14:textId="7570B5C4" w:rsidR="00CC1DFD" w:rsidRPr="00B24120" w:rsidRDefault="00CC1DFD" w:rsidP="00D86AE6">
      <w:pPr>
        <w:jc w:val="center"/>
      </w:pPr>
      <w:r w:rsidRPr="00B24120">
        <w:t>O</w:t>
      </w:r>
      <w:r w:rsidRPr="00B24120">
        <w:rPr>
          <w:vertAlign w:val="subscript"/>
        </w:rPr>
        <w:t xml:space="preserve">3 </w:t>
      </w:r>
      <w:r w:rsidRPr="00B24120">
        <w:t>= a</w:t>
      </w:r>
      <w:r w:rsidRPr="00B24120">
        <w:rPr>
          <w:vertAlign w:val="subscript"/>
        </w:rPr>
        <w:t>1</w:t>
      </w:r>
      <w:r w:rsidRPr="00B24120">
        <w:t>*RF</w:t>
      </w:r>
      <w:r w:rsidRPr="00B24120">
        <w:rPr>
          <w:vertAlign w:val="subscript"/>
        </w:rPr>
        <w:t>1</w:t>
      </w:r>
      <w:r w:rsidRPr="00B24120">
        <w:t xml:space="preserve"> + a</w:t>
      </w:r>
      <w:r w:rsidRPr="00B24120">
        <w:rPr>
          <w:vertAlign w:val="subscript"/>
        </w:rPr>
        <w:t>2</w:t>
      </w:r>
      <w:r w:rsidRPr="00B24120">
        <w:t>*RF</w:t>
      </w:r>
      <w:r w:rsidRPr="00B24120">
        <w:rPr>
          <w:vertAlign w:val="subscript"/>
        </w:rPr>
        <w:t>2</w:t>
      </w:r>
      <w:r w:rsidRPr="00B24120">
        <w:tab/>
      </w:r>
      <w:r w:rsidRPr="00B24120">
        <w:tab/>
      </w:r>
      <w:r w:rsidRPr="00B24120">
        <w:tab/>
        <w:t>(2)</w:t>
      </w:r>
    </w:p>
    <w:p w14:paraId="6E5B3B41" w14:textId="77777777" w:rsidR="00CC1DFD" w:rsidRPr="00B24120" w:rsidRDefault="00CC1DFD" w:rsidP="00CC1DFD">
      <w:pPr>
        <w:spacing w:line="480" w:lineRule="auto"/>
        <w:rPr>
          <w:rFonts w:cstheme="minorHAnsi"/>
        </w:rPr>
      </w:pPr>
    </w:p>
    <w:p w14:paraId="3CFD1C8F" w14:textId="673162AF" w:rsidR="00CC1DFD" w:rsidRPr="00B24120" w:rsidRDefault="00CC1DFD" w:rsidP="00CC1DFD">
      <w:pPr>
        <w:pStyle w:val="Heading3"/>
        <w:spacing w:line="480" w:lineRule="auto"/>
        <w:rPr>
          <w:rFonts w:ascii="Times" w:hAnsi="Times" w:cstheme="minorHAnsi"/>
          <w:i/>
          <w:iCs/>
        </w:rPr>
      </w:pPr>
      <w:r w:rsidRPr="00B24120">
        <w:rPr>
          <w:rFonts w:ascii="Times" w:hAnsi="Times" w:cstheme="minorHAnsi"/>
          <w:sz w:val="26"/>
          <w:szCs w:val="26"/>
        </w:rPr>
        <w:t>2.3</w:t>
      </w:r>
      <w:r w:rsidR="00E16FBA">
        <w:rPr>
          <w:rFonts w:ascii="Times" w:hAnsi="Times" w:cstheme="minorHAnsi"/>
          <w:sz w:val="26"/>
          <w:szCs w:val="26"/>
        </w:rPr>
        <w:t>.</w:t>
      </w:r>
      <w:r w:rsidRPr="00B24120">
        <w:rPr>
          <w:rFonts w:ascii="Times" w:hAnsi="Times" w:cstheme="minorHAnsi"/>
          <w:sz w:val="26"/>
          <w:szCs w:val="26"/>
        </w:rPr>
        <w:t xml:space="preserve"> Ensemble forecasting system</w:t>
      </w:r>
    </w:p>
    <w:p w14:paraId="553D5BCF" w14:textId="77777777" w:rsidR="00CC1DFD" w:rsidRPr="00B24120" w:rsidRDefault="00CC1DFD" w:rsidP="00CC1DFD">
      <w:pPr>
        <w:spacing w:line="480" w:lineRule="auto"/>
        <w:rPr>
          <w:rFonts w:cstheme="minorHAnsi"/>
        </w:rPr>
      </w:pPr>
      <w:r w:rsidRPr="00B24120">
        <w:rPr>
          <w:rFonts w:cstheme="minorHAnsi"/>
        </w:rPr>
        <w:t>The ML1 and ML2 modeling frameworks have been used to provide 72-hour “ensemble” operational O</w:t>
      </w:r>
      <w:r w:rsidRPr="00B24120">
        <w:rPr>
          <w:rFonts w:cstheme="minorHAnsi"/>
          <w:vertAlign w:val="subscript"/>
        </w:rPr>
        <w:t>3</w:t>
      </w:r>
      <w:r w:rsidRPr="00B24120">
        <w:rPr>
          <w:rFonts w:cstheme="minorHAnsi"/>
        </w:rPr>
        <w:t xml:space="preserve"> forecasts each day, by using more than 20 members from the University of Washington Mesoscale Ensemble system (</w:t>
      </w:r>
      <w:hyperlink r:id="rId12" w:history="1">
        <w:r w:rsidRPr="00B24120">
          <w:rPr>
            <w:rStyle w:val="Hyperlink"/>
            <w:rFonts w:eastAsiaTheme="majorEastAsia" w:cstheme="minorHAnsi"/>
          </w:rPr>
          <w:t>https://a.atmos.washington.edu/wrfrt/ensembles/info.html</w:t>
        </w:r>
      </w:hyperlink>
      <w:r w:rsidRPr="00B24120">
        <w:rPr>
          <w:rFonts w:cstheme="minorHAnsi"/>
        </w:rPr>
        <w:t>) beginning in April 2019. We predicted the O</w:t>
      </w:r>
      <w:r w:rsidRPr="00B24120">
        <w:rPr>
          <w:rFonts w:cstheme="minorHAnsi"/>
          <w:vertAlign w:val="subscript"/>
        </w:rPr>
        <w:t>3</w:t>
      </w:r>
      <w:r w:rsidRPr="00B24120">
        <w:rPr>
          <w:rFonts w:cstheme="minorHAnsi"/>
        </w:rPr>
        <w:t xml:space="preserve"> levels with each WRF member to compile a 72-hour ensemble mean forecast with an associated uncertainty range. The forecasts are available to the public on </w:t>
      </w:r>
      <w:hyperlink r:id="rId13" w:history="1">
        <w:r w:rsidRPr="00B24120">
          <w:rPr>
            <w:rStyle w:val="Hyperlink"/>
            <w:rFonts w:cstheme="minorHAnsi"/>
          </w:rPr>
          <w:t>http://ozonematters.com</w:t>
        </w:r>
      </w:hyperlink>
      <w:r w:rsidRPr="00B24120">
        <w:rPr>
          <w:rFonts w:cstheme="minorHAnsi"/>
        </w:rPr>
        <w:t>, with the ability to sign up for email alerts if “Unhealthy for Sensitive Groups” or worse levels are forecast. To increase the size of the training dataset and improve the forecast accuracy, we included the new observational data from the previous day and re-trained the models daily. For the ensemble daily forecasts, the computational time is approximately 1 min for ML1 and less than 3 min for ML2.</w:t>
      </w:r>
    </w:p>
    <w:p w14:paraId="2DF80771" w14:textId="77777777" w:rsidR="00CC1DFD" w:rsidRPr="00B24120" w:rsidRDefault="00CC1DFD" w:rsidP="00CC1DFD">
      <w:pPr>
        <w:spacing w:line="480" w:lineRule="auto"/>
        <w:ind w:firstLine="720"/>
        <w:rPr>
          <w:rFonts w:cstheme="minorHAnsi"/>
        </w:rPr>
      </w:pPr>
    </w:p>
    <w:p w14:paraId="1F423B77" w14:textId="6CA3BB93" w:rsidR="00CC1DFD" w:rsidRPr="00B24120" w:rsidRDefault="00CC1DFD" w:rsidP="00CC1DFD">
      <w:pPr>
        <w:pStyle w:val="Heading3"/>
        <w:spacing w:before="0" w:line="480" w:lineRule="auto"/>
        <w:rPr>
          <w:rFonts w:ascii="Times" w:hAnsi="Times" w:cstheme="minorHAnsi"/>
          <w:sz w:val="26"/>
          <w:szCs w:val="26"/>
        </w:rPr>
      </w:pPr>
      <w:r w:rsidRPr="00B24120">
        <w:rPr>
          <w:rFonts w:ascii="Times" w:hAnsi="Times" w:cstheme="minorHAnsi"/>
          <w:sz w:val="26"/>
          <w:szCs w:val="26"/>
        </w:rPr>
        <w:lastRenderedPageBreak/>
        <w:t>2.4</w:t>
      </w:r>
      <w:r w:rsidR="00E16FBA">
        <w:rPr>
          <w:rFonts w:ascii="Times" w:hAnsi="Times" w:cstheme="minorHAnsi"/>
          <w:sz w:val="26"/>
          <w:szCs w:val="26"/>
        </w:rPr>
        <w:t>.</w:t>
      </w:r>
      <w:r w:rsidRPr="00B24120">
        <w:rPr>
          <w:rFonts w:ascii="Times" w:hAnsi="Times" w:cstheme="minorHAnsi"/>
          <w:sz w:val="26"/>
          <w:szCs w:val="26"/>
        </w:rPr>
        <w:t xml:space="preserve"> Statistical methods for O</w:t>
      </w:r>
      <w:r w:rsidRPr="00B24120">
        <w:rPr>
          <w:rFonts w:ascii="Times" w:hAnsi="Times" w:cstheme="minorHAnsi"/>
          <w:sz w:val="26"/>
          <w:szCs w:val="26"/>
          <w:vertAlign w:val="subscript"/>
        </w:rPr>
        <w:t>3</w:t>
      </w:r>
      <w:r w:rsidRPr="00B24120">
        <w:rPr>
          <w:rFonts w:ascii="Times" w:hAnsi="Times" w:cstheme="minorHAnsi"/>
          <w:sz w:val="26"/>
          <w:szCs w:val="26"/>
        </w:rPr>
        <w:t xml:space="preserve"> AQI evaluation</w:t>
      </w:r>
    </w:p>
    <w:p w14:paraId="4AF00DA9" w14:textId="577B8754" w:rsidR="00CC1DFD" w:rsidRPr="00B24120" w:rsidRDefault="00CC1DFD" w:rsidP="00CC1DFD">
      <w:pPr>
        <w:spacing w:line="480" w:lineRule="auto"/>
        <w:rPr>
          <w:rFonts w:cstheme="minorHAnsi"/>
        </w:rPr>
      </w:pPr>
      <w:r w:rsidRPr="00B24120">
        <w:rPr>
          <w:rFonts w:cstheme="minorHAnsi"/>
        </w:rPr>
        <w:t xml:space="preserve">Two parameters, </w:t>
      </w:r>
      <w:proofErr w:type="spellStart"/>
      <w:r w:rsidRPr="00B24120">
        <w:rPr>
          <w:rFonts w:cstheme="minorHAnsi"/>
        </w:rPr>
        <w:t>Heidke</w:t>
      </w:r>
      <w:proofErr w:type="spellEnd"/>
      <w:r w:rsidRPr="00B24120">
        <w:rPr>
          <w:rFonts w:cstheme="minorHAnsi"/>
        </w:rPr>
        <w:t xml:space="preserve"> Skill Score (HSS) and the Hanssen-Kuiper Skill Score (KSS) were used to evaluate the machine learning model prediction. Table </w:t>
      </w:r>
      <w:r w:rsidR="00AF64F6">
        <w:rPr>
          <w:rFonts w:cstheme="minorHAnsi"/>
        </w:rPr>
        <w:t>S</w:t>
      </w:r>
      <w:r w:rsidRPr="00B24120">
        <w:rPr>
          <w:rFonts w:cstheme="minorHAnsi"/>
        </w:rPr>
        <w:t>2 is a 2x2 contingency table, which shows the simple yes or no case</w:t>
      </w:r>
      <w:r w:rsidR="008A1E89">
        <w:rPr>
          <w:rFonts w:cstheme="minorHAnsi"/>
        </w:rPr>
        <w:t>.</w:t>
      </w:r>
      <w:r w:rsidRPr="00B24120">
        <w:rPr>
          <w:rFonts w:cstheme="minorHAnsi"/>
        </w:rPr>
        <w:fldChar w:fldCharType="begin"/>
      </w:r>
      <w:r w:rsidR="00B24120">
        <w:rPr>
          <w:rFonts w:cstheme="minorHAnsi"/>
        </w:rPr>
        <w:instrText xml:space="preserve"> ADDIN ZOTERO_ITEM CSL_CITATION {"citationID":"SbiME91u","properties":{"formattedCitation":"\\super 29\\nosupersub{}","plainCitation":"29","noteIndex":0},"citationItems":[{"id":544,"uris":["http://zotero.org/users/4238889/items/GRR8HWYR"],"uri":["http://zotero.org/users/4238889/items/GRR8HWYR"],"itemData":{"id":544,"type":"article-journal","abstract":"This work evaluates numerous thunderstorm predictors and investigates the use of artiﬁcial neural networks (ANNs) for identifying occurrences of thunderstorms in reanalysis data. Environmental conditions favorable for deep, moist convection are derived from 6-hourly ERA-Interim reanalyses, while thunderstorm occurrence in the following 6 h over Finland is derived from lightning location data. By taking advantage of the consistency and large sample size (14 summers) provided by the reanalysis, complex multivariate models can be trained for a robust estimation of convective weather events from model data. This and other methods are used to yield information on the most effective convective predictors in a multivariate setting, which can also beneﬁt the forecasting community. The best ANN found uses 15 inputs and received a Heidke skill score (HSS) of 0.51 on an independent test sample. This is a substantial improvement over the best predictor when used alone, the most unstable lifted index (MULI) with HSS 5 0.40, the multivariate model having fewer false alarms in particular. After MULI, the most important ANN input was relative humidity near 700 hPa. Dry air aloft was associated with signiﬁcantly lower thunderstorm probability and ﬂash density regardless of convective available potential energy (CAPE). Other important parameters for thunderstorm development were vertical velocity and low-level ue advection. Finally, the Peirce skill score indicates a clear meridional gradient in skill for categorical forecasts, with higher skill in northern Finland. This analysis suggests that the difference in skill is real and associated with a steeper thunderstorm probability curve in the north, but further studies are needed for a physical explanation.","container-title":"Journal of Applied Meteorology and Climatology","DOI":"10.1175/JAMC-D-16-0361.1","ISSN":"1558-8424, 1558-8432","issue":"8","journalAbbreviation":"J. Appl. Meteor. Climatol.","language":"en","page":"2335-2352","source":"DOI.org (Crossref)","title":"Evaluation of Thunderstorm Predictors for Finland Using Reanalyses and Neural Networks","volume":"56","author":[{"family":"Ukkonen","given":"Peter"},{"family":"Manzato","given":"Agostino"},{"family":"Mäkelä","given":"Antti"}],"issued":{"date-parts":[["2017",8]]}}}],"schema":"https://github.com/citation-style-language/schema/raw/master/csl-citation.json"} </w:instrText>
      </w:r>
      <w:r w:rsidRPr="00B24120">
        <w:rPr>
          <w:rFonts w:cstheme="minorHAnsi"/>
        </w:rPr>
        <w:fldChar w:fldCharType="separate"/>
      </w:r>
      <w:r w:rsidR="008A1E89" w:rsidRPr="008A1E89">
        <w:rPr>
          <w:vertAlign w:val="superscript"/>
        </w:rPr>
        <w:t>29</w:t>
      </w:r>
      <w:r w:rsidRPr="00B24120">
        <w:rPr>
          <w:rFonts w:cstheme="minorHAnsi"/>
        </w:rPr>
        <w:fldChar w:fldCharType="end"/>
      </w:r>
      <w:r w:rsidRPr="00B24120">
        <w:rPr>
          <w:rFonts w:cstheme="minorHAnsi"/>
        </w:rPr>
        <w:t xml:space="preserve"> For the air quality researches, “yes” usually means air pollution events, and “no” means good air quality. The equations (3) and (4) show how HSS and KSS are computed</w:t>
      </w:r>
      <w:r w:rsidR="008A1E89">
        <w:rPr>
          <w:rFonts w:cstheme="minorHAnsi"/>
        </w:rPr>
        <w:t>.</w:t>
      </w:r>
      <w:r w:rsidRPr="00B24120">
        <w:rPr>
          <w:rFonts w:cstheme="minorHAnsi"/>
        </w:rPr>
        <w:fldChar w:fldCharType="begin"/>
      </w:r>
      <w:r w:rsidR="00B24120">
        <w:rPr>
          <w:rFonts w:cstheme="minorHAnsi"/>
        </w:rPr>
        <w:instrText xml:space="preserve"> ADDIN ZOTERO_ITEM CSL_CITATION {"citationID":"k6lfUqbo","properties":{"formattedCitation":"\\super 30\\nosupersub{}","plainCitation":"30","noteIndex":0},"citationItems":[{"id":503,"uris":["http://zotero.org/users/4238889/items/DVGPAZTH"],"uri":["http://zotero.org/users/4238889/items/DVGPAZTH"],"itemData":{"id":503,"type":"book","ISBN":"1-119-96107-6","publisher":"John Wiley &amp; Sons","title":"Forecast verification: a practitioner's guide in atmospheric science","author":[{"family":"Jolliffe","given":"Ian T"},{"family":"Stephenson","given":"David B"}],"issued":{"date-parts":[["2012"]]}}}],"schema":"https://github.com/citation-style-language/schema/raw/master/csl-citation.json"} </w:instrText>
      </w:r>
      <w:r w:rsidRPr="00B24120">
        <w:rPr>
          <w:rFonts w:cstheme="minorHAnsi"/>
        </w:rPr>
        <w:fldChar w:fldCharType="separate"/>
      </w:r>
      <w:r w:rsidR="008A1E89" w:rsidRPr="008A1E89">
        <w:rPr>
          <w:vertAlign w:val="superscript"/>
        </w:rPr>
        <w:t>30</w:t>
      </w:r>
      <w:r w:rsidRPr="00B24120">
        <w:rPr>
          <w:rFonts w:cstheme="minorHAnsi"/>
        </w:rPr>
        <w:fldChar w:fldCharType="end"/>
      </w:r>
    </w:p>
    <w:p w14:paraId="7648E688" w14:textId="77777777" w:rsidR="00CC1DFD" w:rsidRPr="00D86AE6" w:rsidRDefault="00CC1DFD" w:rsidP="00D86AE6">
      <w:pPr>
        <w:rPr>
          <w:sz w:val="28"/>
        </w:rPr>
      </w:pPr>
      <m:oMathPara>
        <m:oMathParaPr>
          <m:jc m:val="center"/>
        </m:oMathParaPr>
        <m:oMath>
          <m:r>
            <w:rPr>
              <w:rFonts w:ascii="Cambria Math" w:hAnsi="Cambria Math"/>
            </w:rPr>
            <m:t>HSS</m:t>
          </m:r>
          <m:r>
            <m:rPr>
              <m:sty m:val="p"/>
            </m:rPr>
            <w:rPr>
              <w:rFonts w:ascii="Cambria Math" w:hAnsi="Cambria Math"/>
            </w:rPr>
            <m:t>=</m:t>
          </m:r>
          <m:f>
            <m:fPr>
              <m:ctrlPr>
                <w:rPr>
                  <w:rFonts w:ascii="Cambria Math" w:hAnsi="Cambria Math"/>
                </w:rPr>
              </m:ctrlPr>
            </m:fPr>
            <m:num>
              <m:r>
                <w:rPr>
                  <w:rFonts w:ascii="Cambria Math" w:hAnsi="Cambria Math"/>
                </w:rPr>
                <m:t>a</m:t>
              </m:r>
              <m:r>
                <m:rPr>
                  <m:sty m:val="p"/>
                </m:rPr>
                <w:rPr>
                  <w:rFonts w:ascii="Cambria Math" w:hAnsi="Cambria Math"/>
                </w:rPr>
                <m:t>+</m:t>
              </m:r>
              <m:r>
                <w:rPr>
                  <w:rFonts w:ascii="Cambria Math" w:hAnsi="Cambria Math"/>
                </w:rPr>
                <m:t>d</m:t>
              </m:r>
              <m:r>
                <m:rPr>
                  <m:sty m:val="p"/>
                </m:rP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r</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r</m:t>
                  </m:r>
                </m:sub>
              </m:sSub>
            </m:num>
            <m:den>
              <m:r>
                <w:rPr>
                  <w:rFonts w:ascii="Cambria Math" w:hAnsi="Cambria Math"/>
                </w:rPr>
                <m:t>n</m:t>
              </m:r>
              <m:r>
                <m:rPr>
                  <m:sty m:val="p"/>
                </m:rP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r</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r</m:t>
                  </m:r>
                </m:sub>
              </m:sSub>
            </m:den>
          </m:f>
          <m:r>
            <m:rPr>
              <m:sty m:val="p"/>
            </m:rPr>
            <w:rPr>
              <w:rFonts w:ascii="Cambria Math" w:hAnsi="Cambria Math"/>
            </w:rPr>
            <m:t xml:space="preserve">         (3)</m:t>
          </m:r>
        </m:oMath>
      </m:oMathPara>
    </w:p>
    <w:p w14:paraId="65C0DCF3" w14:textId="77777777" w:rsidR="00CC1DFD" w:rsidRPr="00B24120" w:rsidRDefault="00CC1DFD" w:rsidP="00CC1DFD">
      <w:pPr>
        <w:spacing w:line="480" w:lineRule="auto"/>
        <w:ind w:firstLine="720"/>
        <w:jc w:val="center"/>
        <w:rPr>
          <w:rFonts w:cstheme="minorHAnsi"/>
          <w:sz w:val="28"/>
        </w:rPr>
      </w:pPr>
      <w:r w:rsidRPr="00B24120">
        <w:rPr>
          <w:rFonts w:cstheme="minorHAnsi"/>
          <w:sz w:val="28"/>
        </w:rPr>
        <w:t xml:space="preserve">Where </w:t>
      </w:r>
      <m:oMath>
        <m:sSub>
          <m:sSubPr>
            <m:ctrlPr>
              <w:rPr>
                <w:rFonts w:ascii="Cambria Math" w:hAnsi="Cambria Math"/>
              </w:rPr>
            </m:ctrlPr>
          </m:sSubPr>
          <m:e>
            <m:r>
              <w:rPr>
                <w:rFonts w:ascii="Cambria Math" w:hAnsi="Cambria Math"/>
              </w:rPr>
              <m:t>a</m:t>
            </m:r>
          </m:e>
          <m:sub>
            <m:r>
              <w:rPr>
                <w:rFonts w:ascii="Cambria Math" w:hAnsi="Cambria Math"/>
              </w:rPr>
              <m:t>r</m:t>
            </m:r>
          </m:sub>
        </m:sSub>
        <m:r>
          <w:rPr>
            <w:rFonts w:ascii="Cambria Math" w:hAnsi="Cambria Math"/>
          </w:rPr>
          <m:t>=</m:t>
        </m:r>
        <m:f>
          <m:fPr>
            <m:ctrlPr>
              <w:rPr>
                <w:rFonts w:ascii="Cambria Math" w:hAnsi="Cambria Math"/>
              </w:rPr>
            </m:ctrlPr>
          </m:fPr>
          <m:num>
            <m:r>
              <w:rPr>
                <w:rFonts w:ascii="Cambria Math" w:hAnsi="Cambria Math"/>
              </w:rPr>
              <m:t>(a+b)(a+c)</m:t>
            </m:r>
          </m:num>
          <m:den>
            <m:r>
              <w:rPr>
                <w:rFonts w:ascii="Cambria Math" w:hAnsi="Cambria Math"/>
              </w:rPr>
              <m:t>n</m:t>
            </m:r>
          </m:den>
        </m:f>
      </m:oMath>
      <w:r w:rsidRPr="00D86AE6">
        <w:t>,</w:t>
      </w:r>
      <w:r w:rsidRPr="00B24120">
        <w:rPr>
          <w:rFonts w:cstheme="minorHAnsi"/>
          <w:sz w:val="28"/>
        </w:rPr>
        <w:t xml:space="preserve"> </w:t>
      </w:r>
      <m:oMath>
        <m:sSub>
          <m:sSubPr>
            <m:ctrlPr>
              <w:rPr>
                <w:rFonts w:ascii="Cambria Math" w:hAnsi="Cambria Math"/>
              </w:rPr>
            </m:ctrlPr>
          </m:sSubPr>
          <m:e>
            <m:r>
              <w:rPr>
                <w:rFonts w:ascii="Cambria Math" w:hAnsi="Cambria Math"/>
              </w:rPr>
              <m:t>d</m:t>
            </m:r>
          </m:e>
          <m:sub>
            <m:r>
              <w:rPr>
                <w:rFonts w:ascii="Cambria Math" w:hAnsi="Cambria Math"/>
              </w:rPr>
              <m:t>r</m:t>
            </m:r>
          </m:sub>
        </m:sSub>
        <m:r>
          <w:rPr>
            <w:rFonts w:ascii="Cambria Math" w:hAnsi="Cambria Math"/>
          </w:rPr>
          <m:t>=</m:t>
        </m:r>
        <m:f>
          <m:fPr>
            <m:ctrlPr>
              <w:rPr>
                <w:rFonts w:ascii="Cambria Math" w:hAnsi="Cambria Math"/>
              </w:rPr>
            </m:ctrlPr>
          </m:fPr>
          <m:num>
            <m:r>
              <w:rPr>
                <w:rFonts w:ascii="Cambria Math" w:hAnsi="Cambria Math"/>
              </w:rPr>
              <m:t>(b+d)(c+d)</m:t>
            </m:r>
          </m:num>
          <m:den>
            <m:r>
              <w:rPr>
                <w:rFonts w:ascii="Cambria Math" w:hAnsi="Cambria Math"/>
              </w:rPr>
              <m:t>n</m:t>
            </m:r>
          </m:den>
        </m:f>
      </m:oMath>
    </w:p>
    <w:p w14:paraId="6ED5D0CD" w14:textId="11225537" w:rsidR="00CC1DFD" w:rsidRPr="00AF64F6" w:rsidRDefault="00CC1DFD" w:rsidP="00D86AE6">
      <w:pPr>
        <w:rPr>
          <w:sz w:val="28"/>
        </w:rPr>
      </w:pPr>
      <m:oMathPara>
        <m:oMath>
          <m:r>
            <w:rPr>
              <w:rFonts w:ascii="Cambria Math" w:hAnsi="Cambria Math"/>
            </w:rPr>
            <m:t>KSS</m:t>
          </m:r>
          <m:r>
            <m:rPr>
              <m:sty m:val="p"/>
            </m:rPr>
            <w:rPr>
              <w:rFonts w:ascii="Cambria Math" w:hAnsi="Cambria Math"/>
            </w:rPr>
            <m:t>=</m:t>
          </m:r>
          <m:f>
            <m:fPr>
              <m:ctrlPr>
                <w:rPr>
                  <w:rFonts w:ascii="Cambria Math" w:hAnsi="Cambria Math"/>
                </w:rPr>
              </m:ctrlPr>
            </m:fPr>
            <m:num>
              <m:r>
                <w:rPr>
                  <w:rFonts w:ascii="Cambria Math" w:hAnsi="Cambria Math"/>
                </w:rPr>
                <m:t>ad</m:t>
              </m:r>
              <m:r>
                <m:rPr>
                  <m:sty m:val="p"/>
                </m:rPr>
                <w:rPr>
                  <w:rFonts w:ascii="Cambria Math" w:hAnsi="Cambria Math"/>
                </w:rPr>
                <m:t>-</m:t>
              </m:r>
              <m:r>
                <w:rPr>
                  <w:rFonts w:ascii="Cambria Math" w:hAnsi="Cambria Math"/>
                </w:rPr>
                <m:t>bc</m:t>
              </m:r>
            </m:num>
            <m:den>
              <m:r>
                <m:rPr>
                  <m:sty m:val="p"/>
                </m:rPr>
                <w:rPr>
                  <w:rFonts w:ascii="Cambria Math" w:hAnsi="Cambria Math"/>
                </w:rPr>
                <m:t>(</m:t>
              </m:r>
              <m:r>
                <w:rPr>
                  <w:rFonts w:ascii="Cambria Math" w:hAnsi="Cambria Math"/>
                </w:rPr>
                <m:t>b</m:t>
              </m:r>
              <m:r>
                <m:rPr>
                  <m:sty m:val="p"/>
                </m:rPr>
                <w:rPr>
                  <w:rFonts w:ascii="Cambria Math" w:hAnsi="Cambria Math"/>
                </w:rPr>
                <m:t>+</m:t>
              </m:r>
              <m:r>
                <w:rPr>
                  <w:rFonts w:ascii="Cambria Math" w:hAnsi="Cambria Math"/>
                </w:rPr>
                <m:t>d</m:t>
              </m:r>
              <m:r>
                <m:rPr>
                  <m:sty m:val="p"/>
                </m:rPr>
                <w:rPr>
                  <w:rFonts w:ascii="Cambria Math" w:hAnsi="Cambria Math"/>
                </w:rPr>
                <m:t>)(</m:t>
              </m:r>
              <m:r>
                <w:rPr>
                  <w:rFonts w:ascii="Cambria Math" w:hAnsi="Cambria Math"/>
                </w:rPr>
                <m:t>a</m:t>
              </m:r>
              <m:r>
                <m:rPr>
                  <m:sty m:val="p"/>
                </m:rPr>
                <w:rPr>
                  <w:rFonts w:ascii="Cambria Math" w:hAnsi="Cambria Math"/>
                </w:rPr>
                <m:t>+</m:t>
              </m:r>
              <m:r>
                <w:rPr>
                  <w:rFonts w:ascii="Cambria Math" w:hAnsi="Cambria Math"/>
                </w:rPr>
                <m:t>c</m:t>
              </m:r>
              <m:r>
                <m:rPr>
                  <m:sty m:val="p"/>
                </m:rPr>
                <w:rPr>
                  <w:rFonts w:ascii="Cambria Math" w:hAnsi="Cambria Math"/>
                </w:rPr>
                <m:t>)</m:t>
              </m:r>
            </m:den>
          </m:f>
          <m:r>
            <m:rPr>
              <m:sty m:val="p"/>
            </m:rPr>
            <w:rPr>
              <w:rFonts w:ascii="Cambria Math" w:hAnsi="Cambria Math"/>
            </w:rPr>
            <m:t xml:space="preserve">            (4)</m:t>
          </m:r>
        </m:oMath>
      </m:oMathPara>
    </w:p>
    <w:p w14:paraId="3A239B53" w14:textId="43CF15C7" w:rsidR="00CC1DFD" w:rsidRPr="00B24120" w:rsidRDefault="00CC1DFD" w:rsidP="00FA2B05">
      <w:pPr>
        <w:pStyle w:val="TAMainText"/>
      </w:pPr>
      <w:r w:rsidRPr="00B24120">
        <w:t>HSS represents the accuracy of the model prediction compared with a reference forecast (r in equation 3), which is from the random guess that is statistically independent of the observations</w:t>
      </w:r>
      <w:r w:rsidR="008A1E89">
        <w:t>.</w:t>
      </w:r>
      <w:r w:rsidRPr="00B24120">
        <w:fldChar w:fldCharType="begin"/>
      </w:r>
      <w:r w:rsidR="00B24120">
        <w:instrText xml:space="preserve"> ADDIN ZOTERO_ITEM CSL_CITATION {"citationID":"sSjjJ2X2","properties":{"formattedCitation":"\\super 30,31\\nosupersub{}","plainCitation":"30,31","noteIndex":0},"citationItems":[{"id":503,"uris":["http://zotero.org/users/4238889/items/DVGPAZTH"],"uri":["http://zotero.org/users/4238889/items/DVGPAZTH"],"itemData":{"id":503,"type":"book","ISBN":"1-119-96107-6","publisher":"John Wiley &amp; Sons","title":"Forecast verification: a practitioner's guide in atmospheric science","author":[{"family":"Jolliffe","given":"Ian T"},{"family":"Stephenson","given":"David B"}],"issued":{"date-parts":[["2012"]]}}},{"id":549,"uris":["http://zotero.org/users/4238889/items/XNTUL9YZ"],"uri":["http://zotero.org/users/4238889/items/XNTUL9YZ"],"itemData":{"id":549,"type":"book","ISBN":"0-12-385022-3","publisher":"Academic press","title":"Statistical methods in the atmospheric sciences","volume":"100","author":[{"family":"Wilks","given":"Daniel S"}],"issued":{"date-parts":[["2011"]]}}}],"schema":"https://github.com/citation-style-language/schema/raw/master/csl-citation.json"} </w:instrText>
      </w:r>
      <w:r w:rsidRPr="00B24120">
        <w:fldChar w:fldCharType="separate"/>
      </w:r>
      <w:r w:rsidR="008A1E89" w:rsidRPr="008A1E89">
        <w:rPr>
          <w:vertAlign w:val="superscript"/>
        </w:rPr>
        <w:t>30,31</w:t>
      </w:r>
      <w:r w:rsidRPr="00B24120">
        <w:fldChar w:fldCharType="end"/>
      </w:r>
      <w:r w:rsidRPr="00B24120">
        <w:t xml:space="preserve"> The range of the HSS is from -∞ to 1. A negative value means a random guess is better, 0 means no skill, and 1 means a perfect score. KSS measures the ability to separate different categories. The range is from -1 to 1 where 0 means no skill, and 1 means a perfect score.</w:t>
      </w:r>
    </w:p>
    <w:p w14:paraId="030A9AF2" w14:textId="56C2EC0D" w:rsidR="00CC1DFD" w:rsidRPr="00B24120" w:rsidRDefault="00CC1DFD" w:rsidP="00FA2B05">
      <w:pPr>
        <w:pStyle w:val="TAMainText"/>
      </w:pPr>
      <w:r w:rsidRPr="00B24120">
        <w:t xml:space="preserve">For the multi-category case in this research with AQI 1 (Good), 2 (Moderate) or 3 (Unhealthy for Sensitive Groups), we use the 3x3 contingency table in Table </w:t>
      </w:r>
      <w:r w:rsidR="00AF64F6">
        <w:t>S</w:t>
      </w:r>
      <w:r w:rsidRPr="00B24120">
        <w:t xml:space="preserve">3 </w:t>
      </w:r>
      <w:r w:rsidRPr="00B24120">
        <w:fldChar w:fldCharType="begin"/>
      </w:r>
      <w:r w:rsidR="00B24120">
        <w:instrText xml:space="preserve"> ADDIN ZOTERO_ITEM CSL_CITATION {"citationID":"LuovZq9j","properties":{"formattedCitation":"\\super 32\\nosupersub{}","plainCitation":"32","noteIndex":0},"citationItems":[{"id":547,"uris":["http://zotero.org/users/4238889/items/TNI8LZFU"],"uri":["http://zotero.org/users/4238889/items/TNI8LZFU"],"itemData":{"id":547,"type":"article-journal","container-title":"Weather and Forecasting","ISSN":"1520-0434","issue":"4","journalAbbreviation":"Weather and Forecasting","page":"576-585","title":"On summary measures of skill in rare event forecasting based on contingency tables","volume":"5","author":[{"family":"Doswell III","given":"Charles A"},{"family":"Davies-Jones","given":"Robert"},{"family":"Keller","given":"David L"}],"issued":{"date-parts":[["1990"]]}}}],"schema":"https://github.com/citation-style-language/schema/raw/master/csl-citation.json"} </w:instrText>
      </w:r>
      <w:r w:rsidRPr="00B24120">
        <w:fldChar w:fldCharType="separate"/>
      </w:r>
      <w:r w:rsidR="008A1E89" w:rsidRPr="008A1E89">
        <w:rPr>
          <w:vertAlign w:val="superscript"/>
        </w:rPr>
        <w:t>32</w:t>
      </w:r>
      <w:r w:rsidRPr="00B24120">
        <w:fldChar w:fldCharType="end"/>
      </w:r>
      <w:r w:rsidRPr="00B24120">
        <w:t>. The skill scores are computed as follows</w:t>
      </w:r>
      <w:r w:rsidR="008A1E89">
        <w:t>.</w:t>
      </w:r>
      <w:r w:rsidRPr="00B24120">
        <w:fldChar w:fldCharType="begin"/>
      </w:r>
      <w:r w:rsidR="00B24120">
        <w:instrText xml:space="preserve"> ADDIN ZOTERO_ITEM CSL_CITATION {"citationID":"XnhDHs6D","properties":{"formattedCitation":"\\super 30\\nosupersub{}","plainCitation":"30","noteIndex":0},"citationItems":[{"id":503,"uris":["http://zotero.org/users/4238889/items/DVGPAZTH"],"uri":["http://zotero.org/users/4238889/items/DVGPAZTH"],"itemData":{"id":503,"type":"book","ISBN":"1-119-96107-6","publisher":"John Wiley &amp; Sons","title":"Forecast verification: a practitioner's guide in atmospheric science","author":[{"family":"Jolliffe","given":"Ian T"},{"family":"Stephenson","given":"David B"}],"issued":{"date-parts":[["2012"]]}}}],"schema":"https://github.com/citation-style-language/schema/raw/master/csl-citation.json"} </w:instrText>
      </w:r>
      <w:r w:rsidRPr="00B24120">
        <w:fldChar w:fldCharType="separate"/>
      </w:r>
      <w:r w:rsidR="008A1E89" w:rsidRPr="008A1E89">
        <w:rPr>
          <w:vertAlign w:val="superscript"/>
        </w:rPr>
        <w:t>30</w:t>
      </w:r>
      <w:r w:rsidRPr="00B24120">
        <w:fldChar w:fldCharType="end"/>
      </w:r>
    </w:p>
    <w:p w14:paraId="48E6D695" w14:textId="77777777" w:rsidR="00CC1DFD" w:rsidRPr="00B24120" w:rsidRDefault="00CC1DFD" w:rsidP="00D86AE6">
      <m:oMathPara>
        <m:oMath>
          <m:r>
            <w:rPr>
              <w:rFonts w:ascii="Cambria Math" w:hAnsi="Cambria Math"/>
            </w:rPr>
            <m:t>HSS</m:t>
          </m:r>
          <m:r>
            <m:rPr>
              <m:sty m:val="p"/>
            </m:rPr>
            <w:rPr>
              <w:rFonts w:ascii="Cambria Math" w:hAnsi="Cambria Math"/>
            </w:rPr>
            <m:t>=</m:t>
          </m:r>
          <m:d>
            <m:dPr>
              <m:ctrlPr>
                <w:rPr>
                  <w:rFonts w:ascii="Cambria Math" w:hAnsi="Cambria Math"/>
                </w:rPr>
              </m:ctrlPr>
            </m:dPr>
            <m:e>
              <m:nary>
                <m:naryPr>
                  <m:chr m:val="∑"/>
                  <m:limLoc m:val="undOvr"/>
                  <m:ctrlPr>
                    <w:rPr>
                      <w:rFonts w:ascii="Cambria Math" w:hAnsi="Cambria Math"/>
                    </w:rPr>
                  </m:ctrlPr>
                </m:naryPr>
                <m:sub>
                  <m:r>
                    <w:rPr>
                      <w:rFonts w:ascii="Cambria Math" w:hAnsi="Cambria Math"/>
                    </w:rPr>
                    <m:t>i</m:t>
                  </m:r>
                  <m:r>
                    <m:rPr>
                      <m:sty m:val="p"/>
                    </m:rPr>
                    <w:rPr>
                      <w:rFonts w:ascii="Cambria Math" w:hAnsi="Cambria Math"/>
                    </w:rPr>
                    <m:t>=1</m:t>
                  </m:r>
                </m:sub>
                <m:sup>
                  <m:r>
                    <m:rPr>
                      <m:sty m:val="p"/>
                    </m:rPr>
                    <w:rPr>
                      <w:rFonts w:ascii="Cambria Math" w:hAnsi="Cambria Math"/>
                    </w:rPr>
                    <m:t>3</m:t>
                  </m:r>
                </m:sup>
                <m:e>
                  <m:sSub>
                    <m:sSubPr>
                      <m:ctrlPr>
                        <w:rPr>
                          <w:rFonts w:ascii="Cambria Math" w:hAnsi="Cambria Math"/>
                        </w:rPr>
                      </m:ctrlPr>
                    </m:sSubPr>
                    <m:e>
                      <m:r>
                        <w:rPr>
                          <w:rFonts w:ascii="Cambria Math" w:hAnsi="Cambria Math"/>
                        </w:rPr>
                        <m:t>p</m:t>
                      </m:r>
                    </m:e>
                    <m:sub>
                      <m:r>
                        <w:rPr>
                          <w:rFonts w:ascii="Cambria Math" w:hAnsi="Cambria Math"/>
                        </w:rPr>
                        <m:t>ii</m:t>
                      </m:r>
                    </m:sub>
                  </m:sSub>
                </m:e>
              </m:nary>
              <m:r>
                <m:rPr>
                  <m:sty m:val="p"/>
                </m:rPr>
                <w:rPr>
                  <w:rFonts w:ascii="Cambria Math" w:hAnsi="Cambria Math"/>
                </w:rPr>
                <m:t>-</m:t>
              </m:r>
              <m:nary>
                <m:naryPr>
                  <m:chr m:val="∑"/>
                  <m:limLoc m:val="undOvr"/>
                  <m:ctrlPr>
                    <w:rPr>
                      <w:rFonts w:ascii="Cambria Math" w:hAnsi="Cambria Math"/>
                    </w:rPr>
                  </m:ctrlPr>
                </m:naryPr>
                <m:sub>
                  <m:r>
                    <w:rPr>
                      <w:rFonts w:ascii="Cambria Math" w:hAnsi="Cambria Math"/>
                    </w:rPr>
                    <m:t>i</m:t>
                  </m:r>
                  <m:r>
                    <m:rPr>
                      <m:sty m:val="p"/>
                    </m:rPr>
                    <w:rPr>
                      <w:rFonts w:ascii="Cambria Math" w:hAnsi="Cambria Math"/>
                    </w:rPr>
                    <m:t>=1</m:t>
                  </m:r>
                </m:sub>
                <m:sup>
                  <m:r>
                    <m:rPr>
                      <m:sty m:val="p"/>
                    </m:rPr>
                    <w:rPr>
                      <w:rFonts w:ascii="Cambria Math" w:hAnsi="Cambria Math"/>
                    </w:rPr>
                    <m:t>3</m:t>
                  </m:r>
                </m:sup>
                <m:e>
                  <m:sSub>
                    <m:sSubPr>
                      <m:ctrlPr>
                        <w:rPr>
                          <w:rFonts w:ascii="Cambria Math" w:hAnsi="Cambria Math"/>
                        </w:rPr>
                      </m:ctrlPr>
                    </m:sSubPr>
                    <m:e>
                      <m:r>
                        <w:rPr>
                          <w:rFonts w:ascii="Cambria Math" w:hAnsi="Cambria Math"/>
                        </w:rPr>
                        <m:t>p</m:t>
                      </m:r>
                    </m:e>
                    <m:sub>
                      <m:r>
                        <w:rPr>
                          <w:rFonts w:ascii="Cambria Math" w:hAnsi="Cambria Math"/>
                        </w:rPr>
                        <m:t>i</m:t>
                      </m:r>
                    </m:sub>
                  </m:sSub>
                </m:e>
              </m:nary>
              <m:sSub>
                <m:sSubPr>
                  <m:ctrlPr>
                    <w:rPr>
                      <w:rFonts w:ascii="Cambria Math" w:hAnsi="Cambria Math"/>
                    </w:rPr>
                  </m:ctrlPr>
                </m:sSubPr>
                <m:e>
                  <m:acc>
                    <m:accPr>
                      <m:ctrlPr>
                        <w:rPr>
                          <w:rFonts w:ascii="Cambria Math" w:hAnsi="Cambria Math"/>
                        </w:rPr>
                      </m:ctrlPr>
                    </m:accPr>
                    <m:e>
                      <m:r>
                        <w:rPr>
                          <w:rFonts w:ascii="Cambria Math" w:hAnsi="Cambria Math"/>
                        </w:rPr>
                        <m:t>p</m:t>
                      </m:r>
                    </m:e>
                  </m:acc>
                </m:e>
                <m:sub>
                  <m:r>
                    <w:rPr>
                      <w:rFonts w:ascii="Cambria Math" w:hAnsi="Cambria Math"/>
                    </w:rPr>
                    <m:t>i</m:t>
                  </m:r>
                </m:sub>
              </m:sSub>
            </m:e>
          </m:d>
          <m:r>
            <m:rPr>
              <m:sty m:val="p"/>
            </m:rPr>
            <w:rPr>
              <w:rFonts w:ascii="Cambria Math" w:hAnsi="Cambria Math"/>
            </w:rPr>
            <m:t>/</m:t>
          </m:r>
          <m:d>
            <m:dPr>
              <m:ctrlPr>
                <w:rPr>
                  <w:rFonts w:ascii="Cambria Math" w:hAnsi="Cambria Math"/>
                </w:rPr>
              </m:ctrlPr>
            </m:dPr>
            <m:e>
              <m:r>
                <m:rPr>
                  <m:sty m:val="p"/>
                </m:rPr>
                <w:rPr>
                  <w:rFonts w:ascii="Cambria Math" w:hAnsi="Cambria Math"/>
                </w:rPr>
                <m:t>(1-</m:t>
              </m:r>
              <m:nary>
                <m:naryPr>
                  <m:chr m:val="∑"/>
                  <m:limLoc m:val="undOvr"/>
                  <m:ctrlPr>
                    <w:rPr>
                      <w:rFonts w:ascii="Cambria Math" w:hAnsi="Cambria Math"/>
                    </w:rPr>
                  </m:ctrlPr>
                </m:naryPr>
                <m:sub>
                  <m:r>
                    <w:rPr>
                      <w:rFonts w:ascii="Cambria Math" w:hAnsi="Cambria Math"/>
                    </w:rPr>
                    <m:t>i</m:t>
                  </m:r>
                  <m:r>
                    <m:rPr>
                      <m:sty m:val="p"/>
                    </m:rPr>
                    <w:rPr>
                      <w:rFonts w:ascii="Cambria Math" w:hAnsi="Cambria Math"/>
                    </w:rPr>
                    <m:t>=1</m:t>
                  </m:r>
                </m:sub>
                <m:sup>
                  <m:r>
                    <m:rPr>
                      <m:sty m:val="p"/>
                    </m:rPr>
                    <w:rPr>
                      <w:rFonts w:ascii="Cambria Math" w:hAnsi="Cambria Math"/>
                    </w:rPr>
                    <m:t>3</m:t>
                  </m:r>
                </m:sup>
                <m:e>
                  <m:sSub>
                    <m:sSubPr>
                      <m:ctrlPr>
                        <w:rPr>
                          <w:rFonts w:ascii="Cambria Math" w:hAnsi="Cambria Math"/>
                        </w:rPr>
                      </m:ctrlPr>
                    </m:sSubPr>
                    <m:e>
                      <m:r>
                        <w:rPr>
                          <w:rFonts w:ascii="Cambria Math" w:hAnsi="Cambria Math"/>
                        </w:rPr>
                        <m:t>p</m:t>
                      </m:r>
                    </m:e>
                    <m:sub>
                      <m:r>
                        <w:rPr>
                          <w:rFonts w:ascii="Cambria Math" w:hAnsi="Cambria Math"/>
                        </w:rPr>
                        <m:t>i</m:t>
                      </m:r>
                    </m:sub>
                  </m:sSub>
                </m:e>
              </m:nary>
              <m:sSub>
                <m:sSubPr>
                  <m:ctrlPr>
                    <w:rPr>
                      <w:rFonts w:ascii="Cambria Math" w:hAnsi="Cambria Math"/>
                    </w:rPr>
                  </m:ctrlPr>
                </m:sSubPr>
                <m:e>
                  <m:acc>
                    <m:accPr>
                      <m:ctrlPr>
                        <w:rPr>
                          <w:rFonts w:ascii="Cambria Math" w:hAnsi="Cambria Math"/>
                        </w:rPr>
                      </m:ctrlPr>
                    </m:accPr>
                    <m:e>
                      <m:r>
                        <w:rPr>
                          <w:rFonts w:ascii="Cambria Math" w:hAnsi="Cambria Math"/>
                        </w:rPr>
                        <m:t>p</m:t>
                      </m:r>
                    </m:e>
                  </m:acc>
                </m:e>
                <m:sub>
                  <m:r>
                    <w:rPr>
                      <w:rFonts w:ascii="Cambria Math" w:hAnsi="Cambria Math"/>
                    </w:rPr>
                    <m:t>i</m:t>
                  </m:r>
                </m:sub>
              </m:sSub>
              <m:r>
                <m:rPr>
                  <m:sty m:val="p"/>
                </m:rPr>
                <w:rPr>
                  <w:rFonts w:ascii="Cambria Math" w:hAnsi="Cambria Math"/>
                </w:rPr>
                <m:t>)</m:t>
              </m:r>
            </m:e>
          </m:d>
          <m:r>
            <m:rPr>
              <m:sty m:val="p"/>
            </m:rPr>
            <w:rPr>
              <w:rFonts w:ascii="Cambria Math" w:hAnsi="Cambria Math"/>
            </w:rPr>
            <m:t xml:space="preserve">     (5)</m:t>
          </m:r>
        </m:oMath>
      </m:oMathPara>
    </w:p>
    <w:p w14:paraId="47F69189" w14:textId="59BED142" w:rsidR="00CC1DFD" w:rsidRPr="00AF64F6" w:rsidRDefault="00CC1DFD" w:rsidP="00D86AE6">
      <m:oMathPara>
        <m:oMath>
          <m:r>
            <w:rPr>
              <w:rFonts w:ascii="Cambria Math" w:hAnsi="Cambria Math"/>
            </w:rPr>
            <m:t>KSS</m:t>
          </m:r>
          <m:r>
            <m:rPr>
              <m:sty m:val="p"/>
            </m:rPr>
            <w:rPr>
              <w:rFonts w:ascii="Cambria Math" w:hAnsi="Cambria Math"/>
            </w:rPr>
            <m:t>=</m:t>
          </m:r>
          <m:d>
            <m:dPr>
              <m:ctrlPr>
                <w:rPr>
                  <w:rFonts w:ascii="Cambria Math" w:hAnsi="Cambria Math"/>
                </w:rPr>
              </m:ctrlPr>
            </m:dPr>
            <m:e>
              <m:nary>
                <m:naryPr>
                  <m:chr m:val="∑"/>
                  <m:limLoc m:val="undOvr"/>
                  <m:ctrlPr>
                    <w:rPr>
                      <w:rFonts w:ascii="Cambria Math" w:hAnsi="Cambria Math"/>
                    </w:rPr>
                  </m:ctrlPr>
                </m:naryPr>
                <m:sub>
                  <m:r>
                    <w:rPr>
                      <w:rFonts w:ascii="Cambria Math" w:hAnsi="Cambria Math"/>
                    </w:rPr>
                    <m:t>i</m:t>
                  </m:r>
                  <m:r>
                    <m:rPr>
                      <m:sty m:val="p"/>
                    </m:rPr>
                    <w:rPr>
                      <w:rFonts w:ascii="Cambria Math" w:hAnsi="Cambria Math"/>
                    </w:rPr>
                    <m:t>=1</m:t>
                  </m:r>
                </m:sub>
                <m:sup>
                  <m:r>
                    <m:rPr>
                      <m:sty m:val="p"/>
                    </m:rPr>
                    <w:rPr>
                      <w:rFonts w:ascii="Cambria Math" w:hAnsi="Cambria Math"/>
                    </w:rPr>
                    <m:t>3</m:t>
                  </m:r>
                </m:sup>
                <m:e>
                  <m:sSub>
                    <m:sSubPr>
                      <m:ctrlPr>
                        <w:rPr>
                          <w:rFonts w:ascii="Cambria Math" w:hAnsi="Cambria Math"/>
                        </w:rPr>
                      </m:ctrlPr>
                    </m:sSubPr>
                    <m:e>
                      <m:r>
                        <w:rPr>
                          <w:rFonts w:ascii="Cambria Math" w:hAnsi="Cambria Math"/>
                        </w:rPr>
                        <m:t>p</m:t>
                      </m:r>
                    </m:e>
                    <m:sub>
                      <m:r>
                        <w:rPr>
                          <w:rFonts w:ascii="Cambria Math" w:hAnsi="Cambria Math"/>
                        </w:rPr>
                        <m:t>ii</m:t>
                      </m:r>
                    </m:sub>
                  </m:sSub>
                </m:e>
              </m:nary>
              <m:r>
                <m:rPr>
                  <m:sty m:val="p"/>
                </m:rPr>
                <w:rPr>
                  <w:rFonts w:ascii="Cambria Math" w:hAnsi="Cambria Math"/>
                </w:rPr>
                <m:t>-</m:t>
              </m:r>
              <m:nary>
                <m:naryPr>
                  <m:chr m:val="∑"/>
                  <m:limLoc m:val="undOvr"/>
                  <m:ctrlPr>
                    <w:rPr>
                      <w:rFonts w:ascii="Cambria Math" w:hAnsi="Cambria Math"/>
                    </w:rPr>
                  </m:ctrlPr>
                </m:naryPr>
                <m:sub>
                  <m:r>
                    <w:rPr>
                      <w:rFonts w:ascii="Cambria Math" w:hAnsi="Cambria Math"/>
                    </w:rPr>
                    <m:t>i</m:t>
                  </m:r>
                  <m:r>
                    <m:rPr>
                      <m:sty m:val="p"/>
                    </m:rPr>
                    <w:rPr>
                      <w:rFonts w:ascii="Cambria Math" w:hAnsi="Cambria Math"/>
                    </w:rPr>
                    <m:t>=1</m:t>
                  </m:r>
                </m:sub>
                <m:sup>
                  <m:r>
                    <m:rPr>
                      <m:sty m:val="p"/>
                    </m:rPr>
                    <w:rPr>
                      <w:rFonts w:ascii="Cambria Math" w:hAnsi="Cambria Math"/>
                    </w:rPr>
                    <m:t>3</m:t>
                  </m:r>
                </m:sup>
                <m:e>
                  <m:sSub>
                    <m:sSubPr>
                      <m:ctrlPr>
                        <w:rPr>
                          <w:rFonts w:ascii="Cambria Math" w:hAnsi="Cambria Math"/>
                        </w:rPr>
                      </m:ctrlPr>
                    </m:sSubPr>
                    <m:e>
                      <m:r>
                        <w:rPr>
                          <w:rFonts w:ascii="Cambria Math" w:hAnsi="Cambria Math"/>
                        </w:rPr>
                        <m:t>p</m:t>
                      </m:r>
                    </m:e>
                    <m:sub>
                      <m:r>
                        <w:rPr>
                          <w:rFonts w:ascii="Cambria Math" w:hAnsi="Cambria Math"/>
                        </w:rPr>
                        <m:t>i</m:t>
                      </m:r>
                    </m:sub>
                  </m:sSub>
                </m:e>
              </m:nary>
              <m:sSub>
                <m:sSubPr>
                  <m:ctrlPr>
                    <w:rPr>
                      <w:rFonts w:ascii="Cambria Math" w:hAnsi="Cambria Math"/>
                    </w:rPr>
                  </m:ctrlPr>
                </m:sSubPr>
                <m:e>
                  <m:acc>
                    <m:accPr>
                      <m:ctrlPr>
                        <w:rPr>
                          <w:rFonts w:ascii="Cambria Math" w:hAnsi="Cambria Math"/>
                        </w:rPr>
                      </m:ctrlPr>
                    </m:accPr>
                    <m:e>
                      <m:r>
                        <w:rPr>
                          <w:rFonts w:ascii="Cambria Math" w:hAnsi="Cambria Math"/>
                        </w:rPr>
                        <m:t>p</m:t>
                      </m:r>
                    </m:e>
                  </m:acc>
                </m:e>
                <m:sub>
                  <m:r>
                    <w:rPr>
                      <w:rFonts w:ascii="Cambria Math" w:hAnsi="Cambria Math"/>
                    </w:rPr>
                    <m:t>i</m:t>
                  </m:r>
                </m:sub>
              </m:sSub>
            </m:e>
          </m:d>
          <m:r>
            <m:rPr>
              <m:sty m:val="p"/>
            </m:rPr>
            <w:rPr>
              <w:rFonts w:ascii="Cambria Math" w:hAnsi="Cambria Math"/>
            </w:rPr>
            <m:t>/</m:t>
          </m:r>
          <m:d>
            <m:dPr>
              <m:ctrlPr>
                <w:rPr>
                  <w:rFonts w:ascii="Cambria Math" w:hAnsi="Cambria Math"/>
                </w:rPr>
              </m:ctrlPr>
            </m:dPr>
            <m:e>
              <m:r>
                <m:rPr>
                  <m:sty m:val="p"/>
                </m:rPr>
                <w:rPr>
                  <w:rFonts w:ascii="Cambria Math" w:hAnsi="Cambria Math"/>
                </w:rPr>
                <m:t>(1-</m:t>
              </m:r>
              <m:nary>
                <m:naryPr>
                  <m:chr m:val="∑"/>
                  <m:limLoc m:val="undOvr"/>
                  <m:ctrlPr>
                    <w:rPr>
                      <w:rFonts w:ascii="Cambria Math" w:hAnsi="Cambria Math"/>
                    </w:rPr>
                  </m:ctrlPr>
                </m:naryPr>
                <m:sub>
                  <m:r>
                    <w:rPr>
                      <w:rFonts w:ascii="Cambria Math" w:hAnsi="Cambria Math"/>
                    </w:rPr>
                    <m:t>i</m:t>
                  </m:r>
                  <m:r>
                    <m:rPr>
                      <m:sty m:val="p"/>
                    </m:rPr>
                    <w:rPr>
                      <w:rFonts w:ascii="Cambria Math" w:hAnsi="Cambria Math"/>
                    </w:rPr>
                    <m:t>=1</m:t>
                  </m:r>
                </m:sub>
                <m:sup>
                  <m:r>
                    <m:rPr>
                      <m:sty m:val="p"/>
                    </m:rPr>
                    <w:rPr>
                      <w:rFonts w:ascii="Cambria Math" w:hAnsi="Cambria Math"/>
                    </w:rPr>
                    <m:t>3</m:t>
                  </m:r>
                </m:sup>
                <m:e>
                  <m:sSub>
                    <m:sSubPr>
                      <m:ctrlPr>
                        <w:rPr>
                          <w:rFonts w:ascii="Cambria Math" w:hAnsi="Cambria Math"/>
                        </w:rPr>
                      </m:ctrlPr>
                    </m:sSubPr>
                    <m:e>
                      <m:r>
                        <w:rPr>
                          <w:rFonts w:ascii="Cambria Math" w:hAnsi="Cambria Math"/>
                        </w:rPr>
                        <m:t>p</m:t>
                      </m:r>
                    </m:e>
                    <m:sub>
                      <m:r>
                        <w:rPr>
                          <w:rFonts w:ascii="Cambria Math" w:hAnsi="Cambria Math"/>
                        </w:rPr>
                        <m:t>i</m:t>
                      </m:r>
                    </m:sub>
                  </m:sSub>
                </m:e>
              </m:nary>
              <m:sSub>
                <m:sSubPr>
                  <m:ctrlPr>
                    <w:rPr>
                      <w:rFonts w:ascii="Cambria Math" w:hAnsi="Cambria Math"/>
                    </w:rPr>
                  </m:ctrlPr>
                </m:sSubPr>
                <m:e>
                  <m:r>
                    <w:rPr>
                      <w:rFonts w:ascii="Cambria Math" w:hAnsi="Cambria Math"/>
                    </w:rPr>
                    <m:t>p</m:t>
                  </m:r>
                </m:e>
                <m:sub>
                  <m:r>
                    <w:rPr>
                      <w:rFonts w:ascii="Cambria Math" w:hAnsi="Cambria Math"/>
                    </w:rPr>
                    <m:t>i</m:t>
                  </m:r>
                </m:sub>
              </m:sSub>
              <m:r>
                <m:rPr>
                  <m:sty m:val="p"/>
                </m:rPr>
                <w:rPr>
                  <w:rFonts w:ascii="Cambria Math" w:hAnsi="Cambria Math"/>
                </w:rPr>
                <m:t>)</m:t>
              </m:r>
            </m:e>
          </m:d>
          <m:r>
            <m:rPr>
              <m:sty m:val="p"/>
            </m:rPr>
            <w:rPr>
              <w:rFonts w:ascii="Cambria Math" w:hAnsi="Cambria Math"/>
            </w:rPr>
            <m:t xml:space="preserve">    (6)</m:t>
          </m:r>
        </m:oMath>
      </m:oMathPara>
    </w:p>
    <w:p w14:paraId="0402E4D7" w14:textId="6E4E2BE3" w:rsidR="00CC1DFD" w:rsidRPr="00B24120" w:rsidRDefault="00CC1DFD" w:rsidP="00FA2B05">
      <w:pPr>
        <w:pStyle w:val="TAMainText"/>
      </w:pPr>
      <w:r w:rsidRPr="00B24120">
        <w:lastRenderedPageBreak/>
        <w:t xml:space="preserve">The </w:t>
      </w:r>
      <m:oMath>
        <m:sSub>
          <m:sSubPr>
            <m:ctrlPr>
              <w:rPr>
                <w:rFonts w:ascii="Cambria Math" w:hAnsi="Cambria Math"/>
                <w:i/>
              </w:rPr>
            </m:ctrlPr>
          </m:sSubPr>
          <m:e>
            <m:r>
              <w:rPr>
                <w:rFonts w:ascii="Cambria Math" w:hAnsi="Cambria Math"/>
              </w:rPr>
              <m:t>p</m:t>
            </m:r>
          </m:e>
          <m:sub>
            <m:r>
              <w:rPr>
                <w:rFonts w:ascii="Cambria Math" w:hAnsi="Cambria Math"/>
              </w:rPr>
              <m:t>ii</m:t>
            </m:r>
          </m:sub>
        </m:sSub>
      </m:oMath>
      <w:r w:rsidRPr="00B24120">
        <w:rPr>
          <w:i/>
          <w:iCs/>
          <w:vertAlign w:val="subscript"/>
        </w:rPr>
        <w:t xml:space="preserve"> </w:t>
      </w:r>
      <w:r w:rsidRPr="00B24120">
        <w:t xml:space="preserve">is the sample frequency when the observed and model predicted AQI is </w:t>
      </w:r>
      <w:proofErr w:type="spellStart"/>
      <w:r w:rsidRPr="00B24120">
        <w:t>i</w:t>
      </w:r>
      <w:proofErr w:type="spellEnd"/>
      <w:r w:rsidRPr="00B24120">
        <w:t xml:space="preserve">, and  </w:t>
      </w:r>
      <m:oMath>
        <m:sSub>
          <m:sSubPr>
            <m:ctrlPr>
              <w:rPr>
                <w:rFonts w:ascii="Cambria Math" w:hAnsi="Cambria Math"/>
                <w:i/>
              </w:rPr>
            </m:ctrlPr>
          </m:sSubPr>
          <m:e>
            <m:r>
              <w:rPr>
                <w:rFonts w:ascii="Cambria Math" w:hAnsi="Cambria Math"/>
              </w:rPr>
              <m:t>p</m:t>
            </m:r>
          </m:e>
          <m:sub>
            <m:r>
              <w:rPr>
                <w:rFonts w:ascii="Cambria Math" w:hAnsi="Cambria Math"/>
              </w:rPr>
              <m:t>i</m:t>
            </m:r>
          </m:sub>
        </m:sSub>
      </m:oMath>
      <w:r w:rsidRPr="00B24120">
        <w:t xml:space="preserve">and </w:t>
      </w:r>
      <m:oMath>
        <m:sSub>
          <m:sSubPr>
            <m:ctrlPr>
              <w:rPr>
                <w:rFonts w:ascii="Cambria Math" w:hAnsi="Cambria Math"/>
                <w:i/>
              </w:rPr>
            </m:ctrlPr>
          </m:sSubPr>
          <m:e>
            <m:acc>
              <m:accPr>
                <m:ctrlPr>
                  <w:rPr>
                    <w:rFonts w:ascii="Cambria Math" w:hAnsi="Cambria Math"/>
                    <w:i/>
                  </w:rPr>
                </m:ctrlPr>
              </m:accPr>
              <m:e>
                <m:r>
                  <w:rPr>
                    <w:rFonts w:ascii="Cambria Math" w:hAnsi="Cambria Math"/>
                  </w:rPr>
                  <m:t>p</m:t>
                </m:r>
              </m:e>
            </m:acc>
          </m:e>
          <m:sub>
            <m:r>
              <w:rPr>
                <w:rFonts w:ascii="Cambria Math" w:hAnsi="Cambria Math"/>
              </w:rPr>
              <m:t>i</m:t>
            </m:r>
          </m:sub>
        </m:sSub>
      </m:oMath>
      <w:r w:rsidRPr="00B24120">
        <w:t xml:space="preserve"> are the observed and model predicted sample frequency when AQI = i. The multi-category case is based on the simple yes or no case, and the skill scores, HSS and KSS have the same meaning as the simple case.</w:t>
      </w:r>
    </w:p>
    <w:p w14:paraId="7E11BFF4" w14:textId="77777777" w:rsidR="00CC1DFD" w:rsidRPr="00B24120" w:rsidRDefault="00CC1DFD" w:rsidP="00CC1DFD">
      <w:pPr>
        <w:spacing w:line="480" w:lineRule="auto"/>
        <w:ind w:firstLine="720"/>
        <w:rPr>
          <w:rFonts w:cstheme="minorHAnsi"/>
        </w:rPr>
      </w:pPr>
    </w:p>
    <w:p w14:paraId="09FDE828" w14:textId="40341455" w:rsidR="00CC1DFD" w:rsidRPr="00B24120" w:rsidRDefault="00CC1DFD" w:rsidP="00CC1DFD">
      <w:pPr>
        <w:pStyle w:val="Heading1"/>
        <w:spacing w:before="0" w:line="480" w:lineRule="auto"/>
        <w:rPr>
          <w:rFonts w:ascii="Times" w:hAnsi="Times" w:cstheme="minorHAnsi"/>
          <w:b/>
          <w:color w:val="000000" w:themeColor="text1"/>
        </w:rPr>
      </w:pPr>
      <w:r w:rsidRPr="00B24120">
        <w:rPr>
          <w:rFonts w:ascii="Times" w:hAnsi="Times" w:cstheme="minorHAnsi"/>
          <w:b/>
          <w:color w:val="000000" w:themeColor="text1"/>
        </w:rPr>
        <w:t xml:space="preserve">3. </w:t>
      </w:r>
      <w:r w:rsidR="007F10F3">
        <w:rPr>
          <w:rFonts w:ascii="Times" w:hAnsi="Times" w:cstheme="minorHAnsi"/>
          <w:b/>
          <w:color w:val="000000" w:themeColor="text1"/>
        </w:rPr>
        <w:t>RESULTS AND DISCUSSION</w:t>
      </w:r>
    </w:p>
    <w:p w14:paraId="6CC00B63" w14:textId="605FD4BC" w:rsidR="00CC1DFD" w:rsidRPr="00B24120" w:rsidRDefault="00CC1DFD" w:rsidP="00CC1DFD">
      <w:pPr>
        <w:pStyle w:val="Heading3"/>
        <w:spacing w:line="480" w:lineRule="auto"/>
        <w:rPr>
          <w:rFonts w:ascii="Times" w:hAnsi="Times" w:cstheme="minorHAnsi"/>
          <w:sz w:val="26"/>
          <w:szCs w:val="26"/>
        </w:rPr>
      </w:pPr>
      <w:r w:rsidRPr="00B24120">
        <w:rPr>
          <w:rFonts w:ascii="Times" w:hAnsi="Times" w:cstheme="minorHAnsi"/>
          <w:sz w:val="26"/>
          <w:szCs w:val="26"/>
        </w:rPr>
        <w:t>3.1</w:t>
      </w:r>
      <w:r w:rsidR="00E16FBA">
        <w:rPr>
          <w:rFonts w:ascii="Times" w:hAnsi="Times" w:cstheme="minorHAnsi"/>
          <w:sz w:val="26"/>
          <w:szCs w:val="26"/>
        </w:rPr>
        <w:t>.</w:t>
      </w:r>
      <w:r w:rsidRPr="00B24120">
        <w:rPr>
          <w:rFonts w:ascii="Times" w:hAnsi="Times" w:cstheme="minorHAnsi"/>
          <w:sz w:val="26"/>
          <w:szCs w:val="26"/>
        </w:rPr>
        <w:t xml:space="preserve"> Feature selection for machine learning models</w:t>
      </w:r>
    </w:p>
    <w:p w14:paraId="1E81D266" w14:textId="3E7B98E2" w:rsidR="00CC1DFD" w:rsidRPr="00B24120" w:rsidRDefault="00CC1DFD" w:rsidP="00CC1DFD">
      <w:pPr>
        <w:spacing w:line="480" w:lineRule="auto"/>
        <w:rPr>
          <w:rFonts w:cstheme="minorHAnsi"/>
        </w:rPr>
      </w:pPr>
      <w:r w:rsidRPr="00B24120">
        <w:rPr>
          <w:rFonts w:cstheme="minorHAnsi"/>
        </w:rPr>
        <w:t>There were 10 features for the RF classifier and regression model and 11 features for the MLR model. Too many features can cause an overfitting problem</w:t>
      </w:r>
      <w:r w:rsidR="008A1E89">
        <w:rPr>
          <w:rFonts w:cstheme="minorHAnsi"/>
        </w:rPr>
        <w:t>,</w:t>
      </w:r>
      <w:r w:rsidRPr="00B24120">
        <w:rPr>
          <w:rFonts w:cstheme="minorHAnsi"/>
        </w:rPr>
        <w:fldChar w:fldCharType="begin"/>
      </w:r>
      <w:r w:rsidR="00B24120">
        <w:rPr>
          <w:rFonts w:cstheme="minorHAnsi"/>
        </w:rPr>
        <w:instrText xml:space="preserve"> ADDIN ZOTERO_ITEM CSL_CITATION {"citationID":"P97S8LdG","properties":{"formattedCitation":"\\super 33\\nosupersub{}","plainCitation":"33","noteIndex":0},"citationItems":[{"id":502,"uris":["http://zotero.org/users/4238889/items/QY8PIXYZ"],"uri":["http://zotero.org/users/4238889/items/QY8PIXYZ"],"itemData":{"id":502,"type":"book","ISBN":"0-262-30432-5","publisher":"MIT press","title":"Machine learning: a probabilistic perspective","author":[{"family":"Murphy","given":"Kevin P"}],"issued":{"date-parts":[["2012"]]}}}],"schema":"https://github.com/citation-style-language/schema/raw/master/csl-citation.json"} </w:instrText>
      </w:r>
      <w:r w:rsidRPr="00B24120">
        <w:rPr>
          <w:rFonts w:cstheme="minorHAnsi"/>
        </w:rPr>
        <w:fldChar w:fldCharType="separate"/>
      </w:r>
      <w:r w:rsidR="008A1E89" w:rsidRPr="008A1E89">
        <w:rPr>
          <w:vertAlign w:val="superscript"/>
        </w:rPr>
        <w:t>33</w:t>
      </w:r>
      <w:r w:rsidRPr="00B24120">
        <w:rPr>
          <w:rFonts w:cstheme="minorHAnsi"/>
        </w:rPr>
        <w:fldChar w:fldCharType="end"/>
      </w:r>
      <w:r w:rsidRPr="00B24120">
        <w:rPr>
          <w:rFonts w:cstheme="minorHAnsi"/>
        </w:rPr>
        <w:t xml:space="preserve"> so the attributes </w:t>
      </w:r>
      <w:proofErr w:type="spellStart"/>
      <w:r w:rsidRPr="00B24120">
        <w:rPr>
          <w:rFonts w:cstheme="minorHAnsi"/>
          <w:i/>
          <w:iCs/>
        </w:rPr>
        <w:t>feature_importances</w:t>
      </w:r>
      <w:proofErr w:type="spellEnd"/>
      <w:r w:rsidRPr="00B24120">
        <w:rPr>
          <w:rFonts w:cstheme="minorHAnsi"/>
          <w:i/>
          <w:iCs/>
        </w:rPr>
        <w:t>_</w:t>
      </w:r>
      <w:r w:rsidRPr="00B24120">
        <w:rPr>
          <w:rFonts w:cstheme="minorHAnsi"/>
        </w:rPr>
        <w:t xml:space="preserve"> in function </w:t>
      </w:r>
      <w:proofErr w:type="spellStart"/>
      <w:r w:rsidRPr="00B24120">
        <w:rPr>
          <w:rFonts w:cstheme="minorHAnsi"/>
          <w:i/>
        </w:rPr>
        <w:t>RandomForestClassifier</w:t>
      </w:r>
      <w:proofErr w:type="spellEnd"/>
      <w:r w:rsidRPr="00B24120">
        <w:rPr>
          <w:rFonts w:cstheme="minorHAnsi"/>
          <w:i/>
        </w:rPr>
        <w:t>/</w:t>
      </w:r>
      <w:proofErr w:type="spellStart"/>
      <w:r w:rsidRPr="00B24120">
        <w:rPr>
          <w:rFonts w:cstheme="minorHAnsi"/>
          <w:i/>
        </w:rPr>
        <w:t>RandomForestRegressor</w:t>
      </w:r>
      <w:proofErr w:type="spellEnd"/>
      <w:r w:rsidRPr="00B24120">
        <w:rPr>
          <w:rFonts w:cstheme="minorHAnsi"/>
        </w:rPr>
        <w:t xml:space="preserve"> and </w:t>
      </w:r>
      <w:r w:rsidRPr="00B24120">
        <w:rPr>
          <w:rFonts w:cstheme="minorHAnsi"/>
          <w:i/>
          <w:iCs/>
        </w:rPr>
        <w:t>ranking_</w:t>
      </w:r>
      <w:r w:rsidRPr="00B24120">
        <w:rPr>
          <w:rFonts w:cstheme="minorHAnsi"/>
        </w:rPr>
        <w:t xml:space="preserve"> in </w:t>
      </w:r>
      <w:r w:rsidRPr="00B24120">
        <w:rPr>
          <w:rFonts w:cstheme="minorHAnsi"/>
          <w:i/>
        </w:rPr>
        <w:t>RFE</w:t>
      </w:r>
      <w:r w:rsidRPr="00B24120">
        <w:rPr>
          <w:rFonts w:cstheme="minorHAnsi"/>
        </w:rPr>
        <w:t xml:space="preserve"> were used to do the feature selection. The selected features were input to train the model.</w:t>
      </w:r>
    </w:p>
    <w:p w14:paraId="7571493A" w14:textId="054AE0CE" w:rsidR="00CC1DFD" w:rsidRPr="00B24120" w:rsidRDefault="00CC1DFD" w:rsidP="00FA2B05">
      <w:pPr>
        <w:pStyle w:val="TAMainText"/>
      </w:pPr>
      <w:r w:rsidRPr="00B24120">
        <w:t>There were two components in ML1, RF classifier and MLR model. For an RF model, the feature selection function with the default setting computed the importance weights, and the features whose weight was above the mean weight were selected. The feature weights could change in each training process, but the ranking showed very little variation. The previous day O</w:t>
      </w:r>
      <w:r w:rsidRPr="00B24120">
        <w:rPr>
          <w:vertAlign w:val="subscript"/>
        </w:rPr>
        <w:t>3</w:t>
      </w:r>
      <w:r w:rsidRPr="00B24120">
        <w:t xml:space="preserve"> observation, temperature and hour were the primary features selected, and the relative humidity was selected in some cases. The default number of selected features for MLR was half of the total features available, so two more features were chosen by the built-in feature selection function, in addition to the three primary features:</w:t>
      </w:r>
      <w:r w:rsidR="00F913BF">
        <w:t xml:space="preserve"> t</w:t>
      </w:r>
      <w:r w:rsidR="00F913BF" w:rsidRPr="00B24120">
        <w:t>he previous day O</w:t>
      </w:r>
      <w:r w:rsidR="00F913BF" w:rsidRPr="00B24120">
        <w:rPr>
          <w:vertAlign w:val="subscript"/>
        </w:rPr>
        <w:t>3</w:t>
      </w:r>
      <w:r w:rsidR="00F913BF" w:rsidRPr="00B24120">
        <w:t xml:space="preserve"> observation, temperature</w:t>
      </w:r>
      <w:r w:rsidR="00F913BF">
        <w:t>, relative humidity,</w:t>
      </w:r>
      <w:r w:rsidRPr="00B24120">
        <w:t xml:space="preserve"> AQI category, and </w:t>
      </w:r>
      <w:r w:rsidR="003A7B7E">
        <w:t>surface</w:t>
      </w:r>
      <w:r w:rsidRPr="00B24120">
        <w:t xml:space="preserve"> pressure. The output of each framework was hourly O</w:t>
      </w:r>
      <w:r w:rsidRPr="00B24120">
        <w:rPr>
          <w:vertAlign w:val="subscript"/>
        </w:rPr>
        <w:t>3</w:t>
      </w:r>
      <w:r w:rsidRPr="00B24120">
        <w:t xml:space="preserve"> mixing ratios for </w:t>
      </w:r>
      <w:r w:rsidRPr="00B24120">
        <w:lastRenderedPageBreak/>
        <w:t>each 72-hour forecast.  For evaluation purposes, these forecast values were compiled into the maximum daily 8-hour moving average O</w:t>
      </w:r>
      <w:r w:rsidRPr="00B24120">
        <w:rPr>
          <w:vertAlign w:val="subscript"/>
        </w:rPr>
        <w:t>3</w:t>
      </w:r>
      <w:r w:rsidRPr="00B24120">
        <w:t xml:space="preserve"> (MDA8).  </w:t>
      </w:r>
    </w:p>
    <w:p w14:paraId="16131C6D" w14:textId="44EB03D8" w:rsidR="00CC1DFD" w:rsidRPr="00B24120" w:rsidRDefault="00CC1DFD" w:rsidP="00FA2B05">
      <w:pPr>
        <w:pStyle w:val="TAMainText"/>
      </w:pPr>
      <w:r w:rsidRPr="00B24120">
        <w:t>The feature selection function for RF regression was the same as the RF classifier model. Temperature, previous O</w:t>
      </w:r>
      <w:r w:rsidRPr="00B24120">
        <w:rPr>
          <w:vertAlign w:val="subscript"/>
        </w:rPr>
        <w:t>3</w:t>
      </w:r>
      <w:r w:rsidRPr="00B24120">
        <w:t xml:space="preserve"> observation</w:t>
      </w:r>
      <w:r w:rsidR="000241D6">
        <w:t>,</w:t>
      </w:r>
      <w:r w:rsidRPr="00B24120">
        <w:t xml:space="preserve"> </w:t>
      </w:r>
      <w:r w:rsidR="000241D6" w:rsidRPr="00B24120">
        <w:t>PBL height</w:t>
      </w:r>
      <w:r w:rsidR="000241D6">
        <w:t xml:space="preserve"> or relative humidity</w:t>
      </w:r>
      <w:r w:rsidR="000241D6" w:rsidRPr="00B24120">
        <w:t xml:space="preserve">, </w:t>
      </w:r>
      <w:r w:rsidRPr="00B24120">
        <w:t>were the selected features for the first phase RF regression model, and the temperature and hour were selected for the second phase.</w:t>
      </w:r>
    </w:p>
    <w:p w14:paraId="763639DE" w14:textId="77777777" w:rsidR="00CC1DFD" w:rsidRPr="00B24120" w:rsidRDefault="00CC1DFD" w:rsidP="00CC1DFD">
      <w:pPr>
        <w:spacing w:line="480" w:lineRule="auto"/>
        <w:ind w:firstLine="720"/>
        <w:rPr>
          <w:rFonts w:cstheme="minorHAnsi"/>
        </w:rPr>
      </w:pPr>
    </w:p>
    <w:p w14:paraId="1956E34D" w14:textId="57712482" w:rsidR="00CC1DFD" w:rsidRPr="00B24120" w:rsidRDefault="00CC1DFD" w:rsidP="00CC1DFD">
      <w:pPr>
        <w:pStyle w:val="Heading3"/>
        <w:spacing w:line="480" w:lineRule="auto"/>
        <w:rPr>
          <w:rFonts w:ascii="Times" w:hAnsi="Times" w:cstheme="minorHAnsi"/>
          <w:sz w:val="26"/>
          <w:szCs w:val="26"/>
        </w:rPr>
      </w:pPr>
      <w:r w:rsidRPr="00B24120">
        <w:rPr>
          <w:rFonts w:ascii="Times" w:hAnsi="Times" w:cstheme="minorHAnsi"/>
          <w:sz w:val="26"/>
          <w:szCs w:val="26"/>
        </w:rPr>
        <w:t>3.2</w:t>
      </w:r>
      <w:r w:rsidR="00E16FBA">
        <w:rPr>
          <w:rFonts w:ascii="Times" w:hAnsi="Times" w:cstheme="minorHAnsi"/>
          <w:sz w:val="26"/>
          <w:szCs w:val="26"/>
        </w:rPr>
        <w:t>.</w:t>
      </w:r>
      <w:r w:rsidRPr="00B24120">
        <w:rPr>
          <w:rFonts w:ascii="Times" w:hAnsi="Times" w:cstheme="minorHAnsi"/>
          <w:sz w:val="26"/>
          <w:szCs w:val="26"/>
        </w:rPr>
        <w:t xml:space="preserve"> Machine learning model evaluation</w:t>
      </w:r>
    </w:p>
    <w:p w14:paraId="355AB8F2" w14:textId="1D11BD97" w:rsidR="00CC1DFD" w:rsidRPr="00B24120" w:rsidRDefault="00CC1DFD" w:rsidP="00CC1DFD">
      <w:pPr>
        <w:spacing w:line="480" w:lineRule="auto"/>
        <w:rPr>
          <w:rFonts w:cstheme="minorHAnsi"/>
        </w:rPr>
      </w:pPr>
      <w:r w:rsidRPr="00B24120">
        <w:rPr>
          <w:rFonts w:cstheme="minorHAnsi"/>
        </w:rPr>
        <w:t>Cross-validation is commonly used for the model evaluation, and it can test the subset of the dataset with an equal chance</w:t>
      </w:r>
      <w:r w:rsidR="008A1E89">
        <w:rPr>
          <w:rFonts w:cstheme="minorHAnsi"/>
        </w:rPr>
        <w:t>.</w:t>
      </w:r>
      <w:r w:rsidRPr="00B24120">
        <w:rPr>
          <w:rFonts w:cstheme="minorHAnsi"/>
        </w:rPr>
        <w:fldChar w:fldCharType="begin"/>
      </w:r>
      <w:r w:rsidR="00B24120">
        <w:rPr>
          <w:rFonts w:cstheme="minorHAnsi"/>
        </w:rPr>
        <w:instrText xml:space="preserve"> ADDIN ZOTERO_ITEM CSL_CITATION {"citationID":"vyLSCOpw","properties":{"formattedCitation":"\\super 34\\nosupersub{}","plainCitation":"34","noteIndex":0},"citationItems":[{"id":528,"uris":["http://zotero.org/users/4238889/items/45DGANKI"],"uri":["http://zotero.org/users/4238889/items/45DGANKI"],"itemData":{"id":528,"type":"article-journal","abstract":"The correct use of model evaluation, model selection, and algorithm selection techniques is vital in academic machine learning research as well as in many industrial settings. This article reviews different techniques that can be used for each of these three subtasks and discusses the main advantages and disadvantages of each technique with references to theoretical and empirical studies. Further, recommendations are given to encourage best yet feasible practices in research and applications of machine learning. Common methods such as the holdout method for model evaluation and selection are covered, which are not recommended when working with small datasets. Different ﬂavors of the bootstrap technique are introduced for estimating the uncertainty of performance estimates, as an alternative to conﬁdence intervals via normal approximation if bootstrapping is computationally feasible. Common cross-validation techniques such as leave-oneout cross-validation and k-fold cross-validation are reviewed, the bias-variance trade-off for choosing k is discussed, and practical tips for the optimal choice of k are given based on empirical evidence. Different statistical tests for algorithm comparisons are presented, and strategies for dealing with multiple comparisons such as omnibus tests and multiple-comparison corrections are discussed. Finally, alternative methods for algorithm selection, such as the combined F -test 5x2 crossvalidation and nested cross-validation, are recommended for comparing machine learning algorithms when datasets are small.","container-title":"arXiv:1811.12808 [cs, stat]","language":"en","note":"arXiv: 1811.12808","source":"arXiv.org","title":"Model Evaluation, Model Selection, and Algorithm Selection in Machine Learning","URL":"http://arxiv.org/abs/1811.12808","author":[{"family":"Raschka","given":"Sebastian"}],"accessed":{"date-parts":[["2020",3,30]]},"issued":{"date-parts":[["2018",12,2]]}}}],"schema":"https://github.com/citation-style-language/schema/raw/master/csl-citation.json"} </w:instrText>
      </w:r>
      <w:r w:rsidRPr="00B24120">
        <w:rPr>
          <w:rFonts w:cstheme="minorHAnsi"/>
        </w:rPr>
        <w:fldChar w:fldCharType="separate"/>
      </w:r>
      <w:r w:rsidR="008A1E89" w:rsidRPr="008A1E89">
        <w:rPr>
          <w:vertAlign w:val="superscript"/>
        </w:rPr>
        <w:t>34</w:t>
      </w:r>
      <w:r w:rsidRPr="00B24120">
        <w:rPr>
          <w:rFonts w:cstheme="minorHAnsi"/>
        </w:rPr>
        <w:fldChar w:fldCharType="end"/>
      </w:r>
      <w:r w:rsidRPr="00B24120">
        <w:rPr>
          <w:rFonts w:cstheme="minorHAnsi"/>
        </w:rPr>
        <w:t xml:space="preserve"> There are various cross-validation methods, such as leave-one-out, k-fold, etc. Here, the 10-time 10-fold and walk-forward cross-validation were used to evaluate the two modeling frameworks. The input data were the primary WRF output, time information and historical O</w:t>
      </w:r>
      <w:r w:rsidRPr="00B24120">
        <w:rPr>
          <w:rFonts w:cstheme="minorHAnsi"/>
          <w:vertAlign w:val="subscript"/>
        </w:rPr>
        <w:t>3</w:t>
      </w:r>
      <w:r w:rsidRPr="00B24120">
        <w:rPr>
          <w:rFonts w:cstheme="minorHAnsi"/>
        </w:rPr>
        <w:t xml:space="preserve"> observations in Kennewick.</w:t>
      </w:r>
    </w:p>
    <w:p w14:paraId="7475E9B0" w14:textId="77777777" w:rsidR="00CC1DFD" w:rsidRPr="00B24120" w:rsidRDefault="00CC1DFD" w:rsidP="00CC1DFD">
      <w:pPr>
        <w:spacing w:line="480" w:lineRule="auto"/>
        <w:rPr>
          <w:rFonts w:cstheme="minorHAnsi"/>
        </w:rPr>
      </w:pPr>
    </w:p>
    <w:p w14:paraId="6A92F39B" w14:textId="77777777" w:rsidR="00CC1DFD" w:rsidRPr="00B24120" w:rsidRDefault="00CC1DFD" w:rsidP="00CC1DFD">
      <w:pPr>
        <w:spacing w:line="480" w:lineRule="auto"/>
        <w:rPr>
          <w:rFonts w:cstheme="minorHAnsi"/>
        </w:rPr>
      </w:pPr>
      <w:r w:rsidRPr="00B24120">
        <w:rPr>
          <w:rFonts w:cstheme="minorHAnsi"/>
        </w:rPr>
        <w:t>3.2.1 10-time 10-fold cross-validation</w:t>
      </w:r>
    </w:p>
    <w:p w14:paraId="22986617" w14:textId="1805CE11" w:rsidR="00CC1DFD" w:rsidRPr="00B24120" w:rsidRDefault="00CC1DFD" w:rsidP="00CC1DFD">
      <w:pPr>
        <w:spacing w:line="480" w:lineRule="auto"/>
        <w:rPr>
          <w:rFonts w:cstheme="minorHAnsi"/>
        </w:rPr>
      </w:pPr>
      <w:r w:rsidRPr="00B24120">
        <w:rPr>
          <w:rFonts w:cstheme="minorHAnsi"/>
        </w:rPr>
        <w:t>The k-fold cross-validation may be the most commonly used technique for the model evaluation</w:t>
      </w:r>
      <w:r w:rsidR="008A1E89">
        <w:rPr>
          <w:rFonts w:cstheme="minorHAnsi"/>
        </w:rPr>
        <w:t>.</w:t>
      </w:r>
      <w:r w:rsidRPr="00B24120">
        <w:rPr>
          <w:rFonts w:cstheme="minorHAnsi"/>
        </w:rPr>
        <w:fldChar w:fldCharType="begin"/>
      </w:r>
      <w:r w:rsidR="00B24120">
        <w:rPr>
          <w:rFonts w:cstheme="minorHAnsi"/>
        </w:rPr>
        <w:instrText xml:space="preserve"> ADDIN ZOTERO_ITEM CSL_CITATION {"citationID":"hc4AGQhX","properties":{"formattedCitation":"\\super 34\\nosupersub{}","plainCitation":"34","noteIndex":0},"citationItems":[{"id":528,"uris":["http://zotero.org/users/4238889/items/45DGANKI"],"uri":["http://zotero.org/users/4238889/items/45DGANKI"],"itemData":{"id":528,"type":"article-journal","abstract":"The correct use of model evaluation, model selection, and algorithm selection techniques is vital in academic machine learning research as well as in many industrial settings. This article reviews different techniques that can be used for each of these three subtasks and discusses the main advantages and disadvantages of each technique with references to theoretical and empirical studies. Further, recommendations are given to encourage best yet feasible practices in research and applications of machine learning. Common methods such as the holdout method for model evaluation and selection are covered, which are not recommended when working with small datasets. Different ﬂavors of the bootstrap technique are introduced for estimating the uncertainty of performance estimates, as an alternative to conﬁdence intervals via normal approximation if bootstrapping is computationally feasible. Common cross-validation techniques such as leave-oneout cross-validation and k-fold cross-validation are reviewed, the bias-variance trade-off for choosing k is discussed, and practical tips for the optimal choice of k are given based on empirical evidence. Different statistical tests for algorithm comparisons are presented, and strategies for dealing with multiple comparisons such as omnibus tests and multiple-comparison corrections are discussed. Finally, alternative methods for algorithm selection, such as the combined F -test 5x2 crossvalidation and nested cross-validation, are recommended for comparing machine learning algorithms when datasets are small.","container-title":"arXiv:1811.12808 [cs, stat]","language":"en","note":"arXiv: 1811.12808","source":"arXiv.org","title":"Model Evaluation, Model Selection, and Algorithm Selection in Machine Learning","URL":"http://arxiv.org/abs/1811.12808","author":[{"family":"Raschka","given":"Sebastian"}],"accessed":{"date-parts":[["2020",3,30]]},"issued":{"date-parts":[["2018",12,2]]}}}],"schema":"https://github.com/citation-style-language/schema/raw/master/csl-citation.json"} </w:instrText>
      </w:r>
      <w:r w:rsidRPr="00B24120">
        <w:rPr>
          <w:rFonts w:cstheme="minorHAnsi"/>
        </w:rPr>
        <w:fldChar w:fldCharType="separate"/>
      </w:r>
      <w:r w:rsidR="008A1E89" w:rsidRPr="008A1E89">
        <w:rPr>
          <w:vertAlign w:val="superscript"/>
        </w:rPr>
        <w:t>34</w:t>
      </w:r>
      <w:r w:rsidRPr="00B24120">
        <w:rPr>
          <w:rFonts w:cstheme="minorHAnsi"/>
        </w:rPr>
        <w:fldChar w:fldCharType="end"/>
      </w:r>
      <w:r w:rsidRPr="00B24120">
        <w:rPr>
          <w:rFonts w:cstheme="minorHAnsi"/>
        </w:rPr>
        <w:t xml:space="preserve"> It divides the dataset into k randomly chosen parts (k=10 in this research), and k-1 parts are used to train the model, the remaining portion is used to test the model, and this process is repeated k times to test all k subsets. The </w:t>
      </w:r>
      <w:proofErr w:type="spellStart"/>
      <w:r w:rsidRPr="00B24120">
        <w:rPr>
          <w:rFonts w:cstheme="minorHAnsi"/>
          <w:i/>
        </w:rPr>
        <w:t>RepeatedKFold</w:t>
      </w:r>
      <w:proofErr w:type="spellEnd"/>
      <w:r w:rsidRPr="00B24120">
        <w:rPr>
          <w:rFonts w:cstheme="minorHAnsi"/>
        </w:rPr>
        <w:t xml:space="preserve"> function in the python module </w:t>
      </w:r>
      <w:proofErr w:type="spellStart"/>
      <w:r w:rsidRPr="00B24120">
        <w:rPr>
          <w:rFonts w:cstheme="minorHAnsi"/>
          <w:i/>
        </w:rPr>
        <w:t>sklearn</w:t>
      </w:r>
      <w:proofErr w:type="spellEnd"/>
      <w:r w:rsidRPr="00B24120">
        <w:rPr>
          <w:rFonts w:cstheme="minorHAnsi"/>
        </w:rPr>
        <w:t xml:space="preserve"> was used to separate the dataset. To avoid any bias from data separation, the k-fold cross-validation was repeated 10 times in this research. </w:t>
      </w:r>
    </w:p>
    <w:p w14:paraId="4B913F98" w14:textId="77777777" w:rsidR="00CC1DFD" w:rsidRPr="00B24120" w:rsidRDefault="00CC1DFD" w:rsidP="00FA2B05">
      <w:pPr>
        <w:pStyle w:val="TAMainText"/>
      </w:pPr>
      <w:r w:rsidRPr="00B24120">
        <w:lastRenderedPageBreak/>
        <w:t xml:space="preserve">The NMB for these 10-time cross-validation was 6.3% </w:t>
      </w:r>
      <w:r w:rsidRPr="00B24120">
        <w:sym w:font="Symbol" w:char="F0B1"/>
      </w:r>
      <w:r w:rsidRPr="00B24120">
        <w:t xml:space="preserve"> 0.2% for ML1 and 0 </w:t>
      </w:r>
      <w:r w:rsidRPr="00B24120">
        <w:sym w:font="Symbol" w:char="F0B1"/>
      </w:r>
      <w:r w:rsidRPr="00B24120">
        <w:t xml:space="preserve"> 0.1% for ML2. The AIRPACT NMB was -9.3%, which was lower than ML1 and ML2. The standard deviations show that there is no significant difference among each repeat, and the model performance is stable.</w:t>
      </w:r>
    </w:p>
    <w:p w14:paraId="1E418FC0" w14:textId="7E97BC44" w:rsidR="00CC1DFD" w:rsidRPr="00B24120" w:rsidRDefault="00CC1DFD" w:rsidP="00FA2B05">
      <w:pPr>
        <w:pStyle w:val="TAMainText"/>
      </w:pPr>
      <w:r w:rsidRPr="00B24120">
        <w:t xml:space="preserve">The Q-Q plots in </w:t>
      </w:r>
      <w:r w:rsidR="00E16FBA">
        <w:t>Figure</w:t>
      </w:r>
      <w:r w:rsidRPr="00B24120">
        <w:t xml:space="preserve"> </w:t>
      </w:r>
      <w:r w:rsidR="00563C42">
        <w:t>2A</w:t>
      </w:r>
      <w:r w:rsidRPr="00B24120">
        <w:t xml:space="preserve"> show the comparison between the model predictions and observations. AIRPACT underpredicted the MDA8 for MDA8 lower than 70 ppb. For MDA8 higher than 70 ppb, AIRPACT tended to predict the DMA8 close to the 1:1 line, but there were several extremely high predictions from AIRPACT which were not shown in </w:t>
      </w:r>
      <w:r w:rsidR="00E16FBA">
        <w:t>Figure</w:t>
      </w:r>
      <w:r w:rsidRPr="00B24120">
        <w:t xml:space="preserve"> </w:t>
      </w:r>
      <w:r w:rsidR="00563C42">
        <w:t>2A</w:t>
      </w:r>
      <w:r w:rsidRPr="00B24120">
        <w:t>. ML1 and ML2 were close to the 1:1 line when the MDA8 was lower than 45 ppb.  ML1 was close to the 1:1 line for MDA8 in the 60 – 70 ppb range. For high MDA8 cases (&gt; 70 ppb), ML1 showed the best performance.</w:t>
      </w:r>
    </w:p>
    <w:p w14:paraId="66CE14A9" w14:textId="34717E42" w:rsidR="00CC1DFD" w:rsidRPr="00B24120" w:rsidRDefault="00563C42" w:rsidP="00CC1DFD">
      <w:pPr>
        <w:jc w:val="center"/>
        <w:rPr>
          <w:rFonts w:cstheme="minorHAnsi"/>
        </w:rPr>
      </w:pPr>
      <w:r w:rsidRPr="00563C42">
        <w:rPr>
          <w:rFonts w:cstheme="minorHAnsi"/>
          <w:b/>
          <w:bCs/>
        </w:rPr>
        <w:t>A</w:t>
      </w:r>
      <w:r w:rsidR="00A076AA" w:rsidRPr="00A076AA">
        <w:rPr>
          <w:rFonts w:cstheme="minorHAnsi"/>
          <w:b/>
          <w:bCs/>
          <w:noProof/>
        </w:rPr>
        <w:drawing>
          <wp:inline distT="0" distB="0" distL="0" distR="0" wp14:anchorId="34A255F7" wp14:editId="0495C8D3">
            <wp:extent cx="1933956" cy="1719072"/>
            <wp:effectExtent l="0" t="0" r="0" b="0"/>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33956" cy="1719072"/>
                    </a:xfrm>
                    <a:prstGeom prst="rect">
                      <a:avLst/>
                    </a:prstGeom>
                  </pic:spPr>
                </pic:pic>
              </a:graphicData>
            </a:graphic>
          </wp:inline>
        </w:drawing>
      </w:r>
      <w:r>
        <w:rPr>
          <w:rFonts w:cstheme="minorHAnsi"/>
          <w:b/>
          <w:bCs/>
        </w:rPr>
        <w:t>B</w:t>
      </w:r>
      <w:r w:rsidR="00A076AA" w:rsidRPr="00A076AA">
        <w:rPr>
          <w:rFonts w:cstheme="minorHAnsi"/>
          <w:noProof/>
        </w:rPr>
        <w:drawing>
          <wp:inline distT="0" distB="0" distL="0" distR="0" wp14:anchorId="45ABDB00" wp14:editId="536BC549">
            <wp:extent cx="1933956" cy="1719072"/>
            <wp:effectExtent l="0" t="0" r="0" b="0"/>
            <wp:docPr id="16" name="Picture 1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33956" cy="1719072"/>
                    </a:xfrm>
                    <a:prstGeom prst="rect">
                      <a:avLst/>
                    </a:prstGeom>
                  </pic:spPr>
                </pic:pic>
              </a:graphicData>
            </a:graphic>
          </wp:inline>
        </w:drawing>
      </w:r>
    </w:p>
    <w:p w14:paraId="0AFB7788" w14:textId="74894F34" w:rsidR="00CC1DFD" w:rsidRPr="00B24120" w:rsidRDefault="00E16FBA" w:rsidP="00FA2B05">
      <w:pPr>
        <w:pStyle w:val="VAFigureCaption"/>
      </w:pPr>
      <w:r>
        <w:rPr>
          <w:b/>
          <w:bCs/>
        </w:rPr>
        <w:t>Figure</w:t>
      </w:r>
      <w:r w:rsidR="00CC1DFD" w:rsidRPr="00730648">
        <w:rPr>
          <w:b/>
          <w:bCs/>
        </w:rPr>
        <w:t xml:space="preserve"> </w:t>
      </w:r>
      <w:r w:rsidR="00857004">
        <w:rPr>
          <w:b/>
          <w:bCs/>
        </w:rPr>
        <w:t>2</w:t>
      </w:r>
      <w:r w:rsidR="00CC1DFD" w:rsidRPr="00B24120">
        <w:t xml:space="preserve">. Q-Q plots of averaged model vs. observed MDA8 </w:t>
      </w:r>
      <w:r w:rsidR="00857004">
        <w:t>(</w:t>
      </w:r>
      <w:r w:rsidR="00563C42">
        <w:t>A</w:t>
      </w:r>
      <w:r w:rsidR="00857004">
        <w:t xml:space="preserve">) </w:t>
      </w:r>
      <w:r w:rsidR="00CC1DFD" w:rsidRPr="00B24120">
        <w:t>during May – September 2015 – 2018 based on the 10 times 10-fold cross-validation</w:t>
      </w:r>
      <w:r w:rsidR="00857004">
        <w:t xml:space="preserve"> (</w:t>
      </w:r>
      <w:r w:rsidR="00563C42">
        <w:t>B</w:t>
      </w:r>
      <w:r w:rsidR="00857004">
        <w:t xml:space="preserve">) </w:t>
      </w:r>
      <w:r w:rsidR="00857004" w:rsidRPr="00B24120">
        <w:t>during May – September 2017 – 2018 based on the walk-forward cross-validation</w:t>
      </w:r>
    </w:p>
    <w:p w14:paraId="77BB4835" w14:textId="77777777" w:rsidR="00CC1DFD" w:rsidRPr="00B24120" w:rsidRDefault="00CC1DFD" w:rsidP="00CC1DFD">
      <w:pPr>
        <w:spacing w:line="480" w:lineRule="auto"/>
        <w:rPr>
          <w:rFonts w:cstheme="minorHAnsi"/>
        </w:rPr>
      </w:pPr>
    </w:p>
    <w:p w14:paraId="543470F2" w14:textId="7BB617F8" w:rsidR="00CC1DFD" w:rsidRPr="00B24120" w:rsidRDefault="00CC1DFD" w:rsidP="00FA2B05">
      <w:pPr>
        <w:pStyle w:val="TAMainText"/>
      </w:pPr>
      <w:r w:rsidRPr="00B24120">
        <w:t xml:space="preserve">The highest 10 observed MDA8 during 2015 – 2018 and their model predictions were selected and shown in </w:t>
      </w:r>
      <w:r w:rsidR="00E16FBA">
        <w:t>Figure</w:t>
      </w:r>
      <w:r w:rsidRPr="00B24120">
        <w:t xml:space="preserve"> </w:t>
      </w:r>
      <w:r w:rsidR="00563C42">
        <w:t>2B</w:t>
      </w:r>
      <w:r w:rsidRPr="00B24120">
        <w:t xml:space="preserve">.  ML2 and AIRPACT underpredicted all 10 cases, and ML1 provided </w:t>
      </w:r>
      <w:r w:rsidRPr="00B24120">
        <w:lastRenderedPageBreak/>
        <w:t>close predictions for 7 out of 10. These results show that ML1 performs better for high O</w:t>
      </w:r>
      <w:r w:rsidRPr="00B24120">
        <w:rPr>
          <w:vertAlign w:val="subscript"/>
        </w:rPr>
        <w:t>3</w:t>
      </w:r>
      <w:r w:rsidRPr="00B24120">
        <w:t xml:space="preserve"> events, and results from the Q-Q plot also confirms this.   The two ML models showed a similar trend, and they both largely underpredicted 3 cases. So, they may miss the same factor which led to the high MDA8. The highest O</w:t>
      </w:r>
      <w:r w:rsidRPr="00B24120">
        <w:rPr>
          <w:vertAlign w:val="subscript"/>
        </w:rPr>
        <w:t>3</w:t>
      </w:r>
      <w:r w:rsidRPr="00B24120">
        <w:t xml:space="preserve"> day was affected by the wildfire smoke, and all models missed it.</w:t>
      </w:r>
    </w:p>
    <w:p w14:paraId="3D200A4B" w14:textId="607A6D06" w:rsidR="00857004" w:rsidRDefault="00563C42" w:rsidP="00213A9F">
      <w:pPr>
        <w:spacing w:line="480" w:lineRule="auto"/>
        <w:jc w:val="center"/>
        <w:rPr>
          <w:rFonts w:cstheme="minorHAnsi"/>
        </w:rPr>
      </w:pPr>
      <w:r w:rsidRPr="00563C42">
        <w:rPr>
          <w:rFonts w:cstheme="minorHAnsi"/>
          <w:b/>
          <w:bCs/>
        </w:rPr>
        <w:t>A</w:t>
      </w:r>
      <w:r w:rsidR="00A076AA" w:rsidRPr="00A076AA">
        <w:rPr>
          <w:rFonts w:cstheme="minorHAnsi"/>
          <w:b/>
          <w:bCs/>
          <w:noProof/>
        </w:rPr>
        <w:drawing>
          <wp:inline distT="0" distB="0" distL="0" distR="0" wp14:anchorId="056D8D13" wp14:editId="53B55C9D">
            <wp:extent cx="2360140" cy="1718945"/>
            <wp:effectExtent l="0" t="0" r="2540" b="0"/>
            <wp:docPr id="18" name="Picture 18" descr="A picture containing implement, stationary,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7619"/>
                    <a:stretch/>
                  </pic:blipFill>
                  <pic:spPr bwMode="auto">
                    <a:xfrm>
                      <a:off x="0" y="0"/>
                      <a:ext cx="2360314" cy="1719072"/>
                    </a:xfrm>
                    <a:prstGeom prst="rect">
                      <a:avLst/>
                    </a:prstGeom>
                    <a:ln>
                      <a:noFill/>
                    </a:ln>
                    <a:extLst>
                      <a:ext uri="{53640926-AAD7-44D8-BBD7-CCE9431645EC}">
                        <a14:shadowObscured xmlns:a14="http://schemas.microsoft.com/office/drawing/2010/main"/>
                      </a:ext>
                    </a:extLst>
                  </pic:spPr>
                </pic:pic>
              </a:graphicData>
            </a:graphic>
          </wp:inline>
        </w:drawing>
      </w:r>
    </w:p>
    <w:p w14:paraId="6D161C74" w14:textId="38421525" w:rsidR="00CC1DFD" w:rsidRPr="00B24120" w:rsidRDefault="00563C42" w:rsidP="00213A9F">
      <w:pPr>
        <w:spacing w:line="480" w:lineRule="auto"/>
        <w:jc w:val="center"/>
        <w:rPr>
          <w:rFonts w:cstheme="minorHAnsi"/>
        </w:rPr>
      </w:pPr>
      <w:r w:rsidRPr="00563C42">
        <w:rPr>
          <w:rFonts w:cstheme="minorHAnsi"/>
          <w:b/>
          <w:bCs/>
        </w:rPr>
        <w:t>B</w:t>
      </w:r>
      <w:r w:rsidR="00857004" w:rsidRPr="00857004">
        <w:rPr>
          <w:rFonts w:cstheme="minorHAnsi"/>
          <w:noProof/>
        </w:rPr>
        <w:t xml:space="preserve"> </w:t>
      </w:r>
      <w:r w:rsidR="00A076AA" w:rsidRPr="00A076AA">
        <w:rPr>
          <w:rFonts w:cstheme="minorHAnsi"/>
          <w:noProof/>
        </w:rPr>
        <w:drawing>
          <wp:inline distT="0" distB="0" distL="0" distR="0" wp14:anchorId="69A15B04" wp14:editId="5A320528">
            <wp:extent cx="2865120" cy="1719072"/>
            <wp:effectExtent l="0" t="0" r="5080" b="0"/>
            <wp:docPr id="19" name="Picture 19" descr="A picture containing implement, stationary,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65120" cy="1719072"/>
                    </a:xfrm>
                    <a:prstGeom prst="rect">
                      <a:avLst/>
                    </a:prstGeom>
                  </pic:spPr>
                </pic:pic>
              </a:graphicData>
            </a:graphic>
          </wp:inline>
        </w:drawing>
      </w:r>
    </w:p>
    <w:p w14:paraId="044E70FA" w14:textId="5F453D9A" w:rsidR="00CC1DFD" w:rsidRPr="00B24120" w:rsidRDefault="00E16FBA" w:rsidP="00FA2B05">
      <w:pPr>
        <w:pStyle w:val="VAFigureCaption"/>
      </w:pPr>
      <w:r w:rsidRPr="00E16FBA">
        <w:rPr>
          <w:b/>
          <w:bCs/>
        </w:rPr>
        <w:t>Figure</w:t>
      </w:r>
      <w:r w:rsidR="00CC1DFD" w:rsidRPr="00E16FBA">
        <w:rPr>
          <w:b/>
          <w:bCs/>
        </w:rPr>
        <w:t xml:space="preserve"> </w:t>
      </w:r>
      <w:r w:rsidR="00857004">
        <w:rPr>
          <w:b/>
          <w:bCs/>
        </w:rPr>
        <w:t>3</w:t>
      </w:r>
      <w:r w:rsidR="00CC1DFD" w:rsidRPr="00E16FBA">
        <w:rPr>
          <w:b/>
          <w:bCs/>
        </w:rPr>
        <w:t>.</w:t>
      </w:r>
      <w:r w:rsidR="00CC1DFD" w:rsidRPr="00B24120">
        <w:t xml:space="preserve"> Top 10 observed MDA8 and model predictions from </w:t>
      </w:r>
      <w:r w:rsidR="00857004">
        <w:t>(</w:t>
      </w:r>
      <w:r w:rsidR="00563C42">
        <w:t>A</w:t>
      </w:r>
      <w:r w:rsidR="00857004">
        <w:t xml:space="preserve">) </w:t>
      </w:r>
      <w:r w:rsidR="00CC1DFD" w:rsidRPr="00B24120">
        <w:t>10-time 10-fold cross-validation</w:t>
      </w:r>
      <w:r w:rsidR="00857004">
        <w:t xml:space="preserve"> (</w:t>
      </w:r>
      <w:r w:rsidR="00563C42">
        <w:t>B</w:t>
      </w:r>
      <w:r w:rsidR="00857004">
        <w:t xml:space="preserve">) </w:t>
      </w:r>
      <w:r w:rsidR="00857004" w:rsidRPr="00B24120">
        <w:t>the walk-forward cross-validation</w:t>
      </w:r>
    </w:p>
    <w:p w14:paraId="5050CA69" w14:textId="77777777" w:rsidR="00CC1DFD" w:rsidRPr="00B24120" w:rsidRDefault="00CC1DFD" w:rsidP="00E16FBA">
      <w:pPr>
        <w:spacing w:line="480" w:lineRule="auto"/>
        <w:rPr>
          <w:rFonts w:cstheme="minorHAnsi"/>
        </w:rPr>
      </w:pPr>
      <w:r w:rsidRPr="00B24120">
        <w:rPr>
          <w:rFonts w:cstheme="minorHAnsi"/>
        </w:rPr>
        <w:t>* means that the wildfire smoke caused excess ozone on that day</w:t>
      </w:r>
    </w:p>
    <w:p w14:paraId="7ADDD697" w14:textId="77777777" w:rsidR="00CC1DFD" w:rsidRPr="00B24120" w:rsidRDefault="00CC1DFD" w:rsidP="00CC1DFD">
      <w:pPr>
        <w:spacing w:line="480" w:lineRule="auto"/>
        <w:rPr>
          <w:rFonts w:cstheme="minorHAnsi"/>
        </w:rPr>
      </w:pPr>
    </w:p>
    <w:p w14:paraId="2B7E6787" w14:textId="77777777" w:rsidR="00CC1DFD" w:rsidRPr="00B24120" w:rsidRDefault="00CC1DFD" w:rsidP="00CC1DFD">
      <w:pPr>
        <w:spacing w:line="480" w:lineRule="auto"/>
        <w:rPr>
          <w:rFonts w:cstheme="minorHAnsi"/>
        </w:rPr>
      </w:pPr>
      <w:r w:rsidRPr="00B24120">
        <w:rPr>
          <w:rFonts w:cstheme="minorHAnsi"/>
        </w:rPr>
        <w:t>3.2.2 Walk-forward cross-validation</w:t>
      </w:r>
    </w:p>
    <w:p w14:paraId="2B566582" w14:textId="6BDD5F21" w:rsidR="00CC1DFD" w:rsidRPr="00B24120" w:rsidRDefault="00CC1DFD" w:rsidP="00CC1DFD">
      <w:pPr>
        <w:spacing w:line="480" w:lineRule="auto"/>
        <w:ind w:firstLine="720"/>
        <w:rPr>
          <w:rFonts w:cstheme="minorHAnsi"/>
        </w:rPr>
      </w:pPr>
      <w:r w:rsidRPr="00B24120">
        <w:rPr>
          <w:rFonts w:cstheme="minorHAnsi"/>
        </w:rPr>
        <w:lastRenderedPageBreak/>
        <w:t>The 10-time 10-fold cross-validation does not consider the temporal order of the data, which is important for the time-series data. Walk-forward cross-validation is a technique for time-series data</w:t>
      </w:r>
      <w:r w:rsidR="007F10F3">
        <w:rPr>
          <w:rFonts w:cstheme="minorHAnsi"/>
        </w:rPr>
        <w:t>.</w:t>
      </w:r>
      <w:r w:rsidRPr="00B24120">
        <w:rPr>
          <w:rFonts w:cstheme="minorHAnsi"/>
        </w:rPr>
        <w:fldChar w:fldCharType="begin"/>
      </w:r>
      <w:r w:rsidR="00B24120">
        <w:rPr>
          <w:rFonts w:cstheme="minorHAnsi"/>
        </w:rPr>
        <w:instrText xml:space="preserve"> ADDIN ZOTERO_ITEM CSL_CITATION {"citationID":"ldwdcMl1","properties":{"formattedCitation":"\\super 35\\nosupersub{}","plainCitation":"35","noteIndex":0},"citationItems":[{"id":531,"uris":["http://zotero.org/users/4238889/items/HJVAGZC8"],"uri":["http://zotero.org/users/4238889/items/HJVAGZC8"],"itemData":{"id":531,"type":"article-journal","abstract":"Context] The use of defect prediction models, such as classifiers, can support testing resource allocations by using data of the previous releases of the same project for predicting which software components are likely to be defective. A validation technique, hereinafter “technique,” defines a specific way to split available data in training and test sets to measure a classifier’s accuracy. Time-series techniques have the unique ability to preserve the temporal order of data; i.e., preventing the testing set to have data antecedent to the training set. [Aim] The aim of this paper is twofold: first we check if there is a difference in the classifiers accuracy measured by time-series versus non-time-series techniques. Afterward, we check for a possible reason for this difference, i.e., if defect rates change across releases of a project. [Method] Our method consists of measuring the accuracy, i.e., AUC, of 10 classifiers on 13 open and two closed projects by using three validation techniques, namely cross validation, bootstrap, and walk-forward, where only the latter is a time-series technique. [Results] We find that the AUC of the same classifier used on the same project and measured by 10-fold varies compared to when measured by walk-forward in the range [-0.20, 0.22], and it is statistically different in 45% of the cases. Similarly, the AUC measured by bootstrap varies compared to when measured by walk-forward in the range [-0.17, 0.43], and it is statistically different in 56% of the cases. Moreover, our results show that the relative difference in defect rate between the second and first half of a project is, among projects, in the range [-75%, 218%], and it is statistically different in 13 out of 15 projects, thus suggesting non-time-series techniques provide results that are poorly realistic. [Conclusions] We recommend choosing the technique to be used by carefully considering the conclusions to draw, the property of the available datasets, and the level of realism with the classifier usage scenario.","language":"en","page":"20","source":"Zotero","title":"Preserving Order of Data When Validating Defect Prediction Models","author":[{"family":"Falessi","given":"Davide"},{"family":"Narayana","given":"Likhita"},{"family":"Thai","given":"Jennifer Fong"},{"family":"Turhan","given":"Burak"}]}}],"schema":"https://github.com/citation-style-language/schema/raw/master/csl-citation.json"} </w:instrText>
      </w:r>
      <w:r w:rsidRPr="00B24120">
        <w:rPr>
          <w:rFonts w:cstheme="minorHAnsi"/>
        </w:rPr>
        <w:fldChar w:fldCharType="separate"/>
      </w:r>
      <w:r w:rsidR="008A1E89" w:rsidRPr="008A1E89">
        <w:rPr>
          <w:vertAlign w:val="superscript"/>
        </w:rPr>
        <w:t>35</w:t>
      </w:r>
      <w:r w:rsidRPr="00B24120">
        <w:rPr>
          <w:rFonts w:cstheme="minorHAnsi"/>
        </w:rPr>
        <w:fldChar w:fldCharType="end"/>
      </w:r>
      <w:r w:rsidRPr="00B24120">
        <w:rPr>
          <w:rFonts w:cstheme="minorHAnsi"/>
        </w:rPr>
        <w:t xml:space="preserve"> For this evaluation, the 2015 and 2016 data were used to train the model and predict the first day in the 2017 dataset (May 1</w:t>
      </w:r>
      <w:r w:rsidRPr="00B24120">
        <w:rPr>
          <w:rFonts w:cstheme="minorHAnsi"/>
          <w:vertAlign w:val="superscript"/>
        </w:rPr>
        <w:t>st</w:t>
      </w:r>
      <w:r w:rsidRPr="00B24120">
        <w:rPr>
          <w:rFonts w:cstheme="minorHAnsi"/>
        </w:rPr>
        <w:t>, 2017).  Then the May 1</w:t>
      </w:r>
      <w:r w:rsidRPr="00B24120">
        <w:rPr>
          <w:rFonts w:cstheme="minorHAnsi"/>
          <w:vertAlign w:val="superscript"/>
        </w:rPr>
        <w:t>st</w:t>
      </w:r>
      <w:r w:rsidRPr="00B24120">
        <w:rPr>
          <w:rFonts w:cstheme="minorHAnsi"/>
        </w:rPr>
        <w:t>, 2017 data was included in the training dataset and the models were used to predict O</w:t>
      </w:r>
      <w:r w:rsidRPr="00B24120">
        <w:rPr>
          <w:rFonts w:cstheme="minorHAnsi"/>
          <w:vertAlign w:val="subscript"/>
        </w:rPr>
        <w:t>3</w:t>
      </w:r>
      <w:r w:rsidRPr="00B24120">
        <w:rPr>
          <w:rFonts w:cstheme="minorHAnsi"/>
        </w:rPr>
        <w:t xml:space="preserve"> for May 2</w:t>
      </w:r>
      <w:r w:rsidRPr="00B24120">
        <w:rPr>
          <w:rFonts w:cstheme="minorHAnsi"/>
          <w:vertAlign w:val="superscript"/>
        </w:rPr>
        <w:t>nd</w:t>
      </w:r>
      <w:r w:rsidRPr="00B24120">
        <w:rPr>
          <w:rFonts w:cstheme="minorHAnsi"/>
        </w:rPr>
        <w:t>, 2017. This process was repeated for each additional day of the 2017 and 2018 ozone seasons.</w:t>
      </w:r>
    </w:p>
    <w:p w14:paraId="2C81004C" w14:textId="1C602A70" w:rsidR="00CC1DFD" w:rsidRPr="00FA2B05" w:rsidRDefault="00CC1DFD" w:rsidP="00FA2B05">
      <w:pPr>
        <w:pStyle w:val="TAMainText"/>
      </w:pPr>
      <w:r w:rsidRPr="00FA2B05">
        <w:t xml:space="preserve">When a new day’s MDA8 was predicted by the ML models, the NMB was recomputed by including the new prediction. The change of NMB was shown in </w:t>
      </w:r>
      <w:r w:rsidR="00E16FBA" w:rsidRPr="00FA2B05">
        <w:t>Figure</w:t>
      </w:r>
      <w:r w:rsidRPr="00FA2B05">
        <w:t xml:space="preserve"> </w:t>
      </w:r>
      <w:r w:rsidR="00563C42">
        <w:t>3A</w:t>
      </w:r>
      <w:r w:rsidRPr="00FA2B05">
        <w:t xml:space="preserve">. In the beginning, there was no clear trend for the NMB values for both ML models. The NMB from ML1 prediction sharply increased after June 2017 (Day 50 in </w:t>
      </w:r>
      <w:r w:rsidR="00E16FBA" w:rsidRPr="00FA2B05">
        <w:t>Figure</w:t>
      </w:r>
      <w:r w:rsidRPr="00FA2B05">
        <w:t xml:space="preserve"> </w:t>
      </w:r>
      <w:r w:rsidR="00563C42">
        <w:t>3A</w:t>
      </w:r>
      <w:r w:rsidRPr="00FA2B05">
        <w:t xml:space="preserve">) when </w:t>
      </w:r>
      <w:proofErr w:type="gramStart"/>
      <w:r w:rsidRPr="00FA2B05">
        <w:t>more high</w:t>
      </w:r>
      <w:proofErr w:type="gramEnd"/>
      <w:r w:rsidRPr="00FA2B05">
        <w:t xml:space="preserve"> O3 events occurred, slowly increased after August 2017 (Day 100 in </w:t>
      </w:r>
      <w:r w:rsidR="00E16FBA" w:rsidRPr="00FA2B05">
        <w:t xml:space="preserve">Figure </w:t>
      </w:r>
      <w:r w:rsidR="00563C42">
        <w:t>3A</w:t>
      </w:r>
      <w:r w:rsidRPr="00FA2B05">
        <w:t xml:space="preserve">), and slowly decreased after July 2018 (Day 200 in </w:t>
      </w:r>
      <w:r w:rsidR="00E16FBA" w:rsidRPr="00FA2B05">
        <w:t>Figure</w:t>
      </w:r>
      <w:r w:rsidRPr="00FA2B05">
        <w:t xml:space="preserve"> </w:t>
      </w:r>
      <w:r w:rsidR="00563C42">
        <w:t>3A</w:t>
      </w:r>
      <w:r w:rsidRPr="00FA2B05">
        <w:t xml:space="preserve">). The overprediction from ML1 during the low O3 periods (May and June) could lead to the NMB increasing, while the NMB values were stable or even decreasing during the high O3 period (July and August). For ML2, there were some fluctuations before August 2018, and the NMB was stable after that. For both ML1 and ML2, the NMB values were getting stable when more data got involved. The final NMB of two ML models were 5.6% and -0.9%, which were lower than the 10-time 10-fold cross-validation. </w:t>
      </w:r>
    </w:p>
    <w:p w14:paraId="3B74B700" w14:textId="24DF6361" w:rsidR="00CC1DFD" w:rsidRPr="00B24120" w:rsidRDefault="00A076AA" w:rsidP="00CC1DFD">
      <w:pPr>
        <w:jc w:val="center"/>
        <w:rPr>
          <w:rFonts w:cstheme="minorHAnsi"/>
        </w:rPr>
      </w:pPr>
      <w:r w:rsidRPr="00A076AA">
        <w:rPr>
          <w:rFonts w:cstheme="minorHAnsi"/>
          <w:noProof/>
        </w:rPr>
        <w:drawing>
          <wp:inline distT="0" distB="0" distL="0" distR="0" wp14:anchorId="2440FFA4" wp14:editId="28F453B6">
            <wp:extent cx="1933956" cy="1719072"/>
            <wp:effectExtent l="0" t="0" r="0" b="0"/>
            <wp:docPr id="20" name="Picture 2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33956" cy="1719072"/>
                    </a:xfrm>
                    <a:prstGeom prst="rect">
                      <a:avLst/>
                    </a:prstGeom>
                  </pic:spPr>
                </pic:pic>
              </a:graphicData>
            </a:graphic>
          </wp:inline>
        </w:drawing>
      </w:r>
    </w:p>
    <w:p w14:paraId="079D42B6" w14:textId="499F8969" w:rsidR="00CC1DFD" w:rsidRPr="00B24120" w:rsidRDefault="00E16FBA" w:rsidP="00FA2B05">
      <w:pPr>
        <w:pStyle w:val="VAFigureCaption"/>
      </w:pPr>
      <w:r w:rsidRPr="00E16FBA">
        <w:rPr>
          <w:b/>
          <w:bCs/>
        </w:rPr>
        <w:t>Figure</w:t>
      </w:r>
      <w:r w:rsidR="00CC1DFD" w:rsidRPr="00E16FBA">
        <w:rPr>
          <w:b/>
          <w:bCs/>
        </w:rPr>
        <w:t xml:space="preserve"> </w:t>
      </w:r>
      <w:r w:rsidR="00857004">
        <w:rPr>
          <w:b/>
          <w:bCs/>
        </w:rPr>
        <w:t>4</w:t>
      </w:r>
      <w:r w:rsidR="00CC1DFD" w:rsidRPr="00E16FBA">
        <w:rPr>
          <w:b/>
          <w:bCs/>
        </w:rPr>
        <w:t>.</w:t>
      </w:r>
      <w:r w:rsidR="00CC1DFD" w:rsidRPr="00B24120">
        <w:t xml:space="preserve"> The </w:t>
      </w:r>
      <w:proofErr w:type="gramStart"/>
      <w:r w:rsidR="00CC1DFD" w:rsidRPr="00B24120">
        <w:t>walk-forward</w:t>
      </w:r>
      <w:proofErr w:type="gramEnd"/>
      <w:r w:rsidR="00CC1DFD" w:rsidRPr="00B24120">
        <w:t xml:space="preserve"> NMB of each time step for ML1 and ML2</w:t>
      </w:r>
    </w:p>
    <w:p w14:paraId="1491E116" w14:textId="77777777" w:rsidR="00CC1DFD" w:rsidRPr="00B24120" w:rsidRDefault="00CC1DFD" w:rsidP="00CC1DFD">
      <w:pPr>
        <w:spacing w:line="480" w:lineRule="auto"/>
        <w:rPr>
          <w:rFonts w:cstheme="minorHAnsi"/>
        </w:rPr>
      </w:pPr>
    </w:p>
    <w:p w14:paraId="77804C90" w14:textId="6E1E3A9D" w:rsidR="00CC1DFD" w:rsidRPr="00857004" w:rsidRDefault="00CC1DFD" w:rsidP="00857004">
      <w:pPr>
        <w:pStyle w:val="TAMainText"/>
      </w:pPr>
      <w:r w:rsidRPr="00B24120">
        <w:t xml:space="preserve">The walk-forward cross-validation provided two-year MDA8 predictions (2017 and 2018), and the Q-Q plots were similar to the 10-time 10-fold cross-validation. The two breakpoints of ML1 distribution were clearer in </w:t>
      </w:r>
      <w:r w:rsidR="00E16FBA">
        <w:t>Figure</w:t>
      </w:r>
      <w:r w:rsidRPr="00B24120">
        <w:t xml:space="preserve"> </w:t>
      </w:r>
      <w:r w:rsidR="00563C42">
        <w:t>3B</w:t>
      </w:r>
      <w:r w:rsidRPr="00B24120">
        <w:t xml:space="preserve">. Ten highest MDA8 in 2017 and 2018 were shown in </w:t>
      </w:r>
      <w:r w:rsidR="00E16FBA">
        <w:t>Figure</w:t>
      </w:r>
      <w:r w:rsidRPr="00B24120">
        <w:t xml:space="preserve"> </w:t>
      </w:r>
      <w:r w:rsidR="00563C42">
        <w:t>4</w:t>
      </w:r>
      <w:r w:rsidRPr="00B24120">
        <w:t>. ML1 only captures 2 out of the top 10 observed MDA8 and ML2 captured 1. In some cases, ML1 was even lower than ML2. Three high O</w:t>
      </w:r>
      <w:r w:rsidRPr="00B24120">
        <w:rPr>
          <w:vertAlign w:val="subscript"/>
        </w:rPr>
        <w:t>3</w:t>
      </w:r>
      <w:r w:rsidRPr="00B24120">
        <w:t xml:space="preserve"> days with stars (*) in </w:t>
      </w:r>
      <w:r w:rsidR="00E16FBA">
        <w:t>Figure</w:t>
      </w:r>
      <w:r w:rsidRPr="00B24120">
        <w:t xml:space="preserve"> </w:t>
      </w:r>
      <w:r w:rsidR="00563C42">
        <w:t>4</w:t>
      </w:r>
      <w:r w:rsidRPr="00B24120">
        <w:t xml:space="preserve"> were affected by the wildfire smoke, and ML1 captured two of them. The two ML models still performed better than AIRPACT.</w:t>
      </w:r>
    </w:p>
    <w:p w14:paraId="391E03A4" w14:textId="1E959036" w:rsidR="00CC1DFD" w:rsidRPr="00B24120" w:rsidRDefault="00CC1DFD" w:rsidP="00FA2B05">
      <w:pPr>
        <w:pStyle w:val="TAMainText"/>
      </w:pPr>
      <w:r w:rsidRPr="00B24120">
        <w:t xml:space="preserve">Table </w:t>
      </w:r>
      <w:r w:rsidR="00AF64F6">
        <w:t>1</w:t>
      </w:r>
      <w:r w:rsidRPr="00B24120">
        <w:t xml:space="preserve"> summarizes the HSS and KSS of the two machine learning models and AIRPACT from the two cross-validation methods. Both machine learning models show better performance with higher HSS and KSS values than AIRPACT. ML2 shows higher HSS than ML1 for both cross-validation results, which means ML2’s prediction is generally more accurate. ML1 shows higher KSS in 10-time 10-fold cross-validation due to its better performance of high O</w:t>
      </w:r>
      <w:r w:rsidRPr="00B24120">
        <w:rPr>
          <w:vertAlign w:val="subscript"/>
        </w:rPr>
        <w:t>3</w:t>
      </w:r>
      <w:r w:rsidRPr="00B24120">
        <w:t xml:space="preserve"> predictions. The statistics from AIRPACT and ML2 are close between two cross-validations, but HSS and KSS from walk-forward are lower than 10-time 10-fold cross-validation.</w:t>
      </w:r>
    </w:p>
    <w:p w14:paraId="25F8D779" w14:textId="504DD52D" w:rsidR="00CC1DFD" w:rsidRPr="00E16FBA" w:rsidRDefault="00CC1DFD" w:rsidP="00E16FBA">
      <w:pPr>
        <w:spacing w:line="480" w:lineRule="auto"/>
        <w:rPr>
          <w:rFonts w:cstheme="minorHAnsi"/>
          <w:b/>
          <w:bCs/>
        </w:rPr>
      </w:pPr>
      <w:r w:rsidRPr="00E16FBA">
        <w:rPr>
          <w:rFonts w:cstheme="minorHAnsi"/>
          <w:b/>
          <w:bCs/>
        </w:rPr>
        <w:t xml:space="preserve">Table </w:t>
      </w:r>
      <w:r w:rsidR="00AF64F6">
        <w:rPr>
          <w:rFonts w:cstheme="minorHAnsi"/>
          <w:b/>
          <w:bCs/>
        </w:rPr>
        <w:t>1</w:t>
      </w:r>
      <w:r w:rsidRPr="00E16FBA">
        <w:rPr>
          <w:rFonts w:cstheme="minorHAnsi"/>
          <w:b/>
          <w:bCs/>
        </w:rPr>
        <w:t>. HSS and KSS from two cross-validations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1870"/>
        <w:gridCol w:w="1870"/>
        <w:gridCol w:w="1870"/>
        <w:gridCol w:w="1870"/>
      </w:tblGrid>
      <w:tr w:rsidR="00CC1DFD" w:rsidRPr="00B24120" w14:paraId="0BE73870" w14:textId="77777777" w:rsidTr="00E16FBA">
        <w:tc>
          <w:tcPr>
            <w:tcW w:w="1870" w:type="dxa"/>
            <w:tcBorders>
              <w:top w:val="single" w:sz="4" w:space="0" w:color="auto"/>
              <w:bottom w:val="single" w:sz="4" w:space="0" w:color="auto"/>
            </w:tcBorders>
            <w:vAlign w:val="center"/>
          </w:tcPr>
          <w:p w14:paraId="566F130C" w14:textId="77777777" w:rsidR="00CC1DFD" w:rsidRPr="00B24120" w:rsidRDefault="00CC1DFD" w:rsidP="00563C42">
            <w:pPr>
              <w:pStyle w:val="TCTableBody"/>
              <w:jc w:val="center"/>
            </w:pPr>
          </w:p>
        </w:tc>
        <w:tc>
          <w:tcPr>
            <w:tcW w:w="1870" w:type="dxa"/>
            <w:tcBorders>
              <w:top w:val="single" w:sz="4" w:space="0" w:color="auto"/>
              <w:bottom w:val="single" w:sz="4" w:space="0" w:color="auto"/>
            </w:tcBorders>
            <w:vAlign w:val="center"/>
          </w:tcPr>
          <w:p w14:paraId="7E3AA83E" w14:textId="77777777" w:rsidR="00CC1DFD" w:rsidRPr="00B24120" w:rsidRDefault="00CC1DFD" w:rsidP="00563C42">
            <w:pPr>
              <w:pStyle w:val="TCTableBody"/>
              <w:jc w:val="center"/>
            </w:pPr>
          </w:p>
        </w:tc>
        <w:tc>
          <w:tcPr>
            <w:tcW w:w="1870" w:type="dxa"/>
            <w:tcBorders>
              <w:top w:val="single" w:sz="4" w:space="0" w:color="auto"/>
              <w:bottom w:val="single" w:sz="4" w:space="0" w:color="auto"/>
            </w:tcBorders>
            <w:vAlign w:val="center"/>
          </w:tcPr>
          <w:p w14:paraId="2B556084" w14:textId="77777777" w:rsidR="00CC1DFD" w:rsidRPr="00B24120" w:rsidRDefault="00CC1DFD" w:rsidP="00563C42">
            <w:pPr>
              <w:pStyle w:val="TCTableBody"/>
              <w:jc w:val="center"/>
            </w:pPr>
            <w:r w:rsidRPr="00B24120">
              <w:t>AIRPACT</w:t>
            </w:r>
          </w:p>
        </w:tc>
        <w:tc>
          <w:tcPr>
            <w:tcW w:w="1870" w:type="dxa"/>
            <w:tcBorders>
              <w:top w:val="single" w:sz="4" w:space="0" w:color="auto"/>
              <w:bottom w:val="single" w:sz="4" w:space="0" w:color="auto"/>
            </w:tcBorders>
            <w:vAlign w:val="center"/>
          </w:tcPr>
          <w:p w14:paraId="05646386" w14:textId="77777777" w:rsidR="00CC1DFD" w:rsidRPr="00B24120" w:rsidRDefault="00CC1DFD" w:rsidP="00563C42">
            <w:pPr>
              <w:pStyle w:val="TCTableBody"/>
              <w:jc w:val="center"/>
            </w:pPr>
            <w:r w:rsidRPr="00B24120">
              <w:t>ML1</w:t>
            </w:r>
          </w:p>
        </w:tc>
        <w:tc>
          <w:tcPr>
            <w:tcW w:w="1870" w:type="dxa"/>
            <w:tcBorders>
              <w:top w:val="single" w:sz="4" w:space="0" w:color="auto"/>
              <w:bottom w:val="single" w:sz="4" w:space="0" w:color="auto"/>
            </w:tcBorders>
            <w:vAlign w:val="center"/>
          </w:tcPr>
          <w:p w14:paraId="774ACEAA" w14:textId="77777777" w:rsidR="00CC1DFD" w:rsidRPr="00B24120" w:rsidRDefault="00CC1DFD" w:rsidP="00563C42">
            <w:pPr>
              <w:pStyle w:val="TCTableBody"/>
              <w:jc w:val="center"/>
            </w:pPr>
            <w:r w:rsidRPr="00B24120">
              <w:t>ML2</w:t>
            </w:r>
          </w:p>
        </w:tc>
      </w:tr>
      <w:tr w:rsidR="00CC1DFD" w:rsidRPr="00B24120" w14:paraId="2A2249AD" w14:textId="77777777" w:rsidTr="00E16FBA">
        <w:tc>
          <w:tcPr>
            <w:tcW w:w="1870" w:type="dxa"/>
            <w:vMerge w:val="restart"/>
            <w:tcBorders>
              <w:top w:val="single" w:sz="4" w:space="0" w:color="auto"/>
            </w:tcBorders>
            <w:vAlign w:val="center"/>
          </w:tcPr>
          <w:p w14:paraId="406CCAB9" w14:textId="77777777" w:rsidR="00CC1DFD" w:rsidRPr="00B24120" w:rsidRDefault="00CC1DFD" w:rsidP="00563C42">
            <w:pPr>
              <w:pStyle w:val="TCTableBody"/>
              <w:jc w:val="center"/>
            </w:pPr>
            <w:r w:rsidRPr="00B24120">
              <w:t>10-time 10-fold</w:t>
            </w:r>
          </w:p>
        </w:tc>
        <w:tc>
          <w:tcPr>
            <w:tcW w:w="1870" w:type="dxa"/>
            <w:tcBorders>
              <w:top w:val="single" w:sz="4" w:space="0" w:color="auto"/>
            </w:tcBorders>
            <w:vAlign w:val="center"/>
          </w:tcPr>
          <w:p w14:paraId="28A9F13A" w14:textId="77777777" w:rsidR="00CC1DFD" w:rsidRPr="00B24120" w:rsidRDefault="00CC1DFD" w:rsidP="00563C42">
            <w:pPr>
              <w:pStyle w:val="TCTableBody"/>
              <w:jc w:val="center"/>
            </w:pPr>
            <w:r w:rsidRPr="00B24120">
              <w:t>HSS</w:t>
            </w:r>
          </w:p>
        </w:tc>
        <w:tc>
          <w:tcPr>
            <w:tcW w:w="1870" w:type="dxa"/>
            <w:tcBorders>
              <w:top w:val="single" w:sz="4" w:space="0" w:color="auto"/>
            </w:tcBorders>
            <w:vAlign w:val="center"/>
          </w:tcPr>
          <w:p w14:paraId="1A9805A1" w14:textId="77777777" w:rsidR="00CC1DFD" w:rsidRPr="00B24120" w:rsidRDefault="00CC1DFD" w:rsidP="00563C42">
            <w:pPr>
              <w:pStyle w:val="TCTableBody"/>
              <w:jc w:val="center"/>
            </w:pPr>
            <w:r w:rsidRPr="00B24120">
              <w:t>0.32</w:t>
            </w:r>
          </w:p>
        </w:tc>
        <w:tc>
          <w:tcPr>
            <w:tcW w:w="1870" w:type="dxa"/>
            <w:tcBorders>
              <w:top w:val="single" w:sz="4" w:space="0" w:color="auto"/>
            </w:tcBorders>
            <w:vAlign w:val="center"/>
          </w:tcPr>
          <w:p w14:paraId="551CB6DF" w14:textId="77777777" w:rsidR="00CC1DFD" w:rsidRPr="00B24120" w:rsidRDefault="00CC1DFD" w:rsidP="00563C42">
            <w:pPr>
              <w:pStyle w:val="TCTableBody"/>
              <w:jc w:val="center"/>
            </w:pPr>
            <w:r w:rsidRPr="00B24120">
              <w:t>0.44</w:t>
            </w:r>
          </w:p>
        </w:tc>
        <w:tc>
          <w:tcPr>
            <w:tcW w:w="1870" w:type="dxa"/>
            <w:tcBorders>
              <w:top w:val="single" w:sz="4" w:space="0" w:color="auto"/>
            </w:tcBorders>
            <w:vAlign w:val="center"/>
          </w:tcPr>
          <w:p w14:paraId="49A06A7E" w14:textId="77777777" w:rsidR="00CC1DFD" w:rsidRPr="00B24120" w:rsidRDefault="00CC1DFD" w:rsidP="00563C42">
            <w:pPr>
              <w:pStyle w:val="TCTableBody"/>
              <w:jc w:val="center"/>
            </w:pPr>
            <w:r w:rsidRPr="00B24120">
              <w:t>0.55</w:t>
            </w:r>
          </w:p>
        </w:tc>
      </w:tr>
      <w:tr w:rsidR="00CC1DFD" w:rsidRPr="00B24120" w14:paraId="4110F3AA" w14:textId="77777777" w:rsidTr="00E16FBA">
        <w:tc>
          <w:tcPr>
            <w:tcW w:w="1870" w:type="dxa"/>
            <w:vMerge/>
            <w:vAlign w:val="center"/>
          </w:tcPr>
          <w:p w14:paraId="00714CE4" w14:textId="77777777" w:rsidR="00CC1DFD" w:rsidRPr="00B24120" w:rsidRDefault="00CC1DFD" w:rsidP="00563C42">
            <w:pPr>
              <w:pStyle w:val="TCTableBody"/>
              <w:jc w:val="center"/>
            </w:pPr>
          </w:p>
        </w:tc>
        <w:tc>
          <w:tcPr>
            <w:tcW w:w="1870" w:type="dxa"/>
            <w:vAlign w:val="center"/>
          </w:tcPr>
          <w:p w14:paraId="159F6E8B" w14:textId="77777777" w:rsidR="00CC1DFD" w:rsidRPr="00B24120" w:rsidRDefault="00CC1DFD" w:rsidP="00563C42">
            <w:pPr>
              <w:pStyle w:val="TCTableBody"/>
              <w:jc w:val="center"/>
            </w:pPr>
            <w:r w:rsidRPr="00B24120">
              <w:t>KSS</w:t>
            </w:r>
          </w:p>
        </w:tc>
        <w:tc>
          <w:tcPr>
            <w:tcW w:w="1870" w:type="dxa"/>
            <w:vAlign w:val="center"/>
          </w:tcPr>
          <w:p w14:paraId="20608851" w14:textId="77777777" w:rsidR="00CC1DFD" w:rsidRPr="00B24120" w:rsidRDefault="00CC1DFD" w:rsidP="00563C42">
            <w:pPr>
              <w:pStyle w:val="TCTableBody"/>
              <w:jc w:val="center"/>
            </w:pPr>
            <w:r w:rsidRPr="00B24120">
              <w:t>0.25</w:t>
            </w:r>
          </w:p>
        </w:tc>
        <w:tc>
          <w:tcPr>
            <w:tcW w:w="1870" w:type="dxa"/>
            <w:vAlign w:val="center"/>
          </w:tcPr>
          <w:p w14:paraId="325A44C9" w14:textId="77777777" w:rsidR="00CC1DFD" w:rsidRPr="00B24120" w:rsidRDefault="00CC1DFD" w:rsidP="00563C42">
            <w:pPr>
              <w:pStyle w:val="TCTableBody"/>
              <w:jc w:val="center"/>
            </w:pPr>
            <w:r w:rsidRPr="00B24120">
              <w:t>0.62</w:t>
            </w:r>
          </w:p>
        </w:tc>
        <w:tc>
          <w:tcPr>
            <w:tcW w:w="1870" w:type="dxa"/>
            <w:vAlign w:val="center"/>
          </w:tcPr>
          <w:p w14:paraId="4C0D9B70" w14:textId="77777777" w:rsidR="00CC1DFD" w:rsidRPr="00B24120" w:rsidRDefault="00CC1DFD" w:rsidP="00563C42">
            <w:pPr>
              <w:pStyle w:val="TCTableBody"/>
              <w:jc w:val="center"/>
            </w:pPr>
            <w:r w:rsidRPr="00B24120">
              <w:t>0.50</w:t>
            </w:r>
          </w:p>
        </w:tc>
      </w:tr>
      <w:tr w:rsidR="00CC1DFD" w:rsidRPr="00B24120" w14:paraId="69779160" w14:textId="77777777" w:rsidTr="00E16FBA">
        <w:tc>
          <w:tcPr>
            <w:tcW w:w="1870" w:type="dxa"/>
            <w:vMerge w:val="restart"/>
            <w:vAlign w:val="center"/>
          </w:tcPr>
          <w:p w14:paraId="426085FE" w14:textId="77777777" w:rsidR="00CC1DFD" w:rsidRPr="00B24120" w:rsidRDefault="00CC1DFD" w:rsidP="00563C42">
            <w:pPr>
              <w:pStyle w:val="TCTableBody"/>
              <w:jc w:val="center"/>
            </w:pPr>
            <w:r w:rsidRPr="00B24120">
              <w:t>Walk-forward</w:t>
            </w:r>
          </w:p>
        </w:tc>
        <w:tc>
          <w:tcPr>
            <w:tcW w:w="1870" w:type="dxa"/>
            <w:vAlign w:val="center"/>
          </w:tcPr>
          <w:p w14:paraId="0C0134D2" w14:textId="77777777" w:rsidR="00CC1DFD" w:rsidRPr="00B24120" w:rsidRDefault="00CC1DFD" w:rsidP="00563C42">
            <w:pPr>
              <w:pStyle w:val="TCTableBody"/>
              <w:jc w:val="center"/>
            </w:pPr>
            <w:r w:rsidRPr="00B24120">
              <w:t>HSS</w:t>
            </w:r>
          </w:p>
        </w:tc>
        <w:tc>
          <w:tcPr>
            <w:tcW w:w="1870" w:type="dxa"/>
            <w:vAlign w:val="center"/>
          </w:tcPr>
          <w:p w14:paraId="25542413" w14:textId="77777777" w:rsidR="00CC1DFD" w:rsidRPr="00B24120" w:rsidRDefault="00CC1DFD" w:rsidP="00563C42">
            <w:pPr>
              <w:pStyle w:val="TCTableBody"/>
              <w:jc w:val="center"/>
            </w:pPr>
            <w:r w:rsidRPr="00B24120">
              <w:t>0.34</w:t>
            </w:r>
          </w:p>
        </w:tc>
        <w:tc>
          <w:tcPr>
            <w:tcW w:w="1870" w:type="dxa"/>
            <w:vAlign w:val="center"/>
          </w:tcPr>
          <w:p w14:paraId="27F8A0D4" w14:textId="77777777" w:rsidR="00CC1DFD" w:rsidRPr="00B24120" w:rsidRDefault="00CC1DFD" w:rsidP="00563C42">
            <w:pPr>
              <w:pStyle w:val="TCTableBody"/>
              <w:jc w:val="center"/>
            </w:pPr>
            <w:r w:rsidRPr="00B24120">
              <w:t>0.37</w:t>
            </w:r>
          </w:p>
        </w:tc>
        <w:tc>
          <w:tcPr>
            <w:tcW w:w="1870" w:type="dxa"/>
            <w:vAlign w:val="center"/>
          </w:tcPr>
          <w:p w14:paraId="083EBA23" w14:textId="77777777" w:rsidR="00CC1DFD" w:rsidRPr="00B24120" w:rsidRDefault="00CC1DFD" w:rsidP="00563C42">
            <w:pPr>
              <w:pStyle w:val="TCTableBody"/>
              <w:jc w:val="center"/>
            </w:pPr>
            <w:r w:rsidRPr="00B24120">
              <w:t>0.57</w:t>
            </w:r>
          </w:p>
        </w:tc>
      </w:tr>
      <w:tr w:rsidR="00CC1DFD" w:rsidRPr="00B24120" w14:paraId="6B9FDC36" w14:textId="77777777" w:rsidTr="00E16FBA">
        <w:tc>
          <w:tcPr>
            <w:tcW w:w="1870" w:type="dxa"/>
            <w:vMerge/>
            <w:vAlign w:val="center"/>
          </w:tcPr>
          <w:p w14:paraId="2B1106B6" w14:textId="77777777" w:rsidR="00CC1DFD" w:rsidRPr="00B24120" w:rsidRDefault="00CC1DFD" w:rsidP="00563C42">
            <w:pPr>
              <w:pStyle w:val="TCTableBody"/>
              <w:jc w:val="center"/>
            </w:pPr>
          </w:p>
        </w:tc>
        <w:tc>
          <w:tcPr>
            <w:tcW w:w="1870" w:type="dxa"/>
            <w:vAlign w:val="center"/>
          </w:tcPr>
          <w:p w14:paraId="473B511A" w14:textId="77777777" w:rsidR="00CC1DFD" w:rsidRPr="00B24120" w:rsidRDefault="00CC1DFD" w:rsidP="00563C42">
            <w:pPr>
              <w:pStyle w:val="TCTableBody"/>
              <w:jc w:val="center"/>
            </w:pPr>
            <w:r w:rsidRPr="00B24120">
              <w:t>KSS</w:t>
            </w:r>
          </w:p>
        </w:tc>
        <w:tc>
          <w:tcPr>
            <w:tcW w:w="1870" w:type="dxa"/>
            <w:vAlign w:val="center"/>
          </w:tcPr>
          <w:p w14:paraId="49A33C3E" w14:textId="77777777" w:rsidR="00CC1DFD" w:rsidRPr="00B24120" w:rsidRDefault="00CC1DFD" w:rsidP="00563C42">
            <w:pPr>
              <w:pStyle w:val="TCTableBody"/>
              <w:jc w:val="center"/>
            </w:pPr>
            <w:r w:rsidRPr="00B24120">
              <w:t>0.27</w:t>
            </w:r>
          </w:p>
        </w:tc>
        <w:tc>
          <w:tcPr>
            <w:tcW w:w="1870" w:type="dxa"/>
            <w:vAlign w:val="center"/>
          </w:tcPr>
          <w:p w14:paraId="164B02A6" w14:textId="77777777" w:rsidR="00CC1DFD" w:rsidRPr="00B24120" w:rsidRDefault="00CC1DFD" w:rsidP="00563C42">
            <w:pPr>
              <w:pStyle w:val="TCTableBody"/>
              <w:jc w:val="center"/>
            </w:pPr>
            <w:r w:rsidRPr="00B24120">
              <w:t>0.53</w:t>
            </w:r>
          </w:p>
        </w:tc>
        <w:tc>
          <w:tcPr>
            <w:tcW w:w="1870" w:type="dxa"/>
            <w:vAlign w:val="center"/>
          </w:tcPr>
          <w:p w14:paraId="56B151E7" w14:textId="77777777" w:rsidR="00CC1DFD" w:rsidRPr="00B24120" w:rsidRDefault="00CC1DFD" w:rsidP="00563C42">
            <w:pPr>
              <w:pStyle w:val="TCTableBody"/>
              <w:jc w:val="center"/>
            </w:pPr>
            <w:r w:rsidRPr="00B24120">
              <w:t>0.51</w:t>
            </w:r>
          </w:p>
        </w:tc>
      </w:tr>
    </w:tbl>
    <w:p w14:paraId="4F7E8252" w14:textId="77777777" w:rsidR="00CC1DFD" w:rsidRPr="00B24120" w:rsidRDefault="00CC1DFD" w:rsidP="00CC1DFD">
      <w:pPr>
        <w:spacing w:line="480" w:lineRule="auto"/>
        <w:rPr>
          <w:rFonts w:cstheme="minorHAnsi"/>
        </w:rPr>
      </w:pPr>
    </w:p>
    <w:p w14:paraId="435A522A" w14:textId="2A9284DE" w:rsidR="00CC1DFD" w:rsidRPr="00B24120" w:rsidRDefault="00CC1DFD" w:rsidP="00CC1DFD">
      <w:pPr>
        <w:pStyle w:val="Heading3"/>
        <w:spacing w:line="480" w:lineRule="auto"/>
        <w:rPr>
          <w:rFonts w:ascii="Times" w:hAnsi="Times" w:cstheme="minorHAnsi"/>
          <w:sz w:val="26"/>
          <w:szCs w:val="26"/>
        </w:rPr>
      </w:pPr>
      <w:r w:rsidRPr="00B24120">
        <w:rPr>
          <w:rFonts w:ascii="Times" w:hAnsi="Times" w:cstheme="minorHAnsi"/>
          <w:sz w:val="26"/>
          <w:szCs w:val="26"/>
        </w:rPr>
        <w:lastRenderedPageBreak/>
        <w:t>3.3</w:t>
      </w:r>
      <w:r w:rsidR="00E16FBA">
        <w:rPr>
          <w:rFonts w:ascii="Times" w:hAnsi="Times" w:cstheme="minorHAnsi"/>
          <w:sz w:val="26"/>
          <w:szCs w:val="26"/>
        </w:rPr>
        <w:t>.</w:t>
      </w:r>
      <w:r w:rsidRPr="00B24120">
        <w:rPr>
          <w:rFonts w:ascii="Times" w:hAnsi="Times" w:cstheme="minorHAnsi"/>
          <w:sz w:val="26"/>
          <w:szCs w:val="26"/>
        </w:rPr>
        <w:t xml:space="preserve"> O</w:t>
      </w:r>
      <w:r w:rsidRPr="00B24120">
        <w:rPr>
          <w:rFonts w:ascii="Times" w:hAnsi="Times" w:cstheme="minorHAnsi"/>
          <w:sz w:val="26"/>
          <w:szCs w:val="26"/>
          <w:vertAlign w:val="subscript"/>
        </w:rPr>
        <w:t xml:space="preserve">3 </w:t>
      </w:r>
      <w:r w:rsidRPr="00B24120">
        <w:rPr>
          <w:rFonts w:ascii="Times" w:hAnsi="Times" w:cstheme="minorHAnsi"/>
          <w:sz w:val="26"/>
          <w:szCs w:val="26"/>
        </w:rPr>
        <w:t>ensemble forecasting in 2019</w:t>
      </w:r>
    </w:p>
    <w:p w14:paraId="7B0EEEF2" w14:textId="240B2355" w:rsidR="00CC1DFD" w:rsidRPr="00B24120" w:rsidRDefault="00CC1DFD" w:rsidP="00CC1DFD">
      <w:pPr>
        <w:spacing w:line="480" w:lineRule="auto"/>
        <w:rPr>
          <w:rFonts w:cstheme="minorHAnsi"/>
        </w:rPr>
      </w:pPr>
      <w:r w:rsidRPr="00B24120">
        <w:rPr>
          <w:rFonts w:cstheme="minorHAnsi"/>
        </w:rPr>
        <w:t>Since April 2019, our machine learning models have been used for operational O</w:t>
      </w:r>
      <w:r w:rsidRPr="00B24120">
        <w:rPr>
          <w:rFonts w:cstheme="minorHAnsi"/>
          <w:vertAlign w:val="subscript"/>
        </w:rPr>
        <w:t>3</w:t>
      </w:r>
      <w:r w:rsidRPr="00B24120">
        <w:rPr>
          <w:rFonts w:cstheme="minorHAnsi"/>
        </w:rPr>
        <w:t xml:space="preserve"> ensemble forecasting for Kennewick, WA.  The ensemble forecasting was based on more than 20 WRF ensemble members provided by the University of Washington to predict the O</w:t>
      </w:r>
      <w:r w:rsidRPr="00B24120">
        <w:rPr>
          <w:rFonts w:cstheme="minorHAnsi"/>
          <w:vertAlign w:val="subscript"/>
        </w:rPr>
        <w:t>3</w:t>
      </w:r>
      <w:r w:rsidRPr="00B24120">
        <w:rPr>
          <w:rFonts w:cstheme="minorHAnsi"/>
        </w:rPr>
        <w:t xml:space="preserve"> levels. The difference among the predicted MDA8 from the ensemble members was not significant (within 5%). To better compare with the evaluation in the previous section, this section only covers the data from May to September in 2019. The ML1 and ML2 results are the ensemble means of the MDA8 values from more than 20 ML forecasts. The Q-Q plot in </w:t>
      </w:r>
      <w:r w:rsidR="00E16FBA">
        <w:rPr>
          <w:rFonts w:cstheme="minorHAnsi"/>
        </w:rPr>
        <w:t>Figure</w:t>
      </w:r>
      <w:r w:rsidRPr="00B24120">
        <w:rPr>
          <w:rFonts w:cstheme="minorHAnsi"/>
        </w:rPr>
        <w:t xml:space="preserve"> </w:t>
      </w:r>
      <w:r w:rsidR="007B3EB9">
        <w:rPr>
          <w:rFonts w:cstheme="minorHAnsi"/>
        </w:rPr>
        <w:t>5</w:t>
      </w:r>
      <w:r w:rsidRPr="00B24120">
        <w:rPr>
          <w:rFonts w:cstheme="minorHAnsi"/>
        </w:rPr>
        <w:t xml:space="preserve"> shows that the ML1, ML2 and AIRPACT model forecasts are close for O</w:t>
      </w:r>
      <w:r w:rsidRPr="00B24120">
        <w:rPr>
          <w:rFonts w:cstheme="minorHAnsi"/>
          <w:vertAlign w:val="subscript"/>
        </w:rPr>
        <w:t>3</w:t>
      </w:r>
      <w:r w:rsidRPr="00B24120">
        <w:rPr>
          <w:rFonts w:cstheme="minorHAnsi"/>
        </w:rPr>
        <w:t xml:space="preserve"> lower than 40 ppb. For the O</w:t>
      </w:r>
      <w:r w:rsidRPr="00B24120">
        <w:rPr>
          <w:rFonts w:cstheme="minorHAnsi"/>
          <w:vertAlign w:val="subscript"/>
        </w:rPr>
        <w:t xml:space="preserve">3 </w:t>
      </w:r>
      <w:r w:rsidRPr="00B24120">
        <w:rPr>
          <w:rFonts w:cstheme="minorHAnsi"/>
        </w:rPr>
        <w:t>in 40 – 60 ppb, ML1 tends to overpredict, while AIRPACT and ML2 are closer to observations. When the O</w:t>
      </w:r>
      <w:r w:rsidRPr="00B24120">
        <w:rPr>
          <w:rFonts w:cstheme="minorHAnsi"/>
          <w:vertAlign w:val="subscript"/>
        </w:rPr>
        <w:t>3</w:t>
      </w:r>
      <w:r w:rsidRPr="00B24120">
        <w:rPr>
          <w:rFonts w:cstheme="minorHAnsi"/>
        </w:rPr>
        <w:t xml:space="preserve"> mixing ratio is higher than 60 ppb, ML1 slightly overpredicts, ML2 underpredicts, and AIRPACT varies in cases. For the highest 5 MDA8 points in </w:t>
      </w:r>
      <w:r w:rsidR="00E16FBA">
        <w:rPr>
          <w:rFonts w:cstheme="minorHAnsi"/>
        </w:rPr>
        <w:t>Figure</w:t>
      </w:r>
      <w:r w:rsidRPr="00B24120">
        <w:rPr>
          <w:rFonts w:cstheme="minorHAnsi"/>
        </w:rPr>
        <w:t xml:space="preserve"> </w:t>
      </w:r>
      <w:r w:rsidR="007B3EB9">
        <w:rPr>
          <w:rFonts w:cstheme="minorHAnsi"/>
        </w:rPr>
        <w:t>6</w:t>
      </w:r>
      <w:r w:rsidRPr="00B24120">
        <w:rPr>
          <w:rFonts w:cstheme="minorHAnsi"/>
        </w:rPr>
        <w:t>, the observed values were 62 – 66 ppb, while ML1</w:t>
      </w:r>
      <w:r w:rsidR="00630A69">
        <w:rPr>
          <w:rFonts w:cstheme="minorHAnsi"/>
        </w:rPr>
        <w:t>’s predictions were closer to the observations than</w:t>
      </w:r>
      <w:r w:rsidRPr="00B24120">
        <w:rPr>
          <w:rFonts w:cstheme="minorHAnsi"/>
        </w:rPr>
        <w:t xml:space="preserve"> AIRPACT and ML2. AIRPACT showed larger variation (48 – 70 ppb) compared to two ML models.  </w:t>
      </w:r>
    </w:p>
    <w:p w14:paraId="3AEF7549" w14:textId="284CED23" w:rsidR="00CC1DFD" w:rsidRPr="00B24120" w:rsidRDefault="00B574B3" w:rsidP="00CC1DFD">
      <w:pPr>
        <w:spacing w:line="480" w:lineRule="auto"/>
        <w:jc w:val="center"/>
        <w:rPr>
          <w:rFonts w:cstheme="minorHAnsi"/>
        </w:rPr>
      </w:pPr>
      <w:r w:rsidRPr="00B574B3">
        <w:rPr>
          <w:noProof/>
        </w:rPr>
        <w:t xml:space="preserve"> </w:t>
      </w:r>
      <w:r w:rsidRPr="00B574B3">
        <w:rPr>
          <w:rFonts w:cstheme="minorHAnsi"/>
          <w:noProof/>
        </w:rPr>
        <w:drawing>
          <wp:inline distT="0" distB="0" distL="0" distR="0" wp14:anchorId="735EFD23" wp14:editId="0BE55287">
            <wp:extent cx="1828800" cy="1828800"/>
            <wp:effectExtent l="0" t="0" r="0" b="0"/>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28800" cy="1828800"/>
                    </a:xfrm>
                    <a:prstGeom prst="rect">
                      <a:avLst/>
                    </a:prstGeom>
                  </pic:spPr>
                </pic:pic>
              </a:graphicData>
            </a:graphic>
          </wp:inline>
        </w:drawing>
      </w:r>
    </w:p>
    <w:p w14:paraId="0F7357F3" w14:textId="59C3105E" w:rsidR="00CC1DFD" w:rsidRPr="00B24120" w:rsidRDefault="00E16FBA" w:rsidP="00E16FBA">
      <w:pPr>
        <w:rPr>
          <w:rFonts w:cstheme="minorHAnsi"/>
        </w:rPr>
      </w:pPr>
      <w:r w:rsidRPr="00E16FBA">
        <w:rPr>
          <w:rFonts w:cstheme="minorHAnsi"/>
          <w:b/>
          <w:bCs/>
        </w:rPr>
        <w:t>Figure</w:t>
      </w:r>
      <w:r w:rsidR="00CC1DFD" w:rsidRPr="00E16FBA">
        <w:rPr>
          <w:rFonts w:cstheme="minorHAnsi"/>
          <w:b/>
          <w:bCs/>
        </w:rPr>
        <w:t xml:space="preserve"> </w:t>
      </w:r>
      <w:r w:rsidR="00857004">
        <w:rPr>
          <w:rFonts w:cstheme="minorHAnsi"/>
          <w:b/>
          <w:bCs/>
        </w:rPr>
        <w:t>5</w:t>
      </w:r>
      <w:r w:rsidR="00CC1DFD" w:rsidRPr="00E16FBA">
        <w:rPr>
          <w:rFonts w:cstheme="minorHAnsi"/>
          <w:b/>
          <w:bCs/>
        </w:rPr>
        <w:t>.</w:t>
      </w:r>
      <w:r w:rsidR="00CC1DFD" w:rsidRPr="00B24120">
        <w:rPr>
          <w:rFonts w:cstheme="minorHAnsi"/>
        </w:rPr>
        <w:t xml:space="preserve"> Q-Q plots of ensemble mean model vs. observed MDA8 during May - September 2019</w:t>
      </w:r>
    </w:p>
    <w:p w14:paraId="5EF03B1C" w14:textId="55AB4C97" w:rsidR="00CC1DFD" w:rsidRPr="00B24120" w:rsidRDefault="00B574B3" w:rsidP="00CC1DFD">
      <w:pPr>
        <w:jc w:val="center"/>
        <w:rPr>
          <w:rFonts w:cstheme="minorHAnsi"/>
        </w:rPr>
      </w:pPr>
      <w:r w:rsidRPr="00B574B3">
        <w:rPr>
          <w:noProof/>
        </w:rPr>
        <w:lastRenderedPageBreak/>
        <w:t xml:space="preserve"> </w:t>
      </w:r>
      <w:r w:rsidRPr="00B574B3">
        <w:rPr>
          <w:rFonts w:cstheme="minorHAnsi"/>
          <w:noProof/>
        </w:rPr>
        <w:drawing>
          <wp:inline distT="0" distB="0" distL="0" distR="0" wp14:anchorId="50FDE36A" wp14:editId="597BD54A">
            <wp:extent cx="3537732" cy="2560320"/>
            <wp:effectExtent l="0" t="0" r="5715" b="508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37732" cy="2560320"/>
                    </a:xfrm>
                    <a:prstGeom prst="rect">
                      <a:avLst/>
                    </a:prstGeom>
                  </pic:spPr>
                </pic:pic>
              </a:graphicData>
            </a:graphic>
          </wp:inline>
        </w:drawing>
      </w:r>
    </w:p>
    <w:p w14:paraId="41187731" w14:textId="4882DD15" w:rsidR="00CC1DFD" w:rsidRPr="00B24120" w:rsidRDefault="00E16FBA" w:rsidP="00E16FBA">
      <w:pPr>
        <w:spacing w:line="480" w:lineRule="auto"/>
        <w:rPr>
          <w:rFonts w:cstheme="minorHAnsi"/>
        </w:rPr>
      </w:pPr>
      <w:r w:rsidRPr="00E16FBA">
        <w:rPr>
          <w:rFonts w:cstheme="minorHAnsi"/>
          <w:b/>
          <w:bCs/>
        </w:rPr>
        <w:t>Figure</w:t>
      </w:r>
      <w:r w:rsidR="00CC1DFD" w:rsidRPr="00E16FBA">
        <w:rPr>
          <w:rFonts w:cstheme="minorHAnsi"/>
          <w:b/>
          <w:bCs/>
        </w:rPr>
        <w:t xml:space="preserve"> </w:t>
      </w:r>
      <w:r w:rsidR="00857004">
        <w:rPr>
          <w:rFonts w:cstheme="minorHAnsi"/>
          <w:b/>
          <w:bCs/>
        </w:rPr>
        <w:t>6</w:t>
      </w:r>
      <w:r w:rsidR="00CC1DFD" w:rsidRPr="00E16FBA">
        <w:rPr>
          <w:rFonts w:cstheme="minorHAnsi"/>
          <w:b/>
          <w:bCs/>
        </w:rPr>
        <w:t>.</w:t>
      </w:r>
      <w:r w:rsidR="00CC1DFD" w:rsidRPr="00B24120">
        <w:rPr>
          <w:rFonts w:cstheme="minorHAnsi"/>
        </w:rPr>
        <w:t xml:space="preserve"> Top 5 observed MDA8 and model predictions in 2019</w:t>
      </w:r>
    </w:p>
    <w:p w14:paraId="45A3E0AF" w14:textId="77777777" w:rsidR="00CC1DFD" w:rsidRPr="00B24120" w:rsidRDefault="00CC1DFD" w:rsidP="00CC1DFD">
      <w:pPr>
        <w:spacing w:line="480" w:lineRule="auto"/>
        <w:rPr>
          <w:rFonts w:cstheme="minorHAnsi"/>
        </w:rPr>
      </w:pPr>
    </w:p>
    <w:p w14:paraId="06F1A404" w14:textId="7B924C89" w:rsidR="00CC1DFD" w:rsidRPr="00B24120" w:rsidRDefault="00CC1DFD" w:rsidP="00FA2B05">
      <w:pPr>
        <w:pStyle w:val="TAMainText"/>
      </w:pPr>
      <w:r w:rsidRPr="00B24120">
        <w:t xml:space="preserve">The scatter plots in </w:t>
      </w:r>
      <w:r w:rsidR="00E16FBA">
        <w:t>Figure</w:t>
      </w:r>
      <w:r w:rsidRPr="00B24120">
        <w:t xml:space="preserve"> </w:t>
      </w:r>
      <w:r w:rsidR="007B3EB9">
        <w:t>7</w:t>
      </w:r>
      <w:r w:rsidRPr="00B24120">
        <w:t xml:space="preserve"> show the ensemble mean MDA8 from May to September in 2019. ML2 shows relatively higher R</w:t>
      </w:r>
      <w:r w:rsidRPr="00B24120">
        <w:rPr>
          <w:vertAlign w:val="superscript"/>
        </w:rPr>
        <w:t>2</w:t>
      </w:r>
      <w:r w:rsidRPr="00B24120">
        <w:t xml:space="preserve"> value (0.5</w:t>
      </w:r>
      <w:r w:rsidR="00630A69">
        <w:t>2</w:t>
      </w:r>
      <w:r w:rsidRPr="00B24120">
        <w:t>) than ML1 (0.4</w:t>
      </w:r>
      <w:r w:rsidR="00630A69">
        <w:t>1</w:t>
      </w:r>
      <w:r w:rsidRPr="00B24120">
        <w:t>) and AIRPACT (0.47). The NMB of AIRPACT is lowest (1.</w:t>
      </w:r>
      <w:r w:rsidR="00630A69">
        <w:t>4</w:t>
      </w:r>
      <w:r w:rsidRPr="00B24120">
        <w:t>%), but its NME (11.</w:t>
      </w:r>
      <w:r w:rsidR="00630A69">
        <w:t>4</w:t>
      </w:r>
      <w:r w:rsidRPr="00B24120">
        <w:t>%) is higher than ML2 (10.</w:t>
      </w:r>
      <w:r w:rsidR="00630A69">
        <w:t>9</w:t>
      </w:r>
      <w:r w:rsidRPr="00B24120">
        <w:t>%). The low NMB is due to the offset of overprediction and underprediction. ML1 tended to overpredict the MDA8 O</w:t>
      </w:r>
      <w:r w:rsidRPr="00B24120">
        <w:rPr>
          <w:vertAlign w:val="subscript"/>
        </w:rPr>
        <w:t>3</w:t>
      </w:r>
      <w:r w:rsidRPr="00B24120">
        <w:t xml:space="preserve"> especially when it was higher than 40 ppb. Because of mostly favorable meteorological conditions and few wildfires in the Pacific Northwest, the O</w:t>
      </w:r>
      <w:r w:rsidRPr="00B24120">
        <w:rPr>
          <w:vertAlign w:val="subscript"/>
        </w:rPr>
        <w:t>3</w:t>
      </w:r>
      <w:r w:rsidRPr="00B24120">
        <w:t xml:space="preserve"> mixing ratios were not very high in 2019 and the model performance of ML2 was the best.</w:t>
      </w:r>
    </w:p>
    <w:p w14:paraId="4BC8A458" w14:textId="1FABDED1" w:rsidR="00CC1DFD" w:rsidRPr="00B24120" w:rsidRDefault="007B3EB9" w:rsidP="00CC1DFD">
      <w:pPr>
        <w:rPr>
          <w:noProof/>
        </w:rPr>
      </w:pPr>
      <w:r w:rsidRPr="007B3EB9">
        <w:rPr>
          <w:b/>
          <w:bCs/>
          <w:noProof/>
        </w:rPr>
        <w:t>A</w:t>
      </w:r>
      <w:r w:rsidR="00070AAD" w:rsidRPr="00070AAD">
        <w:rPr>
          <w:noProof/>
        </w:rPr>
        <w:t xml:space="preserve">  </w:t>
      </w:r>
      <w:r w:rsidR="00070AAD" w:rsidRPr="00070AAD">
        <w:rPr>
          <w:noProof/>
        </w:rPr>
        <w:drawing>
          <wp:inline distT="0" distB="0" distL="0" distR="0" wp14:anchorId="2C41AB11" wp14:editId="533D9F29">
            <wp:extent cx="1645920" cy="1645920"/>
            <wp:effectExtent l="0" t="0" r="5080" b="508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645920" cy="1645920"/>
                    </a:xfrm>
                    <a:prstGeom prst="rect">
                      <a:avLst/>
                    </a:prstGeom>
                  </pic:spPr>
                </pic:pic>
              </a:graphicData>
            </a:graphic>
          </wp:inline>
        </w:drawing>
      </w:r>
      <w:r w:rsidRPr="007B3EB9">
        <w:rPr>
          <w:b/>
          <w:bCs/>
          <w:noProof/>
        </w:rPr>
        <w:t>B</w:t>
      </w:r>
      <w:r w:rsidR="00B574B3" w:rsidRPr="00B574B3">
        <w:rPr>
          <w:noProof/>
        </w:rPr>
        <w:t xml:space="preserve"> </w:t>
      </w:r>
      <w:r w:rsidR="00B574B3" w:rsidRPr="00B574B3">
        <w:rPr>
          <w:noProof/>
        </w:rPr>
        <w:drawing>
          <wp:inline distT="0" distB="0" distL="0" distR="0" wp14:anchorId="71EB1BCD" wp14:editId="28944575">
            <wp:extent cx="1645920" cy="1645920"/>
            <wp:effectExtent l="0" t="0" r="5080" b="5080"/>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45920" cy="1645920"/>
                    </a:xfrm>
                    <a:prstGeom prst="rect">
                      <a:avLst/>
                    </a:prstGeom>
                  </pic:spPr>
                </pic:pic>
              </a:graphicData>
            </a:graphic>
          </wp:inline>
        </w:drawing>
      </w:r>
      <w:r w:rsidRPr="007B3EB9">
        <w:rPr>
          <w:b/>
          <w:bCs/>
          <w:noProof/>
        </w:rPr>
        <w:t>C</w:t>
      </w:r>
      <w:r w:rsidR="00CC1DFD" w:rsidRPr="00B24120">
        <w:rPr>
          <w:noProof/>
        </w:rPr>
        <w:t xml:space="preserve"> </w:t>
      </w:r>
      <w:r w:rsidR="00B574B3" w:rsidRPr="00B574B3">
        <w:rPr>
          <w:noProof/>
        </w:rPr>
        <w:t xml:space="preserve"> </w:t>
      </w:r>
      <w:r w:rsidR="00B574B3" w:rsidRPr="00B574B3">
        <w:rPr>
          <w:noProof/>
        </w:rPr>
        <w:drawing>
          <wp:inline distT="0" distB="0" distL="0" distR="0" wp14:anchorId="39A8A633" wp14:editId="1166DFB7">
            <wp:extent cx="1645920" cy="1645920"/>
            <wp:effectExtent l="0" t="0" r="5080" b="5080"/>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645920" cy="1645920"/>
                    </a:xfrm>
                    <a:prstGeom prst="rect">
                      <a:avLst/>
                    </a:prstGeom>
                  </pic:spPr>
                </pic:pic>
              </a:graphicData>
            </a:graphic>
          </wp:inline>
        </w:drawing>
      </w:r>
    </w:p>
    <w:p w14:paraId="6B559783" w14:textId="133C7647" w:rsidR="00CC1DFD" w:rsidRPr="00B24120" w:rsidRDefault="00E16FBA" w:rsidP="00E16FBA">
      <w:pPr>
        <w:spacing w:line="480" w:lineRule="auto"/>
        <w:rPr>
          <w:rFonts w:cstheme="minorHAnsi"/>
        </w:rPr>
      </w:pPr>
      <w:r w:rsidRPr="00E16FBA">
        <w:rPr>
          <w:rFonts w:cstheme="minorHAnsi"/>
          <w:b/>
          <w:bCs/>
        </w:rPr>
        <w:lastRenderedPageBreak/>
        <w:t>Figure</w:t>
      </w:r>
      <w:r w:rsidR="00CC1DFD" w:rsidRPr="00E16FBA">
        <w:rPr>
          <w:rFonts w:cstheme="minorHAnsi"/>
          <w:b/>
          <w:bCs/>
        </w:rPr>
        <w:t xml:space="preserve"> </w:t>
      </w:r>
      <w:r w:rsidR="00857004">
        <w:rPr>
          <w:rFonts w:cstheme="minorHAnsi"/>
          <w:b/>
          <w:bCs/>
        </w:rPr>
        <w:t>7</w:t>
      </w:r>
      <w:r w:rsidR="00CC1DFD" w:rsidRPr="00E16FBA">
        <w:rPr>
          <w:rFonts w:cstheme="minorHAnsi"/>
          <w:b/>
          <w:bCs/>
        </w:rPr>
        <w:t>.</w:t>
      </w:r>
      <w:r w:rsidR="00CC1DFD" w:rsidRPr="00B24120">
        <w:rPr>
          <w:rFonts w:cstheme="minorHAnsi"/>
        </w:rPr>
        <w:t xml:space="preserve"> Scatter plots of observed vs. ensemble mean MDA8 of AIRPACT in (</w:t>
      </w:r>
      <w:r w:rsidR="007B3EB9">
        <w:rPr>
          <w:rFonts w:cstheme="minorHAnsi"/>
        </w:rPr>
        <w:t>A</w:t>
      </w:r>
      <w:r w:rsidR="00CC1DFD" w:rsidRPr="00B24120">
        <w:rPr>
          <w:rFonts w:cstheme="minorHAnsi"/>
        </w:rPr>
        <w:t>), ML1 in (</w:t>
      </w:r>
      <w:r w:rsidR="007B3EB9">
        <w:rPr>
          <w:rFonts w:cstheme="minorHAnsi"/>
        </w:rPr>
        <w:t>B</w:t>
      </w:r>
      <w:r w:rsidR="00CC1DFD" w:rsidRPr="00B24120">
        <w:rPr>
          <w:rFonts w:cstheme="minorHAnsi"/>
        </w:rPr>
        <w:t>) and ML2 in (</w:t>
      </w:r>
      <w:r w:rsidR="007B3EB9">
        <w:rPr>
          <w:rFonts w:cstheme="minorHAnsi"/>
        </w:rPr>
        <w:t>C</w:t>
      </w:r>
      <w:r w:rsidR="00CC1DFD" w:rsidRPr="00B24120">
        <w:rPr>
          <w:rFonts w:cstheme="minorHAnsi"/>
        </w:rPr>
        <w:t xml:space="preserve">) at Kennewick from May to September in 2019 </w:t>
      </w:r>
    </w:p>
    <w:p w14:paraId="7F03B1CB" w14:textId="77777777" w:rsidR="00CC1DFD" w:rsidRPr="00B24120" w:rsidRDefault="00CC1DFD" w:rsidP="00CC1DFD">
      <w:pPr>
        <w:spacing w:line="480" w:lineRule="auto"/>
        <w:rPr>
          <w:rFonts w:cstheme="minorHAnsi"/>
        </w:rPr>
      </w:pPr>
    </w:p>
    <w:p w14:paraId="7F2DE8B8" w14:textId="761B655B" w:rsidR="00CC1DFD" w:rsidRPr="00B24120" w:rsidRDefault="00CC1DFD" w:rsidP="00FA2B05">
      <w:pPr>
        <w:pStyle w:val="TAMainText"/>
      </w:pPr>
      <w:r w:rsidRPr="00B24120">
        <w:t xml:space="preserve">The model performance statistics are presented in Table </w:t>
      </w:r>
      <w:r w:rsidR="00AF64F6">
        <w:t>2</w:t>
      </w:r>
      <w:r w:rsidRPr="00B24120">
        <w:t xml:space="preserve">, the blue cells show misses, and red cells show false alarms. In 2019, all the </w:t>
      </w:r>
      <w:proofErr w:type="spellStart"/>
      <w:r w:rsidRPr="00B24120">
        <w:t>AQI</w:t>
      </w:r>
      <w:r w:rsidRPr="00B24120">
        <w:rPr>
          <w:vertAlign w:val="subscript"/>
        </w:rPr>
        <w:t>obs</w:t>
      </w:r>
      <w:proofErr w:type="spellEnd"/>
      <w:r w:rsidRPr="00B24120">
        <w:t xml:space="preserve"> at Kennewick were less than 3. Compared to AIRPACT, ML1 captured high O</w:t>
      </w:r>
      <w:r w:rsidRPr="00B24120">
        <w:rPr>
          <w:vertAlign w:val="subscript"/>
        </w:rPr>
        <w:t>3</w:t>
      </w:r>
      <w:r w:rsidRPr="00B24120">
        <w:t xml:space="preserve"> days better (1</w:t>
      </w:r>
      <w:r w:rsidR="008D38CB">
        <w:t>5</w:t>
      </w:r>
      <w:r w:rsidRPr="00B24120">
        <w:t xml:space="preserve"> events vs. </w:t>
      </w:r>
      <w:r w:rsidR="008D38CB">
        <w:t>7</w:t>
      </w:r>
      <w:r w:rsidRPr="00B24120">
        <w:t xml:space="preserve"> events for AQI</w:t>
      </w:r>
      <w:r w:rsidRPr="00B24120">
        <w:rPr>
          <w:vertAlign w:val="subscript"/>
        </w:rPr>
        <w:t>obs</w:t>
      </w:r>
      <w:r w:rsidRPr="00B24120">
        <w:t>2) but tended to overpredict the O</w:t>
      </w:r>
      <w:r w:rsidRPr="00B24120">
        <w:rPr>
          <w:vertAlign w:val="subscript"/>
        </w:rPr>
        <w:t>3</w:t>
      </w:r>
      <w:r w:rsidRPr="00B24120">
        <w:t xml:space="preserve"> AQI (</w:t>
      </w:r>
      <w:r w:rsidR="008D38CB">
        <w:t>2</w:t>
      </w:r>
      <w:r w:rsidR="00630A69">
        <w:t>6</w:t>
      </w:r>
      <w:r w:rsidRPr="00B24120">
        <w:t xml:space="preserve"> false alarm events vs. </w:t>
      </w:r>
      <w:r w:rsidR="00630A69">
        <w:t>3</w:t>
      </w:r>
      <w:r w:rsidRPr="00B24120">
        <w:t xml:space="preserve"> false alarm events). ML2 </w:t>
      </w:r>
      <w:r w:rsidR="00070AAD">
        <w:t>predicted similar AQI days to AIRPACT</w:t>
      </w:r>
      <w:r w:rsidRPr="00B24120">
        <w:t xml:space="preserve">. Based on </w:t>
      </w:r>
      <w:r w:rsidR="00630A69">
        <w:t>the analysis above</w:t>
      </w:r>
      <w:r w:rsidRPr="00B24120">
        <w:t xml:space="preserve">, we decided to use ML1 to provide the daily forecasting for Kennewick when the predicted AQI was above 2, and ML2 when the predicted AQI was 1 or 2. </w:t>
      </w:r>
    </w:p>
    <w:p w14:paraId="14938D89" w14:textId="47B3228B" w:rsidR="00CC1DFD" w:rsidRPr="00E16FBA" w:rsidRDefault="00CC1DFD" w:rsidP="00E16FBA">
      <w:pPr>
        <w:spacing w:line="480" w:lineRule="auto"/>
        <w:rPr>
          <w:rFonts w:cstheme="minorHAnsi"/>
          <w:b/>
          <w:bCs/>
        </w:rPr>
      </w:pPr>
      <w:r w:rsidRPr="00E16FBA">
        <w:rPr>
          <w:rFonts w:cstheme="minorHAnsi"/>
          <w:b/>
          <w:bCs/>
        </w:rPr>
        <w:t xml:space="preserve">Table </w:t>
      </w:r>
      <w:r w:rsidR="00AF64F6">
        <w:rPr>
          <w:rFonts w:cstheme="minorHAnsi"/>
          <w:b/>
          <w:bCs/>
        </w:rPr>
        <w:t>2</w:t>
      </w:r>
      <w:r w:rsidRPr="00E16FBA">
        <w:rPr>
          <w:rFonts w:cstheme="minorHAnsi"/>
          <w:b/>
          <w:bCs/>
        </w:rPr>
        <w:t>. Number of days for each AQI during May – September 2019</w:t>
      </w:r>
    </w:p>
    <w:tbl>
      <w:tblPr>
        <w:tblW w:w="0" w:type="auto"/>
        <w:jc w:val="center"/>
        <w:tblLook w:val="0600" w:firstRow="0" w:lastRow="0" w:firstColumn="0" w:lastColumn="0" w:noHBand="1" w:noVBand="1"/>
      </w:tblPr>
      <w:tblGrid>
        <w:gridCol w:w="700"/>
        <w:gridCol w:w="700"/>
        <w:gridCol w:w="823"/>
        <w:gridCol w:w="823"/>
        <w:gridCol w:w="700"/>
        <w:gridCol w:w="823"/>
        <w:gridCol w:w="823"/>
        <w:gridCol w:w="700"/>
        <w:gridCol w:w="823"/>
        <w:gridCol w:w="823"/>
      </w:tblGrid>
      <w:tr w:rsidR="00CC1DFD" w:rsidRPr="00B24120" w14:paraId="52A846EA" w14:textId="77777777" w:rsidTr="00E16FBA">
        <w:trPr>
          <w:trHeight w:val="320"/>
          <w:jc w:val="center"/>
        </w:trPr>
        <w:tc>
          <w:tcPr>
            <w:tcW w:w="0" w:type="auto"/>
            <w:tcBorders>
              <w:top w:val="single" w:sz="4" w:space="0" w:color="auto"/>
              <w:left w:val="nil"/>
              <w:bottom w:val="nil"/>
              <w:right w:val="nil"/>
            </w:tcBorders>
            <w:shd w:val="clear" w:color="auto" w:fill="auto"/>
            <w:noWrap/>
            <w:vAlign w:val="bottom"/>
            <w:hideMark/>
          </w:tcPr>
          <w:p w14:paraId="7BA97F68" w14:textId="77777777" w:rsidR="00CC1DFD" w:rsidRPr="00B24120" w:rsidRDefault="00CC1DFD" w:rsidP="00563C42">
            <w:pPr>
              <w:pStyle w:val="TCTableBody"/>
              <w:jc w:val="center"/>
            </w:pPr>
          </w:p>
        </w:tc>
        <w:tc>
          <w:tcPr>
            <w:tcW w:w="0" w:type="auto"/>
            <w:tcBorders>
              <w:top w:val="single" w:sz="4" w:space="0" w:color="auto"/>
              <w:left w:val="nil"/>
              <w:bottom w:val="single" w:sz="4" w:space="0" w:color="auto"/>
              <w:right w:val="nil"/>
            </w:tcBorders>
            <w:shd w:val="clear" w:color="auto" w:fill="auto"/>
            <w:noWrap/>
            <w:vAlign w:val="bottom"/>
            <w:hideMark/>
          </w:tcPr>
          <w:p w14:paraId="3089B34A" w14:textId="77777777" w:rsidR="00CC1DFD" w:rsidRPr="00B24120" w:rsidRDefault="00CC1DFD" w:rsidP="00563C42">
            <w:pPr>
              <w:pStyle w:val="TCTableBody"/>
              <w:jc w:val="center"/>
            </w:pPr>
          </w:p>
        </w:tc>
        <w:tc>
          <w:tcPr>
            <w:tcW w:w="0" w:type="auto"/>
            <w:gridSpan w:val="8"/>
            <w:tcBorders>
              <w:top w:val="single" w:sz="4" w:space="0" w:color="auto"/>
              <w:left w:val="nil"/>
              <w:bottom w:val="single" w:sz="4" w:space="0" w:color="auto"/>
              <w:right w:val="nil"/>
            </w:tcBorders>
            <w:shd w:val="clear" w:color="auto" w:fill="auto"/>
            <w:noWrap/>
            <w:vAlign w:val="bottom"/>
            <w:hideMark/>
          </w:tcPr>
          <w:p w14:paraId="2DAFF720" w14:textId="77777777" w:rsidR="00CC1DFD" w:rsidRPr="00B24120" w:rsidRDefault="00CC1DFD" w:rsidP="00563C42">
            <w:pPr>
              <w:pStyle w:val="TCTableBody"/>
              <w:jc w:val="center"/>
              <w:rPr>
                <w:color w:val="000000"/>
              </w:rPr>
            </w:pPr>
            <w:r w:rsidRPr="00B24120">
              <w:rPr>
                <w:color w:val="000000"/>
              </w:rPr>
              <w:t>Observation</w:t>
            </w:r>
          </w:p>
        </w:tc>
      </w:tr>
      <w:tr w:rsidR="00CC1DFD" w:rsidRPr="00B24120" w14:paraId="17026B81" w14:textId="77777777" w:rsidTr="00E16FBA">
        <w:trPr>
          <w:trHeight w:val="340"/>
          <w:jc w:val="center"/>
        </w:trPr>
        <w:tc>
          <w:tcPr>
            <w:tcW w:w="0" w:type="auto"/>
            <w:tcBorders>
              <w:top w:val="nil"/>
              <w:left w:val="nil"/>
              <w:bottom w:val="single" w:sz="4" w:space="0" w:color="auto"/>
              <w:right w:val="nil"/>
            </w:tcBorders>
            <w:shd w:val="clear" w:color="auto" w:fill="auto"/>
            <w:noWrap/>
            <w:vAlign w:val="bottom"/>
            <w:hideMark/>
          </w:tcPr>
          <w:p w14:paraId="1CB55301" w14:textId="77777777" w:rsidR="00CC1DFD" w:rsidRPr="00B24120" w:rsidRDefault="00CC1DFD" w:rsidP="00563C42">
            <w:pPr>
              <w:pStyle w:val="TCTableBody"/>
              <w:jc w:val="center"/>
              <w:rPr>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733E1897" w14:textId="77777777" w:rsidR="00CC1DFD" w:rsidRPr="00B24120" w:rsidRDefault="00CC1DFD" w:rsidP="00563C42">
            <w:pPr>
              <w:pStyle w:val="TCTableBody"/>
              <w:jc w:val="center"/>
            </w:pPr>
          </w:p>
        </w:tc>
        <w:tc>
          <w:tcPr>
            <w:tcW w:w="0" w:type="auto"/>
            <w:tcBorders>
              <w:top w:val="single" w:sz="4" w:space="0" w:color="auto"/>
              <w:left w:val="nil"/>
              <w:bottom w:val="single" w:sz="4" w:space="0" w:color="auto"/>
              <w:right w:val="nil"/>
            </w:tcBorders>
            <w:shd w:val="clear" w:color="auto" w:fill="auto"/>
            <w:noWrap/>
            <w:vAlign w:val="bottom"/>
            <w:hideMark/>
          </w:tcPr>
          <w:p w14:paraId="304240C8" w14:textId="77777777" w:rsidR="00CC1DFD" w:rsidRPr="00B24120" w:rsidRDefault="00CC1DFD" w:rsidP="00563C42">
            <w:pPr>
              <w:pStyle w:val="TCTableBody"/>
              <w:jc w:val="center"/>
              <w:rPr>
                <w:color w:val="000000"/>
              </w:rPr>
            </w:pPr>
            <w:r w:rsidRPr="00B24120">
              <w:rPr>
                <w:color w:val="000000"/>
              </w:rPr>
              <w:t>AQI 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8BC1018" w14:textId="77777777" w:rsidR="00CC1DFD" w:rsidRPr="00B24120" w:rsidRDefault="00CC1DFD" w:rsidP="00563C42">
            <w:pPr>
              <w:pStyle w:val="TCTableBody"/>
              <w:jc w:val="center"/>
              <w:rPr>
                <w:color w:val="000000"/>
              </w:rPr>
            </w:pPr>
            <w:r w:rsidRPr="00B24120">
              <w:rPr>
                <w:color w:val="000000"/>
              </w:rPr>
              <w:t>AQI 2</w:t>
            </w:r>
          </w:p>
        </w:tc>
        <w:tc>
          <w:tcPr>
            <w:tcW w:w="0" w:type="auto"/>
            <w:tcBorders>
              <w:top w:val="single" w:sz="4" w:space="0" w:color="auto"/>
              <w:left w:val="single" w:sz="4" w:space="0" w:color="auto"/>
              <w:bottom w:val="single" w:sz="4" w:space="0" w:color="auto"/>
              <w:right w:val="nil"/>
            </w:tcBorders>
            <w:shd w:val="clear" w:color="auto" w:fill="auto"/>
            <w:noWrap/>
            <w:vAlign w:val="bottom"/>
            <w:hideMark/>
          </w:tcPr>
          <w:p w14:paraId="61C267F2" w14:textId="77777777" w:rsidR="00CC1DFD" w:rsidRPr="00B24120" w:rsidRDefault="00CC1DFD" w:rsidP="00563C42">
            <w:pPr>
              <w:pStyle w:val="TCTableBody"/>
              <w:jc w:val="center"/>
              <w:rPr>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7A1A993C" w14:textId="77777777" w:rsidR="00CC1DFD" w:rsidRPr="00B24120" w:rsidRDefault="00CC1DFD" w:rsidP="00563C42">
            <w:pPr>
              <w:pStyle w:val="TCTableBody"/>
              <w:jc w:val="center"/>
              <w:rPr>
                <w:color w:val="000000"/>
              </w:rPr>
            </w:pPr>
            <w:r w:rsidRPr="00B24120">
              <w:rPr>
                <w:color w:val="000000"/>
              </w:rPr>
              <w:t>AQI 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9758955" w14:textId="77777777" w:rsidR="00CC1DFD" w:rsidRPr="00B24120" w:rsidRDefault="00CC1DFD" w:rsidP="00563C42">
            <w:pPr>
              <w:pStyle w:val="TCTableBody"/>
              <w:jc w:val="center"/>
              <w:rPr>
                <w:color w:val="000000"/>
              </w:rPr>
            </w:pPr>
            <w:r w:rsidRPr="00B24120">
              <w:rPr>
                <w:color w:val="000000"/>
              </w:rPr>
              <w:t>AQI 2</w:t>
            </w:r>
          </w:p>
        </w:tc>
        <w:tc>
          <w:tcPr>
            <w:tcW w:w="0" w:type="auto"/>
            <w:tcBorders>
              <w:top w:val="single" w:sz="4" w:space="0" w:color="auto"/>
              <w:left w:val="single" w:sz="4" w:space="0" w:color="auto"/>
              <w:bottom w:val="single" w:sz="4" w:space="0" w:color="auto"/>
              <w:right w:val="nil"/>
            </w:tcBorders>
            <w:shd w:val="clear" w:color="auto" w:fill="auto"/>
            <w:noWrap/>
            <w:vAlign w:val="bottom"/>
            <w:hideMark/>
          </w:tcPr>
          <w:p w14:paraId="5D226981" w14:textId="77777777" w:rsidR="00CC1DFD" w:rsidRPr="00B24120" w:rsidRDefault="00CC1DFD" w:rsidP="00563C42">
            <w:pPr>
              <w:pStyle w:val="TCTableBody"/>
              <w:jc w:val="center"/>
              <w:rPr>
                <w:color w:val="000000"/>
              </w:rPr>
            </w:pPr>
          </w:p>
        </w:tc>
        <w:tc>
          <w:tcPr>
            <w:tcW w:w="0" w:type="auto"/>
            <w:tcBorders>
              <w:top w:val="single" w:sz="4" w:space="0" w:color="auto"/>
              <w:left w:val="nil"/>
              <w:bottom w:val="single" w:sz="4" w:space="0" w:color="auto"/>
              <w:right w:val="nil"/>
            </w:tcBorders>
            <w:shd w:val="clear" w:color="auto" w:fill="auto"/>
            <w:noWrap/>
            <w:vAlign w:val="bottom"/>
            <w:hideMark/>
          </w:tcPr>
          <w:p w14:paraId="0C365BB9" w14:textId="77777777" w:rsidR="00CC1DFD" w:rsidRPr="00B24120" w:rsidRDefault="00CC1DFD" w:rsidP="00563C42">
            <w:pPr>
              <w:pStyle w:val="TCTableBody"/>
              <w:jc w:val="center"/>
              <w:rPr>
                <w:color w:val="000000"/>
              </w:rPr>
            </w:pPr>
            <w:r w:rsidRPr="00B24120">
              <w:rPr>
                <w:color w:val="000000"/>
              </w:rPr>
              <w:t>AQI 1</w:t>
            </w:r>
          </w:p>
        </w:tc>
        <w:tc>
          <w:tcPr>
            <w:tcW w:w="0" w:type="auto"/>
            <w:tcBorders>
              <w:top w:val="single" w:sz="4" w:space="0" w:color="auto"/>
              <w:left w:val="nil"/>
              <w:bottom w:val="single" w:sz="4" w:space="0" w:color="auto"/>
              <w:right w:val="nil"/>
            </w:tcBorders>
            <w:shd w:val="clear" w:color="auto" w:fill="auto"/>
            <w:noWrap/>
            <w:vAlign w:val="bottom"/>
            <w:hideMark/>
          </w:tcPr>
          <w:p w14:paraId="1C69843A" w14:textId="77777777" w:rsidR="00CC1DFD" w:rsidRPr="00B24120" w:rsidRDefault="00CC1DFD" w:rsidP="00563C42">
            <w:pPr>
              <w:pStyle w:val="TCTableBody"/>
              <w:jc w:val="center"/>
              <w:rPr>
                <w:color w:val="000000"/>
              </w:rPr>
            </w:pPr>
            <w:r w:rsidRPr="00B24120">
              <w:rPr>
                <w:color w:val="000000"/>
              </w:rPr>
              <w:t>AQI 2</w:t>
            </w:r>
          </w:p>
        </w:tc>
      </w:tr>
      <w:tr w:rsidR="00CC1DFD" w:rsidRPr="00B24120" w14:paraId="7A2BE0DA" w14:textId="77777777" w:rsidTr="00E16FBA">
        <w:trPr>
          <w:trHeight w:val="760"/>
          <w:jc w:val="center"/>
        </w:trPr>
        <w:tc>
          <w:tcPr>
            <w:tcW w:w="0" w:type="auto"/>
            <w:tcBorders>
              <w:top w:val="single" w:sz="4" w:space="0" w:color="auto"/>
              <w:left w:val="single" w:sz="8" w:space="0" w:color="FFFFFF"/>
              <w:bottom w:val="single" w:sz="8" w:space="0" w:color="FFFFFF"/>
              <w:right w:val="single" w:sz="8" w:space="0" w:color="FFFFFF"/>
            </w:tcBorders>
            <w:shd w:val="clear" w:color="auto" w:fill="auto"/>
            <w:textDirection w:val="btLr"/>
            <w:vAlign w:val="center"/>
            <w:hideMark/>
          </w:tcPr>
          <w:p w14:paraId="52E303D0" w14:textId="77777777" w:rsidR="00CC1DFD" w:rsidRPr="00B24120" w:rsidRDefault="00CC1DFD" w:rsidP="00563C42">
            <w:pPr>
              <w:pStyle w:val="TCTableBody"/>
              <w:jc w:val="center"/>
              <w:rPr>
                <w:color w:val="000000"/>
              </w:rPr>
            </w:pPr>
            <w:r w:rsidRPr="00B24120">
              <w:rPr>
                <w:color w:val="000000"/>
              </w:rPr>
              <w:t>AQI 1</w:t>
            </w:r>
          </w:p>
        </w:tc>
        <w:tc>
          <w:tcPr>
            <w:tcW w:w="0" w:type="auto"/>
            <w:vMerge w:val="restart"/>
            <w:tcBorders>
              <w:top w:val="single" w:sz="4" w:space="0" w:color="auto"/>
              <w:left w:val="single" w:sz="8" w:space="0" w:color="FFFFFF"/>
              <w:bottom w:val="single" w:sz="8" w:space="0" w:color="FFFFFF"/>
              <w:right w:val="single" w:sz="8" w:space="0" w:color="FFFFFF"/>
            </w:tcBorders>
            <w:shd w:val="clear" w:color="auto" w:fill="auto"/>
            <w:textDirection w:val="btLr"/>
            <w:vAlign w:val="center"/>
            <w:hideMark/>
          </w:tcPr>
          <w:p w14:paraId="6A161522" w14:textId="77777777" w:rsidR="00CC1DFD" w:rsidRPr="00B24120" w:rsidRDefault="00CC1DFD" w:rsidP="00563C42">
            <w:pPr>
              <w:pStyle w:val="TCTableBody"/>
              <w:jc w:val="center"/>
              <w:rPr>
                <w:color w:val="000000"/>
              </w:rPr>
            </w:pPr>
            <w:r w:rsidRPr="00B24120">
              <w:rPr>
                <w:color w:val="000000"/>
              </w:rPr>
              <w:t>AIRPACT</w:t>
            </w:r>
          </w:p>
        </w:tc>
        <w:tc>
          <w:tcPr>
            <w:tcW w:w="0" w:type="auto"/>
            <w:tcBorders>
              <w:top w:val="single" w:sz="4" w:space="0" w:color="auto"/>
              <w:left w:val="nil"/>
              <w:bottom w:val="single" w:sz="8" w:space="0" w:color="FFFFFF"/>
              <w:right w:val="single" w:sz="8" w:space="0" w:color="FFFFFF"/>
            </w:tcBorders>
            <w:shd w:val="clear" w:color="auto" w:fill="auto"/>
            <w:vAlign w:val="center"/>
            <w:hideMark/>
          </w:tcPr>
          <w:p w14:paraId="6C3599A2" w14:textId="6D0F0469" w:rsidR="00CC1DFD" w:rsidRPr="00B24120" w:rsidRDefault="00070AAD" w:rsidP="00563C42">
            <w:pPr>
              <w:pStyle w:val="TCTableBody"/>
              <w:jc w:val="center"/>
              <w:rPr>
                <w:color w:val="000000"/>
              </w:rPr>
            </w:pPr>
            <w:r>
              <w:rPr>
                <w:color w:val="000000"/>
              </w:rPr>
              <w:t>122</w:t>
            </w:r>
          </w:p>
        </w:tc>
        <w:tc>
          <w:tcPr>
            <w:tcW w:w="0" w:type="auto"/>
            <w:tcBorders>
              <w:top w:val="single" w:sz="4" w:space="0" w:color="auto"/>
              <w:left w:val="nil"/>
              <w:bottom w:val="single" w:sz="8" w:space="0" w:color="FFFFFF"/>
              <w:right w:val="single" w:sz="4" w:space="0" w:color="auto"/>
            </w:tcBorders>
            <w:shd w:val="clear" w:color="000000" w:fill="76D6FF"/>
            <w:vAlign w:val="center"/>
            <w:hideMark/>
          </w:tcPr>
          <w:p w14:paraId="5F53C559" w14:textId="670907ED" w:rsidR="00CC1DFD" w:rsidRPr="00B24120" w:rsidRDefault="008D38CB" w:rsidP="00563C42">
            <w:pPr>
              <w:pStyle w:val="TCTableBody"/>
              <w:jc w:val="center"/>
              <w:rPr>
                <w:color w:val="000000"/>
              </w:rPr>
            </w:pPr>
            <w:r>
              <w:rPr>
                <w:color w:val="000000"/>
              </w:rPr>
              <w:t>1</w:t>
            </w:r>
            <w:r w:rsidR="00070AAD">
              <w:rPr>
                <w:color w:val="000000"/>
              </w:rPr>
              <w:t>1</w:t>
            </w:r>
          </w:p>
        </w:tc>
        <w:tc>
          <w:tcPr>
            <w:tcW w:w="0" w:type="auto"/>
            <w:vMerge w:val="restart"/>
            <w:tcBorders>
              <w:top w:val="single" w:sz="4" w:space="0" w:color="auto"/>
              <w:left w:val="single" w:sz="4" w:space="0" w:color="auto"/>
              <w:bottom w:val="single" w:sz="4" w:space="0" w:color="auto"/>
              <w:right w:val="single" w:sz="8" w:space="0" w:color="FFFFFF"/>
            </w:tcBorders>
            <w:shd w:val="clear" w:color="auto" w:fill="auto"/>
            <w:textDirection w:val="btLr"/>
            <w:vAlign w:val="center"/>
            <w:hideMark/>
          </w:tcPr>
          <w:p w14:paraId="2BC6DDF2" w14:textId="77777777" w:rsidR="00CC1DFD" w:rsidRPr="00B24120" w:rsidRDefault="00CC1DFD" w:rsidP="00563C42">
            <w:pPr>
              <w:pStyle w:val="TCTableBody"/>
              <w:jc w:val="center"/>
              <w:rPr>
                <w:color w:val="000000"/>
              </w:rPr>
            </w:pPr>
            <w:r w:rsidRPr="00B24120">
              <w:rPr>
                <w:color w:val="000000"/>
              </w:rPr>
              <w:t>ML1</w:t>
            </w:r>
          </w:p>
        </w:tc>
        <w:tc>
          <w:tcPr>
            <w:tcW w:w="0" w:type="auto"/>
            <w:tcBorders>
              <w:top w:val="single" w:sz="4" w:space="0" w:color="auto"/>
              <w:left w:val="nil"/>
              <w:bottom w:val="single" w:sz="8" w:space="0" w:color="FFFFFF"/>
              <w:right w:val="single" w:sz="8" w:space="0" w:color="FFFFFF"/>
            </w:tcBorders>
            <w:shd w:val="clear" w:color="auto" w:fill="auto"/>
            <w:vAlign w:val="center"/>
            <w:hideMark/>
          </w:tcPr>
          <w:p w14:paraId="073D5500" w14:textId="54216173" w:rsidR="00CC1DFD" w:rsidRPr="00B24120" w:rsidRDefault="00070AAD" w:rsidP="00563C42">
            <w:pPr>
              <w:pStyle w:val="TCTableBody"/>
              <w:jc w:val="center"/>
              <w:rPr>
                <w:color w:val="000000"/>
              </w:rPr>
            </w:pPr>
            <w:r>
              <w:rPr>
                <w:color w:val="000000"/>
              </w:rPr>
              <w:t>99</w:t>
            </w:r>
          </w:p>
        </w:tc>
        <w:tc>
          <w:tcPr>
            <w:tcW w:w="0" w:type="auto"/>
            <w:tcBorders>
              <w:top w:val="single" w:sz="4" w:space="0" w:color="auto"/>
              <w:left w:val="nil"/>
              <w:bottom w:val="single" w:sz="8" w:space="0" w:color="FFFFFF"/>
              <w:right w:val="single" w:sz="4" w:space="0" w:color="auto"/>
            </w:tcBorders>
            <w:shd w:val="clear" w:color="000000" w:fill="76D6FF"/>
            <w:vAlign w:val="center"/>
            <w:hideMark/>
          </w:tcPr>
          <w:p w14:paraId="56F28A6F" w14:textId="78191413" w:rsidR="00CC1DFD" w:rsidRPr="00B24120" w:rsidRDefault="00070AAD" w:rsidP="00563C42">
            <w:pPr>
              <w:pStyle w:val="TCTableBody"/>
              <w:jc w:val="center"/>
              <w:rPr>
                <w:color w:val="000000"/>
              </w:rPr>
            </w:pPr>
            <w:r>
              <w:rPr>
                <w:color w:val="000000"/>
              </w:rPr>
              <w:t>3</w:t>
            </w:r>
          </w:p>
        </w:tc>
        <w:tc>
          <w:tcPr>
            <w:tcW w:w="0" w:type="auto"/>
            <w:vMerge w:val="restart"/>
            <w:tcBorders>
              <w:top w:val="single" w:sz="4" w:space="0" w:color="auto"/>
              <w:left w:val="single" w:sz="4" w:space="0" w:color="auto"/>
              <w:bottom w:val="single" w:sz="4" w:space="0" w:color="auto"/>
              <w:right w:val="single" w:sz="8" w:space="0" w:color="FFFFFF"/>
            </w:tcBorders>
            <w:shd w:val="clear" w:color="auto" w:fill="auto"/>
            <w:textDirection w:val="btLr"/>
            <w:vAlign w:val="center"/>
            <w:hideMark/>
          </w:tcPr>
          <w:p w14:paraId="31B5AF53" w14:textId="77777777" w:rsidR="00CC1DFD" w:rsidRPr="00B24120" w:rsidRDefault="00CC1DFD" w:rsidP="00563C42">
            <w:pPr>
              <w:pStyle w:val="TCTableBody"/>
              <w:jc w:val="center"/>
              <w:rPr>
                <w:color w:val="000000"/>
              </w:rPr>
            </w:pPr>
            <w:r w:rsidRPr="00B24120">
              <w:rPr>
                <w:color w:val="000000"/>
              </w:rPr>
              <w:t>ML2</w:t>
            </w:r>
          </w:p>
        </w:tc>
        <w:tc>
          <w:tcPr>
            <w:tcW w:w="0" w:type="auto"/>
            <w:tcBorders>
              <w:top w:val="single" w:sz="4" w:space="0" w:color="auto"/>
              <w:left w:val="nil"/>
              <w:bottom w:val="single" w:sz="8" w:space="0" w:color="FFFFFF"/>
              <w:right w:val="single" w:sz="8" w:space="0" w:color="FFFFFF"/>
            </w:tcBorders>
            <w:shd w:val="clear" w:color="auto" w:fill="auto"/>
            <w:vAlign w:val="center"/>
            <w:hideMark/>
          </w:tcPr>
          <w:p w14:paraId="2213C551" w14:textId="5874990A" w:rsidR="00CC1DFD" w:rsidRPr="00B24120" w:rsidRDefault="008D38CB" w:rsidP="00563C42">
            <w:pPr>
              <w:pStyle w:val="TCTableBody"/>
              <w:jc w:val="center"/>
              <w:rPr>
                <w:color w:val="000000"/>
              </w:rPr>
            </w:pPr>
            <w:r>
              <w:rPr>
                <w:color w:val="000000"/>
              </w:rPr>
              <w:t>11</w:t>
            </w:r>
            <w:r w:rsidR="00070AAD">
              <w:rPr>
                <w:color w:val="000000"/>
              </w:rPr>
              <w:t>9</w:t>
            </w:r>
          </w:p>
        </w:tc>
        <w:tc>
          <w:tcPr>
            <w:tcW w:w="0" w:type="auto"/>
            <w:tcBorders>
              <w:top w:val="single" w:sz="4" w:space="0" w:color="auto"/>
              <w:left w:val="nil"/>
              <w:bottom w:val="single" w:sz="8" w:space="0" w:color="FFFFFF"/>
              <w:right w:val="single" w:sz="8" w:space="0" w:color="FFFFFF"/>
            </w:tcBorders>
            <w:shd w:val="clear" w:color="000000" w:fill="76D6FF"/>
            <w:vAlign w:val="center"/>
            <w:hideMark/>
          </w:tcPr>
          <w:p w14:paraId="6B8576CF" w14:textId="1BC2DA3D" w:rsidR="00CC1DFD" w:rsidRPr="00B24120" w:rsidRDefault="00070AAD" w:rsidP="00563C42">
            <w:pPr>
              <w:pStyle w:val="TCTableBody"/>
              <w:jc w:val="center"/>
              <w:rPr>
                <w:color w:val="000000"/>
              </w:rPr>
            </w:pPr>
            <w:r>
              <w:rPr>
                <w:color w:val="000000"/>
              </w:rPr>
              <w:t>13</w:t>
            </w:r>
          </w:p>
        </w:tc>
      </w:tr>
      <w:tr w:rsidR="00CC1DFD" w:rsidRPr="00B24120" w14:paraId="147E702C" w14:textId="77777777" w:rsidTr="00E16FBA">
        <w:trPr>
          <w:trHeight w:val="760"/>
          <w:jc w:val="center"/>
        </w:trPr>
        <w:tc>
          <w:tcPr>
            <w:tcW w:w="0" w:type="auto"/>
            <w:tcBorders>
              <w:top w:val="nil"/>
              <w:left w:val="single" w:sz="8" w:space="0" w:color="FFFFFF"/>
              <w:bottom w:val="single" w:sz="4" w:space="0" w:color="auto"/>
              <w:right w:val="single" w:sz="8" w:space="0" w:color="FFFFFF"/>
            </w:tcBorders>
            <w:shd w:val="clear" w:color="auto" w:fill="auto"/>
            <w:textDirection w:val="btLr"/>
            <w:vAlign w:val="center"/>
            <w:hideMark/>
          </w:tcPr>
          <w:p w14:paraId="005DFC91" w14:textId="77777777" w:rsidR="00CC1DFD" w:rsidRPr="00B24120" w:rsidRDefault="00CC1DFD" w:rsidP="00563C42">
            <w:pPr>
              <w:pStyle w:val="TCTableBody"/>
              <w:jc w:val="center"/>
              <w:rPr>
                <w:color w:val="000000"/>
              </w:rPr>
            </w:pPr>
            <w:r w:rsidRPr="00B24120">
              <w:rPr>
                <w:color w:val="000000"/>
              </w:rPr>
              <w:t>AQI 2</w:t>
            </w:r>
          </w:p>
        </w:tc>
        <w:tc>
          <w:tcPr>
            <w:tcW w:w="0" w:type="auto"/>
            <w:vMerge/>
            <w:tcBorders>
              <w:top w:val="single" w:sz="8" w:space="0" w:color="FFFFFF"/>
              <w:left w:val="single" w:sz="8" w:space="0" w:color="FFFFFF"/>
              <w:bottom w:val="single" w:sz="4" w:space="0" w:color="auto"/>
              <w:right w:val="single" w:sz="8" w:space="0" w:color="FFFFFF"/>
            </w:tcBorders>
            <w:vAlign w:val="center"/>
            <w:hideMark/>
          </w:tcPr>
          <w:p w14:paraId="30AEF369" w14:textId="77777777" w:rsidR="00CC1DFD" w:rsidRPr="00B24120" w:rsidRDefault="00CC1DFD" w:rsidP="00563C42">
            <w:pPr>
              <w:pStyle w:val="TCTableBody"/>
              <w:jc w:val="center"/>
              <w:rPr>
                <w:color w:val="000000"/>
              </w:rPr>
            </w:pPr>
          </w:p>
        </w:tc>
        <w:tc>
          <w:tcPr>
            <w:tcW w:w="0" w:type="auto"/>
            <w:tcBorders>
              <w:top w:val="nil"/>
              <w:left w:val="nil"/>
              <w:bottom w:val="single" w:sz="4" w:space="0" w:color="auto"/>
              <w:right w:val="single" w:sz="8" w:space="0" w:color="FFFFFF"/>
            </w:tcBorders>
            <w:shd w:val="clear" w:color="000000" w:fill="F88EA2"/>
            <w:vAlign w:val="center"/>
            <w:hideMark/>
          </w:tcPr>
          <w:p w14:paraId="42BCC77B" w14:textId="6A01354B" w:rsidR="00CC1DFD" w:rsidRPr="00B24120" w:rsidRDefault="00070AAD" w:rsidP="00563C42">
            <w:pPr>
              <w:pStyle w:val="TCTableBody"/>
              <w:jc w:val="center"/>
              <w:rPr>
                <w:color w:val="000000"/>
              </w:rPr>
            </w:pPr>
            <w:r>
              <w:rPr>
                <w:color w:val="000000"/>
              </w:rPr>
              <w:t>3</w:t>
            </w:r>
          </w:p>
        </w:tc>
        <w:tc>
          <w:tcPr>
            <w:tcW w:w="0" w:type="auto"/>
            <w:tcBorders>
              <w:top w:val="nil"/>
              <w:left w:val="nil"/>
              <w:bottom w:val="single" w:sz="4" w:space="0" w:color="auto"/>
              <w:right w:val="single" w:sz="4" w:space="0" w:color="auto"/>
            </w:tcBorders>
            <w:shd w:val="clear" w:color="auto" w:fill="auto"/>
            <w:vAlign w:val="center"/>
            <w:hideMark/>
          </w:tcPr>
          <w:p w14:paraId="5F3D94B8" w14:textId="122068C0" w:rsidR="00CC1DFD" w:rsidRPr="00B24120" w:rsidRDefault="008D38CB" w:rsidP="00563C42">
            <w:pPr>
              <w:pStyle w:val="TCTableBody"/>
              <w:jc w:val="center"/>
              <w:rPr>
                <w:color w:val="000000"/>
              </w:rPr>
            </w:pPr>
            <w:r>
              <w:rPr>
                <w:color w:val="000000"/>
              </w:rPr>
              <w:t>7</w:t>
            </w:r>
          </w:p>
        </w:tc>
        <w:tc>
          <w:tcPr>
            <w:tcW w:w="0" w:type="auto"/>
            <w:vMerge/>
            <w:tcBorders>
              <w:top w:val="single" w:sz="8" w:space="0" w:color="FFFFFF"/>
              <w:left w:val="single" w:sz="4" w:space="0" w:color="auto"/>
              <w:bottom w:val="single" w:sz="4" w:space="0" w:color="auto"/>
              <w:right w:val="single" w:sz="8" w:space="0" w:color="FFFFFF"/>
            </w:tcBorders>
            <w:shd w:val="clear" w:color="auto" w:fill="auto"/>
            <w:vAlign w:val="center"/>
            <w:hideMark/>
          </w:tcPr>
          <w:p w14:paraId="587F4B48" w14:textId="77777777" w:rsidR="00CC1DFD" w:rsidRPr="00B24120" w:rsidRDefault="00CC1DFD" w:rsidP="00563C42">
            <w:pPr>
              <w:pStyle w:val="TCTableBody"/>
              <w:jc w:val="center"/>
              <w:rPr>
                <w:color w:val="000000"/>
              </w:rPr>
            </w:pPr>
          </w:p>
        </w:tc>
        <w:tc>
          <w:tcPr>
            <w:tcW w:w="0" w:type="auto"/>
            <w:tcBorders>
              <w:top w:val="nil"/>
              <w:left w:val="nil"/>
              <w:bottom w:val="single" w:sz="4" w:space="0" w:color="auto"/>
              <w:right w:val="single" w:sz="8" w:space="0" w:color="FFFFFF"/>
            </w:tcBorders>
            <w:shd w:val="clear" w:color="000000" w:fill="F88EA2"/>
            <w:vAlign w:val="center"/>
            <w:hideMark/>
          </w:tcPr>
          <w:p w14:paraId="2677ED56" w14:textId="7E0528F0" w:rsidR="00CC1DFD" w:rsidRPr="00B24120" w:rsidRDefault="008D38CB" w:rsidP="00563C42">
            <w:pPr>
              <w:pStyle w:val="TCTableBody"/>
              <w:jc w:val="center"/>
              <w:rPr>
                <w:color w:val="000000"/>
              </w:rPr>
            </w:pPr>
            <w:r>
              <w:rPr>
                <w:color w:val="000000"/>
              </w:rPr>
              <w:t>2</w:t>
            </w:r>
            <w:r w:rsidR="00070AAD">
              <w:rPr>
                <w:color w:val="000000"/>
              </w:rPr>
              <w:t>6</w:t>
            </w:r>
          </w:p>
        </w:tc>
        <w:tc>
          <w:tcPr>
            <w:tcW w:w="0" w:type="auto"/>
            <w:tcBorders>
              <w:top w:val="nil"/>
              <w:left w:val="nil"/>
              <w:bottom w:val="single" w:sz="4" w:space="0" w:color="auto"/>
              <w:right w:val="single" w:sz="4" w:space="0" w:color="auto"/>
            </w:tcBorders>
            <w:shd w:val="clear" w:color="auto" w:fill="auto"/>
            <w:vAlign w:val="center"/>
            <w:hideMark/>
          </w:tcPr>
          <w:p w14:paraId="61D8D076" w14:textId="358F4523" w:rsidR="00CC1DFD" w:rsidRPr="00B24120" w:rsidRDefault="00CC1DFD" w:rsidP="00563C42">
            <w:pPr>
              <w:pStyle w:val="TCTableBody"/>
              <w:jc w:val="center"/>
              <w:rPr>
                <w:color w:val="000000"/>
              </w:rPr>
            </w:pPr>
            <w:r w:rsidRPr="00B24120">
              <w:rPr>
                <w:color w:val="000000"/>
              </w:rPr>
              <w:t>1</w:t>
            </w:r>
            <w:r w:rsidR="008D38CB">
              <w:rPr>
                <w:color w:val="000000"/>
              </w:rPr>
              <w:t>5</w:t>
            </w:r>
          </w:p>
        </w:tc>
        <w:tc>
          <w:tcPr>
            <w:tcW w:w="0" w:type="auto"/>
            <w:vMerge/>
            <w:tcBorders>
              <w:top w:val="single" w:sz="8" w:space="0" w:color="FFFFFF"/>
              <w:left w:val="single" w:sz="4" w:space="0" w:color="auto"/>
              <w:bottom w:val="single" w:sz="4" w:space="0" w:color="auto"/>
              <w:right w:val="single" w:sz="8" w:space="0" w:color="FFFFFF"/>
            </w:tcBorders>
            <w:shd w:val="clear" w:color="auto" w:fill="auto"/>
            <w:vAlign w:val="center"/>
            <w:hideMark/>
          </w:tcPr>
          <w:p w14:paraId="55C21F00" w14:textId="77777777" w:rsidR="00CC1DFD" w:rsidRPr="00B24120" w:rsidRDefault="00CC1DFD" w:rsidP="00563C42">
            <w:pPr>
              <w:pStyle w:val="TCTableBody"/>
              <w:jc w:val="center"/>
              <w:rPr>
                <w:color w:val="000000"/>
              </w:rPr>
            </w:pPr>
          </w:p>
        </w:tc>
        <w:tc>
          <w:tcPr>
            <w:tcW w:w="0" w:type="auto"/>
            <w:tcBorders>
              <w:top w:val="nil"/>
              <w:left w:val="nil"/>
              <w:bottom w:val="single" w:sz="4" w:space="0" w:color="auto"/>
              <w:right w:val="single" w:sz="8" w:space="0" w:color="FFFFFF"/>
            </w:tcBorders>
            <w:shd w:val="clear" w:color="000000" w:fill="F88EA2"/>
            <w:vAlign w:val="center"/>
            <w:hideMark/>
          </w:tcPr>
          <w:p w14:paraId="132C1E91" w14:textId="77777777" w:rsidR="00CC1DFD" w:rsidRPr="00B24120" w:rsidRDefault="00CC1DFD" w:rsidP="00563C42">
            <w:pPr>
              <w:pStyle w:val="TCTableBody"/>
              <w:jc w:val="center"/>
              <w:rPr>
                <w:color w:val="000000"/>
              </w:rPr>
            </w:pPr>
            <w:r w:rsidRPr="00B24120">
              <w:rPr>
                <w:color w:val="000000"/>
              </w:rPr>
              <w:t>6</w:t>
            </w:r>
          </w:p>
        </w:tc>
        <w:tc>
          <w:tcPr>
            <w:tcW w:w="0" w:type="auto"/>
            <w:tcBorders>
              <w:top w:val="nil"/>
              <w:left w:val="nil"/>
              <w:bottom w:val="single" w:sz="4" w:space="0" w:color="auto"/>
              <w:right w:val="single" w:sz="8" w:space="0" w:color="FFFFFF"/>
            </w:tcBorders>
            <w:shd w:val="clear" w:color="auto" w:fill="auto"/>
            <w:vAlign w:val="center"/>
            <w:hideMark/>
          </w:tcPr>
          <w:p w14:paraId="1E9D52CE" w14:textId="3169FCC3" w:rsidR="00CC1DFD" w:rsidRPr="00B24120" w:rsidRDefault="00070AAD" w:rsidP="00563C42">
            <w:pPr>
              <w:pStyle w:val="TCTableBody"/>
              <w:jc w:val="center"/>
              <w:rPr>
                <w:color w:val="000000"/>
              </w:rPr>
            </w:pPr>
            <w:r>
              <w:rPr>
                <w:color w:val="000000"/>
              </w:rPr>
              <w:t>5</w:t>
            </w:r>
          </w:p>
        </w:tc>
      </w:tr>
    </w:tbl>
    <w:p w14:paraId="71FB9D3D" w14:textId="77777777" w:rsidR="00B24120" w:rsidRPr="00B24120" w:rsidRDefault="00B24120" w:rsidP="00FA2B05">
      <w:pPr>
        <w:pStyle w:val="FETableFootnote"/>
      </w:pPr>
      <w:r w:rsidRPr="00B24120">
        <w:t xml:space="preserve">ML1 and ML2 are the ensemble mean results using 20 WRF ensemble members. </w:t>
      </w:r>
    </w:p>
    <w:p w14:paraId="1F45CEAF" w14:textId="5CCC2352" w:rsidR="00CC1DFD" w:rsidRPr="00B24120" w:rsidRDefault="00B24120" w:rsidP="00FA2B05">
      <w:pPr>
        <w:pStyle w:val="FETableFootnote"/>
      </w:pPr>
      <w:r w:rsidRPr="00B24120">
        <w:t>The blue cells mean the model misses high O</w:t>
      </w:r>
      <w:r w:rsidRPr="00B24120">
        <w:rPr>
          <w:vertAlign w:val="subscript"/>
        </w:rPr>
        <w:t>3</w:t>
      </w:r>
      <w:r w:rsidRPr="00B24120">
        <w:t>, and the red cells mean the model raises false alarms.</w:t>
      </w:r>
    </w:p>
    <w:p w14:paraId="623EC2DC" w14:textId="77777777" w:rsidR="00CC1DFD" w:rsidRPr="00B24120" w:rsidRDefault="00CC1DFD" w:rsidP="00CC1DFD">
      <w:pPr>
        <w:spacing w:line="480" w:lineRule="auto"/>
        <w:rPr>
          <w:rFonts w:cstheme="minorHAnsi"/>
        </w:rPr>
      </w:pPr>
    </w:p>
    <w:p w14:paraId="6F651E49" w14:textId="69BF2B65" w:rsidR="00CC1DFD" w:rsidRPr="00D86AE6" w:rsidRDefault="00D86AE6" w:rsidP="00D86AE6">
      <w:pPr>
        <w:pStyle w:val="Heading1"/>
        <w:spacing w:before="0" w:line="480" w:lineRule="auto"/>
        <w:rPr>
          <w:rFonts w:ascii="Times" w:hAnsi="Times" w:cstheme="minorHAnsi"/>
          <w:b/>
          <w:color w:val="000000" w:themeColor="text1"/>
        </w:rPr>
      </w:pPr>
      <w:r w:rsidRPr="00D86AE6">
        <w:rPr>
          <w:rFonts w:ascii="Times" w:hAnsi="Times" w:cstheme="minorHAnsi"/>
          <w:b/>
          <w:color w:val="000000" w:themeColor="text1"/>
        </w:rPr>
        <w:lastRenderedPageBreak/>
        <w:t>Acknowledgement</w:t>
      </w:r>
    </w:p>
    <w:p w14:paraId="1547D8BF" w14:textId="352EB5AC" w:rsidR="00CC1DFD" w:rsidRPr="006F0503" w:rsidRDefault="00D86AE6" w:rsidP="006F0503">
      <w:pPr>
        <w:pStyle w:val="TAMainText"/>
      </w:pPr>
      <w:r w:rsidRPr="00D86AE6">
        <w:t>We</w:t>
      </w:r>
      <w:r>
        <w:t xml:space="preserve"> thank the fund from </w:t>
      </w:r>
      <w:r w:rsidR="006F0503" w:rsidRPr="006F0503">
        <w:t>CEE - YUNHA LEE ACCRUALS</w:t>
      </w:r>
      <w:r w:rsidR="006F0503">
        <w:t xml:space="preserve"> (</w:t>
      </w:r>
      <w:r w:rsidR="006F0503" w:rsidRPr="006F0503">
        <w:t>2315-0028</w:t>
      </w:r>
      <w:r w:rsidR="006F0503">
        <w:t>)</w:t>
      </w:r>
      <w:r>
        <w:t xml:space="preserve">. We acknowledge </w:t>
      </w:r>
      <w:r w:rsidR="004F0497">
        <w:t xml:space="preserve">that David Ovens </w:t>
      </w:r>
      <w:r>
        <w:t>from University of Washington</w:t>
      </w:r>
      <w:r w:rsidR="004F0497">
        <w:t xml:space="preserve"> helped setup a data feed of WRF ensembles</w:t>
      </w:r>
      <w:r>
        <w:t>.</w:t>
      </w:r>
      <w:r w:rsidR="00CC1DFD" w:rsidRPr="00B24120">
        <w:rPr>
          <w:rFonts w:cstheme="minorHAnsi"/>
          <w:b/>
          <w:bCs/>
        </w:rPr>
        <w:br w:type="page"/>
      </w:r>
    </w:p>
    <w:p w14:paraId="0052E58B" w14:textId="77777777" w:rsidR="00CC1DFD" w:rsidRPr="00B24120" w:rsidRDefault="00CC1DFD" w:rsidP="00CC1DFD">
      <w:pPr>
        <w:spacing w:line="480" w:lineRule="auto"/>
        <w:rPr>
          <w:rFonts w:cstheme="minorHAnsi"/>
          <w:b/>
          <w:bCs/>
        </w:rPr>
      </w:pPr>
      <w:r w:rsidRPr="00B24120">
        <w:rPr>
          <w:rFonts w:cstheme="minorHAnsi"/>
          <w:b/>
          <w:bCs/>
        </w:rPr>
        <w:lastRenderedPageBreak/>
        <w:t>Reference:</w:t>
      </w:r>
    </w:p>
    <w:p w14:paraId="25C503C3" w14:textId="77777777" w:rsidR="008A1E89" w:rsidRPr="008A1E89" w:rsidRDefault="00CC1DFD" w:rsidP="00857004">
      <w:pPr>
        <w:pStyle w:val="TFReferencesSection"/>
      </w:pPr>
      <w:r w:rsidRPr="00B24120">
        <w:rPr>
          <w:rFonts w:cstheme="minorHAnsi"/>
        </w:rPr>
        <w:fldChar w:fldCharType="begin"/>
      </w:r>
      <w:r w:rsidR="008A1E89">
        <w:rPr>
          <w:rFonts w:cstheme="minorHAnsi"/>
        </w:rPr>
        <w:instrText xml:space="preserve"> ADDIN ZOTERO_BIBL {"uncited":[],"omitted":[],"custom":[]} CSL_BIBLIOGRAPHY </w:instrText>
      </w:r>
      <w:r w:rsidRPr="00B24120">
        <w:rPr>
          <w:rFonts w:cstheme="minorHAnsi"/>
        </w:rPr>
        <w:fldChar w:fldCharType="separate"/>
      </w:r>
      <w:r w:rsidR="008A1E89" w:rsidRPr="008A1E89">
        <w:t xml:space="preserve">(1) </w:t>
      </w:r>
      <w:r w:rsidR="008A1E89" w:rsidRPr="008A1E89">
        <w:tab/>
        <w:t xml:space="preserve">Sportisse, B. A Review of Current Issues in Air Pollution Modeling and Simulation. </w:t>
      </w:r>
      <w:r w:rsidR="008A1E89" w:rsidRPr="008A1E89">
        <w:rPr>
          <w:i/>
          <w:iCs/>
        </w:rPr>
        <w:t>Computational Geosciences</w:t>
      </w:r>
      <w:r w:rsidR="008A1E89" w:rsidRPr="008A1E89">
        <w:t xml:space="preserve"> </w:t>
      </w:r>
      <w:r w:rsidR="008A1E89" w:rsidRPr="008A1E89">
        <w:rPr>
          <w:b/>
          <w:bCs/>
        </w:rPr>
        <w:t>2007</w:t>
      </w:r>
      <w:r w:rsidR="008A1E89" w:rsidRPr="008A1E89">
        <w:t xml:space="preserve">, </w:t>
      </w:r>
      <w:r w:rsidR="008A1E89" w:rsidRPr="008A1E89">
        <w:rPr>
          <w:i/>
          <w:iCs/>
        </w:rPr>
        <w:t>11</w:t>
      </w:r>
      <w:r w:rsidR="008A1E89" w:rsidRPr="008A1E89">
        <w:t xml:space="preserve"> (2), 159–181. https://doi.org/10.1007/s10596-006-9036-4.</w:t>
      </w:r>
    </w:p>
    <w:p w14:paraId="122E23FD" w14:textId="77777777" w:rsidR="008A1E89" w:rsidRPr="008A1E89" w:rsidRDefault="008A1E89" w:rsidP="00857004">
      <w:pPr>
        <w:pStyle w:val="TFReferencesSection"/>
      </w:pPr>
      <w:r w:rsidRPr="008A1E89">
        <w:t xml:space="preserve">(2) </w:t>
      </w:r>
      <w:r w:rsidRPr="008A1E89">
        <w:tab/>
        <w:t xml:space="preserve">Seinfeld, J. H.; Pandis, S. N. </w:t>
      </w:r>
      <w:r w:rsidRPr="008A1E89">
        <w:rPr>
          <w:i/>
          <w:iCs/>
        </w:rPr>
        <w:t>Atmospheric Chemistry and Physics: From Air Pollution to Climate Change</w:t>
      </w:r>
      <w:r w:rsidRPr="008A1E89">
        <w:t>; John Wiley &amp; Sons, 2016.</w:t>
      </w:r>
    </w:p>
    <w:p w14:paraId="0F2753B7" w14:textId="77777777" w:rsidR="008A1E89" w:rsidRPr="008A1E89" w:rsidRDefault="008A1E89" w:rsidP="00857004">
      <w:pPr>
        <w:pStyle w:val="TFReferencesSection"/>
      </w:pPr>
      <w:r w:rsidRPr="008A1E89">
        <w:t xml:space="preserve">(3) </w:t>
      </w:r>
      <w:r w:rsidRPr="008A1E89">
        <w:tab/>
        <w:t>April 1, 2019 Population of Cities, Towns and Counties Used for Allocation of Selected State Revenues State of Washington. Washington State Office of Financial Management 2019.</w:t>
      </w:r>
    </w:p>
    <w:p w14:paraId="72C34CCC" w14:textId="77777777" w:rsidR="008A1E89" w:rsidRPr="008A1E89" w:rsidRDefault="008A1E89" w:rsidP="00857004">
      <w:pPr>
        <w:pStyle w:val="TFReferencesSection"/>
      </w:pPr>
      <w:r w:rsidRPr="008A1E89">
        <w:t xml:space="preserve">(4) </w:t>
      </w:r>
      <w:r w:rsidRPr="008A1E89">
        <w:tab/>
        <w:t xml:space="preserve">B. T. Jobson; G. VanderSchelden. </w:t>
      </w:r>
      <w:r w:rsidRPr="008A1E89">
        <w:rPr>
          <w:i/>
          <w:iCs/>
        </w:rPr>
        <w:t>The Tri-Cities Ozone Precursor Study (T-COPS)</w:t>
      </w:r>
      <w:r w:rsidRPr="008A1E89">
        <w:t>; Final Report; Washington Department of Ecology, 2017.</w:t>
      </w:r>
    </w:p>
    <w:p w14:paraId="49662C97" w14:textId="77777777" w:rsidR="008A1E89" w:rsidRPr="008A1E89" w:rsidRDefault="008A1E89" w:rsidP="00857004">
      <w:pPr>
        <w:pStyle w:val="TFReferencesSection"/>
      </w:pPr>
      <w:r w:rsidRPr="008A1E89">
        <w:t xml:space="preserve">(5) </w:t>
      </w:r>
      <w:r w:rsidRPr="008A1E89">
        <w:tab/>
        <w:t xml:space="preserve">Feng, X.; Li, Q.; Zhu, Y.; Hou, J.; Jin, L.; Wang, J. Artificial Neural Networks Forecasting of PM2.5 Pollution Using Air Mass Trajectory Based Geographic Model and Wavelet Transformation. </w:t>
      </w:r>
      <w:r w:rsidRPr="008A1E89">
        <w:rPr>
          <w:i/>
          <w:iCs/>
        </w:rPr>
        <w:t>Atmospheric Environment</w:t>
      </w:r>
      <w:r w:rsidRPr="008A1E89">
        <w:t xml:space="preserve"> </w:t>
      </w:r>
      <w:r w:rsidRPr="008A1E89">
        <w:rPr>
          <w:b/>
          <w:bCs/>
        </w:rPr>
        <w:t>2015</w:t>
      </w:r>
      <w:r w:rsidRPr="008A1E89">
        <w:t xml:space="preserve">, </w:t>
      </w:r>
      <w:r w:rsidRPr="008A1E89">
        <w:rPr>
          <w:i/>
          <w:iCs/>
        </w:rPr>
        <w:t>107</w:t>
      </w:r>
      <w:r w:rsidRPr="008A1E89">
        <w:t>, 118–128. https://doi.org/10.1016/j.atmosenv.2015.02.030.</w:t>
      </w:r>
    </w:p>
    <w:p w14:paraId="6FC967B5" w14:textId="77777777" w:rsidR="008A1E89" w:rsidRPr="008A1E89" w:rsidRDefault="008A1E89" w:rsidP="00857004">
      <w:pPr>
        <w:pStyle w:val="TFReferencesSection"/>
      </w:pPr>
      <w:r w:rsidRPr="008A1E89">
        <w:t xml:space="preserve">(6) </w:t>
      </w:r>
      <w:r w:rsidRPr="008A1E89">
        <w:tab/>
        <w:t xml:space="preserve">Freeman, B. S.; Taylor, G.; Gharabaghi, B.; Thé, J. Forecasting Air Quality Time Series Using Deep Learning. </w:t>
      </w:r>
      <w:r w:rsidRPr="008A1E89">
        <w:rPr>
          <w:i/>
          <w:iCs/>
        </w:rPr>
        <w:t>Journal of the Air &amp; Waste Management Association</w:t>
      </w:r>
      <w:r w:rsidRPr="008A1E89">
        <w:t xml:space="preserve"> </w:t>
      </w:r>
      <w:r w:rsidRPr="008A1E89">
        <w:rPr>
          <w:b/>
          <w:bCs/>
        </w:rPr>
        <w:t>2018</w:t>
      </w:r>
      <w:r w:rsidRPr="008A1E89">
        <w:t xml:space="preserve">, </w:t>
      </w:r>
      <w:r w:rsidRPr="008A1E89">
        <w:rPr>
          <w:i/>
          <w:iCs/>
        </w:rPr>
        <w:t>68</w:t>
      </w:r>
      <w:r w:rsidRPr="008A1E89">
        <w:t xml:space="preserve"> (8), 866–886. https://doi.org/10.1080/10962247.2018.1459956.</w:t>
      </w:r>
    </w:p>
    <w:p w14:paraId="1C9C7634" w14:textId="77777777" w:rsidR="008A1E89" w:rsidRPr="008A1E89" w:rsidRDefault="008A1E89" w:rsidP="00857004">
      <w:pPr>
        <w:pStyle w:val="TFReferencesSection"/>
      </w:pPr>
      <w:r w:rsidRPr="008A1E89">
        <w:t xml:space="preserve">(7) </w:t>
      </w:r>
      <w:r w:rsidRPr="008A1E89">
        <w:tab/>
        <w:t xml:space="preserve">Zamani Joharestani, M.; Cao, C.; Ni, X.; Bashir, B.; Talebiesfandarani, S. PM2.5 Prediction Based on Random Forest, XGBoost, and Deep Learning Using Multisource Remote Sensing Data. </w:t>
      </w:r>
      <w:r w:rsidRPr="008A1E89">
        <w:rPr>
          <w:i/>
          <w:iCs/>
        </w:rPr>
        <w:t>Atmosphere</w:t>
      </w:r>
      <w:r w:rsidRPr="008A1E89">
        <w:t xml:space="preserve"> </w:t>
      </w:r>
      <w:r w:rsidRPr="008A1E89">
        <w:rPr>
          <w:b/>
          <w:bCs/>
        </w:rPr>
        <w:t>2019</w:t>
      </w:r>
      <w:r w:rsidRPr="008A1E89">
        <w:t xml:space="preserve">, </w:t>
      </w:r>
      <w:r w:rsidRPr="008A1E89">
        <w:rPr>
          <w:i/>
          <w:iCs/>
        </w:rPr>
        <w:t>10</w:t>
      </w:r>
      <w:r w:rsidRPr="008A1E89">
        <w:t xml:space="preserve"> (7), 373. https://doi.org/10.3390/atmos10070373.</w:t>
      </w:r>
    </w:p>
    <w:p w14:paraId="396F6EA6" w14:textId="77777777" w:rsidR="008A1E89" w:rsidRPr="008A1E89" w:rsidRDefault="008A1E89" w:rsidP="00857004">
      <w:pPr>
        <w:pStyle w:val="TFReferencesSection"/>
      </w:pPr>
      <w:r w:rsidRPr="008A1E89">
        <w:lastRenderedPageBreak/>
        <w:t xml:space="preserve">(8) </w:t>
      </w:r>
      <w:r w:rsidRPr="008A1E89">
        <w:tab/>
        <w:t xml:space="preserve">Delavar, M.; Gholami, A.; Shiran, G.; Rashidi, Y.; Nakhaeizadeh, G.; Fedra, K.; Hatefi Afshar, S. A Novel Method for Improving Air Pollution Prediction Based on Machine Learning Approaches: A Case Study Applied to the Capital City of Tehran. </w:t>
      </w:r>
      <w:r w:rsidRPr="008A1E89">
        <w:rPr>
          <w:i/>
          <w:iCs/>
        </w:rPr>
        <w:t>ISPRS International Journal of Geo-Information</w:t>
      </w:r>
      <w:r w:rsidRPr="008A1E89">
        <w:t xml:space="preserve"> </w:t>
      </w:r>
      <w:r w:rsidRPr="008A1E89">
        <w:rPr>
          <w:b/>
          <w:bCs/>
        </w:rPr>
        <w:t>2019</w:t>
      </w:r>
      <w:r w:rsidRPr="008A1E89">
        <w:t xml:space="preserve">, </w:t>
      </w:r>
      <w:r w:rsidRPr="008A1E89">
        <w:rPr>
          <w:i/>
          <w:iCs/>
        </w:rPr>
        <w:t>8</w:t>
      </w:r>
      <w:r w:rsidRPr="008A1E89">
        <w:t xml:space="preserve"> (2), 99. https://doi.org/10.3390/ijgi8020099.</w:t>
      </w:r>
    </w:p>
    <w:p w14:paraId="02F4B445" w14:textId="77777777" w:rsidR="008A1E89" w:rsidRPr="008A1E89" w:rsidRDefault="008A1E89" w:rsidP="00857004">
      <w:pPr>
        <w:pStyle w:val="TFReferencesSection"/>
      </w:pPr>
      <w:r w:rsidRPr="008A1E89">
        <w:t xml:space="preserve">(9) </w:t>
      </w:r>
      <w:r w:rsidRPr="008A1E89">
        <w:tab/>
        <w:t xml:space="preserve">Watson, G. L.; Telesca, D.; Reid, C. E.; Pfister, G. G.; Jerrett, M. Machine Learning Models Accurately Predict Ozone Exposure during Wildfire Events. </w:t>
      </w:r>
      <w:r w:rsidRPr="008A1E89">
        <w:rPr>
          <w:i/>
          <w:iCs/>
        </w:rPr>
        <w:t>Environmental Pollution</w:t>
      </w:r>
      <w:r w:rsidRPr="008A1E89">
        <w:t xml:space="preserve"> </w:t>
      </w:r>
      <w:r w:rsidRPr="008A1E89">
        <w:rPr>
          <w:b/>
          <w:bCs/>
        </w:rPr>
        <w:t>2019</w:t>
      </w:r>
      <w:r w:rsidRPr="008A1E89">
        <w:t xml:space="preserve">, </w:t>
      </w:r>
      <w:r w:rsidRPr="008A1E89">
        <w:rPr>
          <w:i/>
          <w:iCs/>
        </w:rPr>
        <w:t>254</w:t>
      </w:r>
      <w:r w:rsidRPr="008A1E89">
        <w:t>, 112792. https://doi.org/10.1016/j.envpol.2019.06.088.</w:t>
      </w:r>
    </w:p>
    <w:p w14:paraId="00B46601" w14:textId="77777777" w:rsidR="008A1E89" w:rsidRPr="008A1E89" w:rsidRDefault="008A1E89" w:rsidP="00857004">
      <w:pPr>
        <w:pStyle w:val="TFReferencesSection"/>
      </w:pPr>
      <w:r w:rsidRPr="008A1E89">
        <w:t xml:space="preserve">(10) </w:t>
      </w:r>
      <w:r w:rsidRPr="008A1E89">
        <w:tab/>
        <w:t xml:space="preserve">Zheng, Y.; Liu, F.; Hsieh, H.-P. U-Air: When Urban Air Quality Inference Meets Big Data. In </w:t>
      </w:r>
      <w:r w:rsidRPr="008A1E89">
        <w:rPr>
          <w:i/>
          <w:iCs/>
        </w:rPr>
        <w:t>Proceedings of the 19th ACM SIGKDD international conference on Knowledge discovery and data mining - KDD ’13</w:t>
      </w:r>
      <w:r w:rsidRPr="008A1E89">
        <w:t>; ACM Press: Chicago, Illinois, USA, 2013; p 1436. https://doi.org/10.1145/2487575.2488188.</w:t>
      </w:r>
    </w:p>
    <w:p w14:paraId="23B9EAEA" w14:textId="77777777" w:rsidR="008A1E89" w:rsidRPr="008A1E89" w:rsidRDefault="008A1E89" w:rsidP="00857004">
      <w:pPr>
        <w:pStyle w:val="TFReferencesSection"/>
      </w:pPr>
      <w:r w:rsidRPr="008A1E89">
        <w:t xml:space="preserve">(11) </w:t>
      </w:r>
      <w:r w:rsidRPr="008A1E89">
        <w:tab/>
        <w:t xml:space="preserve">Pernak, R.; Alvarado, M.; Lonsdale, C.; Mountain, M.; Hegarty, J.; Nehrkorn, T. Forecasting Surface O3 in Texas Urban Areas Using Random Forest and Generalized Additive Models. </w:t>
      </w:r>
      <w:r w:rsidRPr="008A1E89">
        <w:rPr>
          <w:i/>
          <w:iCs/>
        </w:rPr>
        <w:t>Aerosol Air Qual. Res.</w:t>
      </w:r>
      <w:r w:rsidRPr="008A1E89">
        <w:t xml:space="preserve"> </w:t>
      </w:r>
      <w:r w:rsidRPr="008A1E89">
        <w:rPr>
          <w:b/>
          <w:bCs/>
        </w:rPr>
        <w:t>2019</w:t>
      </w:r>
      <w:r w:rsidRPr="008A1E89">
        <w:t xml:space="preserve">, </w:t>
      </w:r>
      <w:r w:rsidRPr="008A1E89">
        <w:rPr>
          <w:i/>
          <w:iCs/>
        </w:rPr>
        <w:t>9</w:t>
      </w:r>
      <w:r w:rsidRPr="008A1E89">
        <w:t xml:space="preserve"> (12), 2815–2826. https://doi.org/10.4209/aaqr.2018.12.0464.</w:t>
      </w:r>
    </w:p>
    <w:p w14:paraId="2E75E679" w14:textId="77777777" w:rsidR="008A1E89" w:rsidRPr="008A1E89" w:rsidRDefault="008A1E89" w:rsidP="00857004">
      <w:pPr>
        <w:pStyle w:val="TFReferencesSection"/>
      </w:pPr>
      <w:r w:rsidRPr="008A1E89">
        <w:t xml:space="preserve">(12) </w:t>
      </w:r>
      <w:r w:rsidRPr="008A1E89">
        <w:tab/>
        <w:t xml:space="preserve">Rybarczyk, Y.; Zalakeviciute, R. Machine Learning Approaches for Outdoor Air Quality Modelling: A Systematic Review. </w:t>
      </w:r>
      <w:r w:rsidRPr="008A1E89">
        <w:rPr>
          <w:i/>
          <w:iCs/>
        </w:rPr>
        <w:t>Applied Sciences</w:t>
      </w:r>
      <w:r w:rsidRPr="008A1E89">
        <w:t xml:space="preserve"> </w:t>
      </w:r>
      <w:r w:rsidRPr="008A1E89">
        <w:rPr>
          <w:b/>
          <w:bCs/>
        </w:rPr>
        <w:t>2018</w:t>
      </w:r>
      <w:r w:rsidRPr="008A1E89">
        <w:t xml:space="preserve">, </w:t>
      </w:r>
      <w:r w:rsidRPr="008A1E89">
        <w:rPr>
          <w:i/>
          <w:iCs/>
        </w:rPr>
        <w:t>8</w:t>
      </w:r>
      <w:r w:rsidRPr="008A1E89">
        <w:t xml:space="preserve"> (12), 2570. https://doi.org/10.3390/app8122570.</w:t>
      </w:r>
    </w:p>
    <w:p w14:paraId="7C1783FC" w14:textId="77777777" w:rsidR="008A1E89" w:rsidRPr="008A1E89" w:rsidRDefault="008A1E89" w:rsidP="00857004">
      <w:pPr>
        <w:pStyle w:val="TFReferencesSection"/>
      </w:pPr>
      <w:r w:rsidRPr="008A1E89">
        <w:t xml:space="preserve">(13) </w:t>
      </w:r>
      <w:r w:rsidRPr="008A1E89">
        <w:tab/>
        <w:t xml:space="preserve">Yu, R.; Yang, Y.; Yang, L.; Han, G.; Move, O. RAQ–A Random Forest Approach for Predicting Air Quality in Urban Sensing Systems. </w:t>
      </w:r>
      <w:r w:rsidRPr="008A1E89">
        <w:rPr>
          <w:i/>
          <w:iCs/>
        </w:rPr>
        <w:t>Sensors</w:t>
      </w:r>
      <w:r w:rsidRPr="008A1E89">
        <w:t xml:space="preserve"> </w:t>
      </w:r>
      <w:r w:rsidRPr="008A1E89">
        <w:rPr>
          <w:b/>
          <w:bCs/>
        </w:rPr>
        <w:t>2016</w:t>
      </w:r>
      <w:r w:rsidRPr="008A1E89">
        <w:t xml:space="preserve">, </w:t>
      </w:r>
      <w:r w:rsidRPr="008A1E89">
        <w:rPr>
          <w:i/>
          <w:iCs/>
        </w:rPr>
        <w:t>16</w:t>
      </w:r>
      <w:r w:rsidRPr="008A1E89">
        <w:t xml:space="preserve"> (1), 86. https://doi.org/10.3390/s16010086.</w:t>
      </w:r>
    </w:p>
    <w:p w14:paraId="2D2F62CE" w14:textId="77777777" w:rsidR="008A1E89" w:rsidRPr="008A1E89" w:rsidRDefault="008A1E89" w:rsidP="00857004">
      <w:pPr>
        <w:pStyle w:val="TFReferencesSection"/>
      </w:pPr>
      <w:r w:rsidRPr="008A1E89">
        <w:lastRenderedPageBreak/>
        <w:t xml:space="preserve">(14) </w:t>
      </w:r>
      <w:r w:rsidRPr="008A1E89">
        <w:tab/>
        <w:t xml:space="preserve">Zhan, Y.; Luo, Y.; Deng, X.; Grieneisen, M. L.; Zhang, M.; Di, B. Spatiotemporal Prediction of Daily Ambient Ozone Levels across China Using Random Forest for Human Exposure Assessment. </w:t>
      </w:r>
      <w:r w:rsidRPr="008A1E89">
        <w:rPr>
          <w:i/>
          <w:iCs/>
        </w:rPr>
        <w:t>Environmental Pollution</w:t>
      </w:r>
      <w:r w:rsidRPr="008A1E89">
        <w:t xml:space="preserve"> </w:t>
      </w:r>
      <w:r w:rsidRPr="008A1E89">
        <w:rPr>
          <w:b/>
          <w:bCs/>
        </w:rPr>
        <w:t>2018</w:t>
      </w:r>
      <w:r w:rsidRPr="008A1E89">
        <w:t xml:space="preserve">, </w:t>
      </w:r>
      <w:r w:rsidRPr="008A1E89">
        <w:rPr>
          <w:i/>
          <w:iCs/>
        </w:rPr>
        <w:t>233</w:t>
      </w:r>
      <w:r w:rsidRPr="008A1E89">
        <w:t>, 464–473. https://doi.org/10.1016/j.envpol.2017.10.029.</w:t>
      </w:r>
    </w:p>
    <w:p w14:paraId="0DEE4BA3" w14:textId="77777777" w:rsidR="008A1E89" w:rsidRPr="008A1E89" w:rsidRDefault="008A1E89" w:rsidP="00857004">
      <w:pPr>
        <w:pStyle w:val="TFReferencesSection"/>
      </w:pPr>
      <w:r w:rsidRPr="008A1E89">
        <w:t xml:space="preserve">(15) </w:t>
      </w:r>
      <w:r w:rsidRPr="008A1E89">
        <w:tab/>
        <w:t xml:space="preserve">Breiman, L. Random Forests. </w:t>
      </w:r>
      <w:r w:rsidRPr="008A1E89">
        <w:rPr>
          <w:i/>
          <w:iCs/>
        </w:rPr>
        <w:t>Machine Learning</w:t>
      </w:r>
      <w:r w:rsidRPr="008A1E89">
        <w:t xml:space="preserve"> </w:t>
      </w:r>
      <w:r w:rsidRPr="008A1E89">
        <w:rPr>
          <w:b/>
          <w:bCs/>
        </w:rPr>
        <w:t>2001</w:t>
      </w:r>
      <w:r w:rsidRPr="008A1E89">
        <w:t xml:space="preserve">, </w:t>
      </w:r>
      <w:r w:rsidRPr="008A1E89">
        <w:rPr>
          <w:i/>
          <w:iCs/>
        </w:rPr>
        <w:t>45</w:t>
      </w:r>
      <w:r w:rsidRPr="008A1E89">
        <w:t xml:space="preserve"> (1), 5–32. https://doi.org/10.1023/A:1010933404324.</w:t>
      </w:r>
    </w:p>
    <w:p w14:paraId="09D854AE" w14:textId="77777777" w:rsidR="008A1E89" w:rsidRPr="008A1E89" w:rsidRDefault="008A1E89" w:rsidP="00857004">
      <w:pPr>
        <w:pStyle w:val="TFReferencesSection"/>
      </w:pPr>
      <w:r w:rsidRPr="008A1E89">
        <w:t xml:space="preserve">(16) </w:t>
      </w:r>
      <w:r w:rsidRPr="008A1E89">
        <w:tab/>
        <w:t xml:space="preserve">Kam, H. T. Random Decision Forest. In </w:t>
      </w:r>
      <w:r w:rsidRPr="008A1E89">
        <w:rPr>
          <w:i/>
          <w:iCs/>
        </w:rPr>
        <w:t>Proceedings of the 3rd International Conference on Document Analysis and Recognition</w:t>
      </w:r>
      <w:r w:rsidRPr="008A1E89">
        <w:t>; 1995; Vol. 1416, p 278282.</w:t>
      </w:r>
    </w:p>
    <w:p w14:paraId="4B354DFC" w14:textId="77777777" w:rsidR="008A1E89" w:rsidRPr="008A1E89" w:rsidRDefault="008A1E89" w:rsidP="00857004">
      <w:pPr>
        <w:pStyle w:val="TFReferencesSection"/>
      </w:pPr>
      <w:r w:rsidRPr="008A1E89">
        <w:t xml:space="preserve">(17) </w:t>
      </w:r>
      <w:r w:rsidRPr="008A1E89">
        <w:tab/>
        <w:t xml:space="preserve">Mitchell, T. M. </w:t>
      </w:r>
      <w:r w:rsidRPr="008A1E89">
        <w:rPr>
          <w:i/>
          <w:iCs/>
        </w:rPr>
        <w:t>Machine Learning</w:t>
      </w:r>
      <w:r w:rsidRPr="008A1E89">
        <w:t>; McGraw-Hill series in computer science; McGraw-Hill: New York, 1997.</w:t>
      </w:r>
    </w:p>
    <w:p w14:paraId="56FD8DEB" w14:textId="77777777" w:rsidR="008A1E89" w:rsidRPr="008A1E89" w:rsidRDefault="008A1E89" w:rsidP="00857004">
      <w:pPr>
        <w:pStyle w:val="TFReferencesSection"/>
      </w:pPr>
      <w:r w:rsidRPr="008A1E89">
        <w:t xml:space="preserve">(18) </w:t>
      </w:r>
      <w:r w:rsidRPr="008A1E89">
        <w:tab/>
        <w:t xml:space="preserve">Arganis, M. L.; Val, R.; Dominguez, R.; Rodriguez, K.; Dolz, J.; Eato, J. M. Comparison Between Equations Obtained by Means of Multiple Linear Regression and Genetic Programming to Approach Measured Climatic Data in a River. In </w:t>
      </w:r>
      <w:r w:rsidRPr="008A1E89">
        <w:rPr>
          <w:i/>
          <w:iCs/>
        </w:rPr>
        <w:t>Genetic Programming - New Approaches and Successful Applications</w:t>
      </w:r>
      <w:r w:rsidRPr="008A1E89">
        <w:t>; Ventura Soto, S., Ed.; InTech, 2012. https://doi.org/10.5772/50556.</w:t>
      </w:r>
    </w:p>
    <w:p w14:paraId="583A5440" w14:textId="77777777" w:rsidR="008A1E89" w:rsidRPr="008A1E89" w:rsidRDefault="008A1E89" w:rsidP="00857004">
      <w:pPr>
        <w:pStyle w:val="TFReferencesSection"/>
      </w:pPr>
      <w:r w:rsidRPr="008A1E89">
        <w:t xml:space="preserve">(19) </w:t>
      </w:r>
      <w:r w:rsidRPr="008A1E89">
        <w:tab/>
        <w:t>Chaloulakou, A.; Assimacopoulos, D.; Lekkas, T. Forecasting Daily Maximum Ozone Concentrations in the Athens Basin. 16.</w:t>
      </w:r>
    </w:p>
    <w:p w14:paraId="50BEF9F5" w14:textId="77777777" w:rsidR="008A1E89" w:rsidRPr="008A1E89" w:rsidRDefault="008A1E89" w:rsidP="00857004">
      <w:pPr>
        <w:pStyle w:val="TFReferencesSection"/>
      </w:pPr>
      <w:r w:rsidRPr="008A1E89">
        <w:t xml:space="preserve">(20) </w:t>
      </w:r>
      <w:r w:rsidRPr="008A1E89">
        <w:tab/>
        <w:t xml:space="preserve">Moustris, K. P.; Nastos, P. T.; Larissi, I. K.; Paliatsos, A. G. Application of Multiple Linear Regression Models and Artificial Neural Networks on the Surface Ozone Forecast in the Greater Athens Area, Greece. </w:t>
      </w:r>
      <w:r w:rsidRPr="008A1E89">
        <w:rPr>
          <w:i/>
          <w:iCs/>
        </w:rPr>
        <w:t>Advances in Meteorology</w:t>
      </w:r>
      <w:r w:rsidRPr="008A1E89">
        <w:t xml:space="preserve"> </w:t>
      </w:r>
      <w:r w:rsidRPr="008A1E89">
        <w:rPr>
          <w:b/>
          <w:bCs/>
        </w:rPr>
        <w:t>2012</w:t>
      </w:r>
      <w:r w:rsidRPr="008A1E89">
        <w:t xml:space="preserve">, </w:t>
      </w:r>
      <w:r w:rsidRPr="008A1E89">
        <w:rPr>
          <w:i/>
          <w:iCs/>
        </w:rPr>
        <w:t>2012</w:t>
      </w:r>
      <w:r w:rsidRPr="008A1E89">
        <w:t>, 1–8. https://doi.org/10.1155/2012/894714.</w:t>
      </w:r>
    </w:p>
    <w:p w14:paraId="49881C9F" w14:textId="77777777" w:rsidR="008A1E89" w:rsidRPr="008A1E89" w:rsidRDefault="008A1E89" w:rsidP="00857004">
      <w:pPr>
        <w:pStyle w:val="TFReferencesSection"/>
      </w:pPr>
      <w:r w:rsidRPr="008A1E89">
        <w:lastRenderedPageBreak/>
        <w:t xml:space="preserve">(21) </w:t>
      </w:r>
      <w:r w:rsidRPr="008A1E89">
        <w:tab/>
        <w:t xml:space="preserve">Sousa, S.; Martins, F.; Alvimferraz, M.; Pereira, M. Multiple Linear Regression and Artificial Neural Networks Based on Principal Components to Predict Ozone Concentrations. </w:t>
      </w:r>
      <w:r w:rsidRPr="008A1E89">
        <w:rPr>
          <w:i/>
          <w:iCs/>
        </w:rPr>
        <w:t>Environmental Modelling &amp; Software</w:t>
      </w:r>
      <w:r w:rsidRPr="008A1E89">
        <w:t xml:space="preserve"> </w:t>
      </w:r>
      <w:r w:rsidRPr="008A1E89">
        <w:rPr>
          <w:b/>
          <w:bCs/>
        </w:rPr>
        <w:t>2007</w:t>
      </w:r>
      <w:r w:rsidRPr="008A1E89">
        <w:t xml:space="preserve">, </w:t>
      </w:r>
      <w:r w:rsidRPr="008A1E89">
        <w:rPr>
          <w:i/>
          <w:iCs/>
        </w:rPr>
        <w:t>22</w:t>
      </w:r>
      <w:r w:rsidRPr="008A1E89">
        <w:t xml:space="preserve"> (1), 97–103. https://doi.org/10.1016/j.envsoft.2005.12.002.</w:t>
      </w:r>
    </w:p>
    <w:p w14:paraId="05BED9D4" w14:textId="77777777" w:rsidR="008A1E89" w:rsidRPr="008A1E89" w:rsidRDefault="008A1E89" w:rsidP="00857004">
      <w:pPr>
        <w:pStyle w:val="TFReferencesSection"/>
      </w:pPr>
      <w:r w:rsidRPr="008A1E89">
        <w:t xml:space="preserve">(22) </w:t>
      </w:r>
      <w:r w:rsidRPr="008A1E89">
        <w:tab/>
        <w:t xml:space="preserve">Yuchi, W.; Gombojav, E.; Boldbaatar, B.; Galsuren, J.; Enkhmaa, S.; Beejin, B.; Naidan, G.; Ochir, C.; Legtseg, B.; Byambaa, T.; Barn, P.; Henderson, S. B.; Janes, C. R.; Lanphear, B. P.; McCandless, L. C.; Takaro, T. K.; Venners, S. A.; Webster, G. M.; Allen, R. W. Evaluation of Random Forest Regression and Multiple Linear Regression for Predicting Indoor Fine Particulate Matter Concentrations in a Highly Polluted City. </w:t>
      </w:r>
      <w:r w:rsidRPr="008A1E89">
        <w:rPr>
          <w:i/>
          <w:iCs/>
        </w:rPr>
        <w:t>Environmental Pollution</w:t>
      </w:r>
      <w:r w:rsidRPr="008A1E89">
        <w:t xml:space="preserve"> </w:t>
      </w:r>
      <w:r w:rsidRPr="008A1E89">
        <w:rPr>
          <w:b/>
          <w:bCs/>
        </w:rPr>
        <w:t>2019</w:t>
      </w:r>
      <w:r w:rsidRPr="008A1E89">
        <w:t xml:space="preserve">, </w:t>
      </w:r>
      <w:r w:rsidRPr="008A1E89">
        <w:rPr>
          <w:i/>
          <w:iCs/>
        </w:rPr>
        <w:t>245</w:t>
      </w:r>
      <w:r w:rsidRPr="008A1E89">
        <w:t>, 746–753. https://doi.org/10.1016/j.envpol.2018.11.034.</w:t>
      </w:r>
    </w:p>
    <w:p w14:paraId="05B75A3C" w14:textId="77777777" w:rsidR="008A1E89" w:rsidRPr="008A1E89" w:rsidRDefault="008A1E89" w:rsidP="00857004">
      <w:pPr>
        <w:pStyle w:val="TFReferencesSection"/>
      </w:pPr>
      <w:r w:rsidRPr="008A1E89">
        <w:t xml:space="preserve">(23) </w:t>
      </w:r>
      <w:r w:rsidRPr="008A1E89">
        <w:tab/>
        <w:t xml:space="preserve">Weaver, C. P.; Liang, X.-Z.; Zhu, J.; Adams, P. J.; Amar, P.; Avise, J.; Caughey, M.; Chen, J.; Cohen, R. C.; Cooter, E.; Dawson, J. P.; Gilliam, R.; Gilliland, A.; Goldstein, A. H.; Grambsch, A.; Grano, D.; Guenther, A.; Gustafson, W. I.; Harley, R. A.; He, S.; Hemming, B.; Hogrefe, C.; Huang, H.-C.; Hunt, S. W.; Jacob, D. J.; Kinney, P. L.; Kunkel, K.; Lamarque, J.-F.; Lamb, B.; Larkin, N. K.; Leung, L. R.; Liao, K.-J.; Lin, J.-T.; Lynn, B. H.; Manomaiphiboon, K.; Mass, C.; McKenzie, D.; Mickley, L. J.; O’neill, S. M.; Nolte, C.; Pandis, S. N.; Racherla, P. N.; Rosenzweig, C.; Russell, A. G.; Salathé, E.; Steiner, A. L.; Tagaris, E.; Tao, Z.; Tonse, S.; Wiedinmyer, C.; Williams, A.; Winner, D. A.; Woo, J.-H.; Wu, S.; Wuebbles, D. J. A Preliminary Synthesis of Modeled Climate Change Impacts on U.S. Regional Ozone Concentrations. </w:t>
      </w:r>
      <w:r w:rsidRPr="008A1E89">
        <w:rPr>
          <w:i/>
          <w:iCs/>
        </w:rPr>
        <w:t>Bull. Amer. Meteor. Soc.</w:t>
      </w:r>
      <w:r w:rsidRPr="008A1E89">
        <w:t xml:space="preserve"> </w:t>
      </w:r>
      <w:r w:rsidRPr="008A1E89">
        <w:rPr>
          <w:b/>
          <w:bCs/>
        </w:rPr>
        <w:t>2009</w:t>
      </w:r>
      <w:r w:rsidRPr="008A1E89">
        <w:t xml:space="preserve">, </w:t>
      </w:r>
      <w:r w:rsidRPr="008A1E89">
        <w:rPr>
          <w:i/>
          <w:iCs/>
        </w:rPr>
        <w:t>90</w:t>
      </w:r>
      <w:r w:rsidRPr="008A1E89">
        <w:t xml:space="preserve"> (12), 1843–1864. https://doi.org/10.1175/2009BAMS2568.1.</w:t>
      </w:r>
    </w:p>
    <w:p w14:paraId="660D5675" w14:textId="77777777" w:rsidR="008A1E89" w:rsidRPr="008A1E89" w:rsidRDefault="008A1E89" w:rsidP="00857004">
      <w:pPr>
        <w:pStyle w:val="TFReferencesSection"/>
      </w:pPr>
      <w:r w:rsidRPr="008A1E89">
        <w:lastRenderedPageBreak/>
        <w:t xml:space="preserve">(24) </w:t>
      </w:r>
      <w:r w:rsidRPr="008A1E89">
        <w:tab/>
        <w:t xml:space="preserve">Gong, X.; Kaulfus, A.; Nair, U.; Jaffe, D. A. Quantifying O </w:t>
      </w:r>
      <w:r w:rsidRPr="008A1E89">
        <w:rPr>
          <w:vertAlign w:val="subscript"/>
        </w:rPr>
        <w:t>3</w:t>
      </w:r>
      <w:r w:rsidRPr="008A1E89">
        <w:t xml:space="preserve"> Impacts in Urban Areas Due to Wildfires Using a Generalized Additive Model. </w:t>
      </w:r>
      <w:r w:rsidRPr="008A1E89">
        <w:rPr>
          <w:i/>
          <w:iCs/>
        </w:rPr>
        <w:t>Environ. Sci. Technol.</w:t>
      </w:r>
      <w:r w:rsidRPr="008A1E89">
        <w:t xml:space="preserve"> </w:t>
      </w:r>
      <w:r w:rsidRPr="008A1E89">
        <w:rPr>
          <w:b/>
          <w:bCs/>
        </w:rPr>
        <w:t>2017</w:t>
      </w:r>
      <w:r w:rsidRPr="008A1E89">
        <w:t xml:space="preserve">, </w:t>
      </w:r>
      <w:r w:rsidRPr="008A1E89">
        <w:rPr>
          <w:i/>
          <w:iCs/>
        </w:rPr>
        <w:t>51</w:t>
      </w:r>
      <w:r w:rsidRPr="008A1E89">
        <w:t xml:space="preserve"> (22), 13216–13223. https://doi.org/10.1021/acs.est.7b03130.</w:t>
      </w:r>
    </w:p>
    <w:p w14:paraId="28BABC38" w14:textId="77777777" w:rsidR="008A1E89" w:rsidRPr="008A1E89" w:rsidRDefault="008A1E89" w:rsidP="00857004">
      <w:pPr>
        <w:pStyle w:val="TFReferencesSection"/>
      </w:pPr>
      <w:r w:rsidRPr="008A1E89">
        <w:t xml:space="preserve">(25) </w:t>
      </w:r>
      <w:r w:rsidRPr="008A1E89">
        <w:tab/>
        <w:t xml:space="preserve">Mass, C. F.; Albright, M.; Ovens, D.; Steed, R.; Maciver, M.; Grimit, E.; Eckel, T.; Lamb, B.; Vaughan, J.; Westrick, K.; Storck, P.; Colman, B.; Hill, C.; Maykut, N.; Gilroy, M.; Ferguson, S. A.; Yetter, J.; Sierchio, J. M.; Bowman, C.; Stender, R.; Wilson, R.; Brown, W. Regional Environmental Prediction Over the Pacific Northwest. </w:t>
      </w:r>
      <w:r w:rsidRPr="008A1E89">
        <w:rPr>
          <w:i/>
          <w:iCs/>
        </w:rPr>
        <w:t>Bull. Amer. Meteor. Soc.</w:t>
      </w:r>
      <w:r w:rsidRPr="008A1E89">
        <w:t xml:space="preserve"> </w:t>
      </w:r>
      <w:r w:rsidRPr="008A1E89">
        <w:rPr>
          <w:b/>
          <w:bCs/>
        </w:rPr>
        <w:t>2003</w:t>
      </w:r>
      <w:r w:rsidRPr="008A1E89">
        <w:t xml:space="preserve">, </w:t>
      </w:r>
      <w:r w:rsidRPr="008A1E89">
        <w:rPr>
          <w:i/>
          <w:iCs/>
        </w:rPr>
        <w:t>84</w:t>
      </w:r>
      <w:r w:rsidRPr="008A1E89">
        <w:t xml:space="preserve"> (10), 1353–1366. https://doi.org/10.1175/BAMS-84-10-1353.</w:t>
      </w:r>
    </w:p>
    <w:p w14:paraId="1ED37189" w14:textId="77777777" w:rsidR="008A1E89" w:rsidRPr="008A1E89" w:rsidRDefault="008A1E89" w:rsidP="00857004">
      <w:pPr>
        <w:pStyle w:val="TFReferencesSection"/>
      </w:pPr>
      <w:r w:rsidRPr="008A1E89">
        <w:t xml:space="preserve">(26) </w:t>
      </w:r>
      <w:r w:rsidRPr="008A1E89">
        <w:tab/>
        <w:t>Pacific Northwest Environmental Forecasts and Observations https://a.atmos.washington.edu/mm5rt/ (accessed Mar 6, 2020).</w:t>
      </w:r>
    </w:p>
    <w:p w14:paraId="30B7494C" w14:textId="77777777" w:rsidR="008A1E89" w:rsidRPr="008A1E89" w:rsidRDefault="008A1E89" w:rsidP="00857004">
      <w:pPr>
        <w:pStyle w:val="TFReferencesSection"/>
      </w:pPr>
      <w:r w:rsidRPr="008A1E89">
        <w:t xml:space="preserve">(27) </w:t>
      </w:r>
      <w:r w:rsidRPr="008A1E89">
        <w:tab/>
        <w:t xml:space="preserve">Haixiang, G.; Yijing, L.; Shang, J.; Mingyun, G.; Yuanyue, H.; Bing, G. Learning from Class-Imbalanced Data: Review of Methods and Applications. </w:t>
      </w:r>
      <w:r w:rsidRPr="008A1E89">
        <w:rPr>
          <w:i/>
          <w:iCs/>
        </w:rPr>
        <w:t>Expert Systems with Applications</w:t>
      </w:r>
      <w:r w:rsidRPr="008A1E89">
        <w:t xml:space="preserve"> </w:t>
      </w:r>
      <w:r w:rsidRPr="008A1E89">
        <w:rPr>
          <w:b/>
          <w:bCs/>
        </w:rPr>
        <w:t>2017</w:t>
      </w:r>
      <w:r w:rsidRPr="008A1E89">
        <w:t xml:space="preserve">, </w:t>
      </w:r>
      <w:r w:rsidRPr="008A1E89">
        <w:rPr>
          <w:i/>
          <w:iCs/>
        </w:rPr>
        <w:t>73</w:t>
      </w:r>
      <w:r w:rsidRPr="008A1E89">
        <w:t>, 220–239. https://doi.org/10.1016/j.eswa.2016.12.035.</w:t>
      </w:r>
    </w:p>
    <w:p w14:paraId="0283A8C1" w14:textId="77777777" w:rsidR="008A1E89" w:rsidRPr="008A1E89" w:rsidRDefault="008A1E89" w:rsidP="00857004">
      <w:pPr>
        <w:pStyle w:val="TFReferencesSection"/>
      </w:pPr>
      <w:r w:rsidRPr="008A1E89">
        <w:t xml:space="preserve">(28) </w:t>
      </w:r>
      <w:r w:rsidRPr="008A1E89">
        <w:tab/>
        <w:t xml:space="preserve">Jiang, N.; Riley, M. L. Exploring the Utility of the Random Forest Method for Forecasting Ozone Pollution in SYDNEY. </w:t>
      </w:r>
      <w:r w:rsidRPr="008A1E89">
        <w:rPr>
          <w:b/>
          <w:bCs/>
        </w:rPr>
        <w:t>2015</w:t>
      </w:r>
      <w:r w:rsidRPr="008A1E89">
        <w:t xml:space="preserve">, </w:t>
      </w:r>
      <w:r w:rsidRPr="008A1E89">
        <w:rPr>
          <w:i/>
          <w:iCs/>
        </w:rPr>
        <w:t>1</w:t>
      </w:r>
      <w:r w:rsidRPr="008A1E89">
        <w:t xml:space="preserve"> (5), 10.</w:t>
      </w:r>
    </w:p>
    <w:p w14:paraId="0FED93D0" w14:textId="77777777" w:rsidR="008A1E89" w:rsidRPr="008A1E89" w:rsidRDefault="008A1E89" w:rsidP="00857004">
      <w:pPr>
        <w:pStyle w:val="TFReferencesSection"/>
      </w:pPr>
      <w:r w:rsidRPr="008A1E89">
        <w:t xml:space="preserve">(29) </w:t>
      </w:r>
      <w:r w:rsidRPr="008A1E89">
        <w:tab/>
        <w:t xml:space="preserve">Ukkonen, P.; Manzato, A.; Mäkelä, A. Evaluation of Thunderstorm Predictors for Finland Using Reanalyses and Neural Networks. </w:t>
      </w:r>
      <w:r w:rsidRPr="008A1E89">
        <w:rPr>
          <w:i/>
          <w:iCs/>
        </w:rPr>
        <w:t>J. Appl. Meteor. Climatol.</w:t>
      </w:r>
      <w:r w:rsidRPr="008A1E89">
        <w:t xml:space="preserve"> </w:t>
      </w:r>
      <w:r w:rsidRPr="008A1E89">
        <w:rPr>
          <w:b/>
          <w:bCs/>
        </w:rPr>
        <w:t>2017</w:t>
      </w:r>
      <w:r w:rsidRPr="008A1E89">
        <w:t xml:space="preserve">, </w:t>
      </w:r>
      <w:r w:rsidRPr="008A1E89">
        <w:rPr>
          <w:i/>
          <w:iCs/>
        </w:rPr>
        <w:t>56</w:t>
      </w:r>
      <w:r w:rsidRPr="008A1E89">
        <w:t xml:space="preserve"> (8), 2335–2352. https://doi.org/10.1175/JAMC-D-16-0361.1.</w:t>
      </w:r>
    </w:p>
    <w:p w14:paraId="284C3FAC" w14:textId="77777777" w:rsidR="008A1E89" w:rsidRPr="008A1E89" w:rsidRDefault="008A1E89" w:rsidP="00857004">
      <w:pPr>
        <w:pStyle w:val="TFReferencesSection"/>
      </w:pPr>
      <w:r w:rsidRPr="008A1E89">
        <w:t xml:space="preserve">(30) </w:t>
      </w:r>
      <w:r w:rsidRPr="008A1E89">
        <w:tab/>
        <w:t xml:space="preserve">Jolliffe, I. T.; Stephenson, D. B. </w:t>
      </w:r>
      <w:r w:rsidRPr="008A1E89">
        <w:rPr>
          <w:i/>
          <w:iCs/>
        </w:rPr>
        <w:t>Forecast Verification: A Practitioner’s Guide in Atmospheric Science</w:t>
      </w:r>
      <w:r w:rsidRPr="008A1E89">
        <w:t>; John Wiley &amp; Sons, 2012.</w:t>
      </w:r>
    </w:p>
    <w:p w14:paraId="1033814E" w14:textId="77777777" w:rsidR="008A1E89" w:rsidRPr="008A1E89" w:rsidRDefault="008A1E89" w:rsidP="00857004">
      <w:pPr>
        <w:pStyle w:val="TFReferencesSection"/>
      </w:pPr>
      <w:r w:rsidRPr="008A1E89">
        <w:lastRenderedPageBreak/>
        <w:t xml:space="preserve">(31) </w:t>
      </w:r>
      <w:r w:rsidRPr="008A1E89">
        <w:tab/>
        <w:t xml:space="preserve">Wilks, D. S. </w:t>
      </w:r>
      <w:r w:rsidRPr="008A1E89">
        <w:rPr>
          <w:i/>
          <w:iCs/>
        </w:rPr>
        <w:t>Statistical Methods in the Atmospheric Sciences</w:t>
      </w:r>
      <w:r w:rsidRPr="008A1E89">
        <w:t>; Academic press, 2011; Vol. 100.</w:t>
      </w:r>
    </w:p>
    <w:p w14:paraId="22F43C51" w14:textId="77777777" w:rsidR="008A1E89" w:rsidRPr="008A1E89" w:rsidRDefault="008A1E89" w:rsidP="00857004">
      <w:pPr>
        <w:pStyle w:val="TFReferencesSection"/>
      </w:pPr>
      <w:r w:rsidRPr="008A1E89">
        <w:t xml:space="preserve">(32) </w:t>
      </w:r>
      <w:r w:rsidRPr="008A1E89">
        <w:tab/>
        <w:t xml:space="preserve">Doswell III, C. A.; Davies-Jones, R.; Keller, D. L. On Summary Measures of Skill in Rare Event Forecasting Based on Contingency Tables. </w:t>
      </w:r>
      <w:r w:rsidRPr="008A1E89">
        <w:rPr>
          <w:i/>
          <w:iCs/>
        </w:rPr>
        <w:t>Weather and Forecasting</w:t>
      </w:r>
      <w:r w:rsidRPr="008A1E89">
        <w:t xml:space="preserve"> </w:t>
      </w:r>
      <w:r w:rsidRPr="008A1E89">
        <w:rPr>
          <w:b/>
          <w:bCs/>
        </w:rPr>
        <w:t>1990</w:t>
      </w:r>
      <w:r w:rsidRPr="008A1E89">
        <w:t xml:space="preserve">, </w:t>
      </w:r>
      <w:r w:rsidRPr="008A1E89">
        <w:rPr>
          <w:i/>
          <w:iCs/>
        </w:rPr>
        <w:t>5</w:t>
      </w:r>
      <w:r w:rsidRPr="008A1E89">
        <w:t xml:space="preserve"> (4), 576–585.</w:t>
      </w:r>
    </w:p>
    <w:p w14:paraId="0EBAC4FF" w14:textId="77777777" w:rsidR="008A1E89" w:rsidRPr="008A1E89" w:rsidRDefault="008A1E89" w:rsidP="00857004">
      <w:pPr>
        <w:pStyle w:val="TFReferencesSection"/>
      </w:pPr>
      <w:r w:rsidRPr="008A1E89">
        <w:t xml:space="preserve">(33) </w:t>
      </w:r>
      <w:r w:rsidRPr="008A1E89">
        <w:tab/>
        <w:t xml:space="preserve">Murphy, K. P. </w:t>
      </w:r>
      <w:r w:rsidRPr="008A1E89">
        <w:rPr>
          <w:i/>
          <w:iCs/>
        </w:rPr>
        <w:t>Machine Learning: A Probabilistic Perspective</w:t>
      </w:r>
      <w:r w:rsidRPr="008A1E89">
        <w:t>; MIT press, 2012.</w:t>
      </w:r>
    </w:p>
    <w:p w14:paraId="2E242EBF" w14:textId="77777777" w:rsidR="008A1E89" w:rsidRPr="008A1E89" w:rsidRDefault="008A1E89" w:rsidP="00857004">
      <w:pPr>
        <w:pStyle w:val="TFReferencesSection"/>
      </w:pPr>
      <w:r w:rsidRPr="008A1E89">
        <w:t xml:space="preserve">(34) </w:t>
      </w:r>
      <w:r w:rsidRPr="008A1E89">
        <w:tab/>
        <w:t xml:space="preserve">Raschka, S. Model Evaluation, Model Selection, and Algorithm Selection in Machine Learning. </w:t>
      </w:r>
      <w:r w:rsidRPr="008A1E89">
        <w:rPr>
          <w:i/>
          <w:iCs/>
        </w:rPr>
        <w:t>arXiv:1811.12808 [cs, stat]</w:t>
      </w:r>
      <w:r w:rsidRPr="008A1E89">
        <w:t xml:space="preserve"> </w:t>
      </w:r>
      <w:r w:rsidRPr="008A1E89">
        <w:rPr>
          <w:b/>
          <w:bCs/>
        </w:rPr>
        <w:t>2018</w:t>
      </w:r>
      <w:r w:rsidRPr="008A1E89">
        <w:t>.</w:t>
      </w:r>
    </w:p>
    <w:p w14:paraId="18738296" w14:textId="2902FF2A" w:rsidR="00E16FBA" w:rsidRPr="00857004" w:rsidRDefault="008A1E89" w:rsidP="00857004">
      <w:pPr>
        <w:pStyle w:val="TFReferencesSection"/>
        <w:rPr>
          <w:rFonts w:cstheme="minorHAnsi"/>
        </w:rPr>
      </w:pPr>
      <w:r w:rsidRPr="008A1E89">
        <w:t xml:space="preserve">(35) </w:t>
      </w:r>
      <w:r w:rsidRPr="008A1E89">
        <w:tab/>
        <w:t>Falessi, D.; Narayana, L.; Thai, J. F.; Turhan, B. Preserving Order of Data When Validating Defect Prediction Models. 20.</w:t>
      </w:r>
      <w:r w:rsidR="00CC1DFD" w:rsidRPr="00B24120">
        <w:rPr>
          <w:rFonts w:cstheme="minorHAnsi"/>
        </w:rPr>
        <w:fldChar w:fldCharType="end"/>
      </w:r>
    </w:p>
    <w:sectPr w:rsidR="00E16FBA" w:rsidRPr="00857004" w:rsidSect="00213A9F">
      <w:footerReference w:type="even" r:id="rId24"/>
      <w:footerReference w:type="default" r:id="rId25"/>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3A77EE" w14:textId="77777777" w:rsidR="0027497E" w:rsidRDefault="0027497E" w:rsidP="00213A9F">
      <w:pPr>
        <w:spacing w:after="0"/>
      </w:pPr>
      <w:r>
        <w:separator/>
      </w:r>
    </w:p>
  </w:endnote>
  <w:endnote w:type="continuationSeparator" w:id="0">
    <w:p w14:paraId="5CDCFAA7" w14:textId="77777777" w:rsidR="0027497E" w:rsidRDefault="0027497E" w:rsidP="00213A9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no Pro">
    <w:altName w:val="Times New Roman"/>
    <w:panose1 w:val="020B0604020202020204"/>
    <w:charset w:val="00"/>
    <w:family w:val="roman"/>
    <w:notTrueType/>
    <w:pitch w:val="variable"/>
    <w:sig w:usb0="60000287" w:usb1="00000001"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73945785"/>
      <w:docPartObj>
        <w:docPartGallery w:val="Page Numbers (Bottom of Page)"/>
        <w:docPartUnique/>
      </w:docPartObj>
    </w:sdtPr>
    <w:sdtEndPr>
      <w:rPr>
        <w:rStyle w:val="PageNumber"/>
      </w:rPr>
    </w:sdtEndPr>
    <w:sdtContent>
      <w:p w14:paraId="5C6A7DFD" w14:textId="775A68F2" w:rsidR="00213A9F" w:rsidRDefault="00213A9F" w:rsidP="006B64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5E3701" w14:textId="77777777" w:rsidR="00213A9F" w:rsidRDefault="00213A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08938594"/>
      <w:docPartObj>
        <w:docPartGallery w:val="Page Numbers (Bottom of Page)"/>
        <w:docPartUnique/>
      </w:docPartObj>
    </w:sdtPr>
    <w:sdtEndPr>
      <w:rPr>
        <w:rStyle w:val="PageNumber"/>
      </w:rPr>
    </w:sdtEndPr>
    <w:sdtContent>
      <w:p w14:paraId="1FE7119D" w14:textId="684D53A8" w:rsidR="00213A9F" w:rsidRDefault="00213A9F" w:rsidP="006B64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403508" w14:textId="77777777" w:rsidR="00213A9F" w:rsidRDefault="00213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BC3D3C" w14:textId="77777777" w:rsidR="0027497E" w:rsidRDefault="0027497E" w:rsidP="00213A9F">
      <w:pPr>
        <w:spacing w:after="0"/>
      </w:pPr>
      <w:r>
        <w:separator/>
      </w:r>
    </w:p>
  </w:footnote>
  <w:footnote w:type="continuationSeparator" w:id="0">
    <w:p w14:paraId="115826FB" w14:textId="77777777" w:rsidR="0027497E" w:rsidRDefault="0027497E" w:rsidP="00213A9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2781A"/>
    <w:multiLevelType w:val="hybridMultilevel"/>
    <w:tmpl w:val="2A36B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4"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6"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7"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8"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9" w15:restartNumberingAfterBreak="0">
    <w:nsid w:val="5A7F7D93"/>
    <w:multiLevelType w:val="multilevel"/>
    <w:tmpl w:val="772A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9"/>
  </w:num>
  <w:num w:numId="3">
    <w:abstractNumId w:val="7"/>
  </w:num>
  <w:num w:numId="4">
    <w:abstractNumId w:val="5"/>
  </w:num>
  <w:num w:numId="5">
    <w:abstractNumId w:val="8"/>
  </w:num>
  <w:num w:numId="6">
    <w:abstractNumId w:val="6"/>
  </w:num>
  <w:num w:numId="7">
    <w:abstractNumId w:val="4"/>
  </w:num>
  <w:num w:numId="8">
    <w:abstractNumId w:val="3"/>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05"/>
  <w:proofState w:spelling="clean" w:grammar="clean"/>
  <w:attachedTemplate r:id="rId1"/>
  <w:linkStyl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DFD"/>
    <w:rsid w:val="000241D6"/>
    <w:rsid w:val="00070AAD"/>
    <w:rsid w:val="00157AE1"/>
    <w:rsid w:val="00190189"/>
    <w:rsid w:val="00213A9F"/>
    <w:rsid w:val="0027497E"/>
    <w:rsid w:val="002C0FC3"/>
    <w:rsid w:val="003A7B7E"/>
    <w:rsid w:val="003C5881"/>
    <w:rsid w:val="004C38F1"/>
    <w:rsid w:val="004F0497"/>
    <w:rsid w:val="00563C42"/>
    <w:rsid w:val="00630A69"/>
    <w:rsid w:val="006A4120"/>
    <w:rsid w:val="006C5C32"/>
    <w:rsid w:val="006F0503"/>
    <w:rsid w:val="00730648"/>
    <w:rsid w:val="007B3EB9"/>
    <w:rsid w:val="007F10F3"/>
    <w:rsid w:val="00857004"/>
    <w:rsid w:val="008A1E89"/>
    <w:rsid w:val="008D38CB"/>
    <w:rsid w:val="009F5A02"/>
    <w:rsid w:val="00A076AA"/>
    <w:rsid w:val="00A57022"/>
    <w:rsid w:val="00AC29C8"/>
    <w:rsid w:val="00AF64F6"/>
    <w:rsid w:val="00B16083"/>
    <w:rsid w:val="00B17222"/>
    <w:rsid w:val="00B24120"/>
    <w:rsid w:val="00B574B3"/>
    <w:rsid w:val="00BE5A36"/>
    <w:rsid w:val="00C51659"/>
    <w:rsid w:val="00CC1DFD"/>
    <w:rsid w:val="00CE0489"/>
    <w:rsid w:val="00CF4A63"/>
    <w:rsid w:val="00D44320"/>
    <w:rsid w:val="00D749F3"/>
    <w:rsid w:val="00D86AE6"/>
    <w:rsid w:val="00D91C94"/>
    <w:rsid w:val="00DA70CB"/>
    <w:rsid w:val="00E16FBA"/>
    <w:rsid w:val="00F913BF"/>
    <w:rsid w:val="00FA2B05"/>
    <w:rsid w:val="00FA78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EF9F7"/>
  <w15:chartTrackingRefBased/>
  <w15:docId w15:val="{05BDAE2D-028E-F840-8CF3-650C95E2F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503"/>
    <w:pPr>
      <w:spacing w:after="200"/>
      <w:jc w:val="both"/>
    </w:pPr>
    <w:rPr>
      <w:rFonts w:ascii="Times" w:eastAsia="Times New Roman" w:hAnsi="Times" w:cs="Times New Roman"/>
      <w:szCs w:val="20"/>
      <w:lang w:eastAsia="en-US"/>
    </w:rPr>
  </w:style>
  <w:style w:type="paragraph" w:styleId="Heading1">
    <w:name w:val="heading 1"/>
    <w:basedOn w:val="Normal"/>
    <w:next w:val="Normal"/>
    <w:link w:val="Heading1Char"/>
    <w:uiPriority w:val="9"/>
    <w:qFormat/>
    <w:rsid w:val="00CC1D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1DFD"/>
    <w:pPr>
      <w:keepNext/>
      <w:keepLines/>
      <w:spacing w:before="40"/>
      <w:outlineLvl w:val="1"/>
    </w:pPr>
    <w:rPr>
      <w:rFonts w:ascii="Arial" w:eastAsiaTheme="majorEastAsia" w:hAnsi="Arial" w:cstheme="majorBidi"/>
      <w:b/>
      <w:color w:val="000000" w:themeColor="text1"/>
      <w:sz w:val="26"/>
      <w:szCs w:val="26"/>
    </w:rPr>
  </w:style>
  <w:style w:type="paragraph" w:styleId="Heading3">
    <w:name w:val="heading 3"/>
    <w:basedOn w:val="Normal"/>
    <w:next w:val="Normal"/>
    <w:link w:val="Heading3Char"/>
    <w:uiPriority w:val="9"/>
    <w:unhideWhenUsed/>
    <w:qFormat/>
    <w:rsid w:val="00CC1DFD"/>
    <w:pPr>
      <w:keepNext/>
      <w:keepLines/>
      <w:spacing w:before="40"/>
      <w:outlineLvl w:val="2"/>
    </w:pPr>
    <w:rPr>
      <w:rFonts w:ascii="Arial" w:eastAsiaTheme="majorEastAsia" w:hAnsi="Arial" w:cstheme="majorBidi"/>
      <w:b/>
      <w:color w:val="000000" w:themeColor="text1"/>
    </w:rPr>
  </w:style>
  <w:style w:type="character" w:default="1" w:styleId="DefaultParagraphFont">
    <w:name w:val="Default Paragraph Font"/>
    <w:uiPriority w:val="1"/>
    <w:semiHidden/>
    <w:unhideWhenUsed/>
    <w:rsid w:val="006F050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F0503"/>
  </w:style>
  <w:style w:type="character" w:customStyle="1" w:styleId="Heading1Char">
    <w:name w:val="Heading 1 Char"/>
    <w:basedOn w:val="DefaultParagraphFont"/>
    <w:link w:val="Heading1"/>
    <w:uiPriority w:val="9"/>
    <w:rsid w:val="00CC1D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1DFD"/>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rsid w:val="00CC1DFD"/>
    <w:rPr>
      <w:rFonts w:ascii="Arial" w:eastAsiaTheme="majorEastAsia" w:hAnsi="Arial" w:cstheme="majorBidi"/>
      <w:b/>
      <w:color w:val="000000" w:themeColor="text1"/>
    </w:rPr>
  </w:style>
  <w:style w:type="paragraph" w:styleId="ListParagraph">
    <w:name w:val="List Paragraph"/>
    <w:basedOn w:val="Normal"/>
    <w:uiPriority w:val="34"/>
    <w:qFormat/>
    <w:rsid w:val="00CC1DFD"/>
    <w:pPr>
      <w:ind w:left="720"/>
      <w:contextualSpacing/>
    </w:pPr>
  </w:style>
  <w:style w:type="character" w:customStyle="1" w:styleId="apple-converted-space">
    <w:name w:val="apple-converted-space"/>
    <w:basedOn w:val="DefaultParagraphFont"/>
    <w:rsid w:val="00CC1DFD"/>
  </w:style>
  <w:style w:type="character" w:styleId="Emphasis">
    <w:name w:val="Emphasis"/>
    <w:basedOn w:val="DefaultParagraphFont"/>
    <w:uiPriority w:val="20"/>
    <w:qFormat/>
    <w:rsid w:val="00CC1DFD"/>
    <w:rPr>
      <w:i/>
      <w:iCs/>
    </w:rPr>
  </w:style>
  <w:style w:type="paragraph" w:styleId="Bibliography">
    <w:name w:val="Bibliography"/>
    <w:basedOn w:val="Normal"/>
    <w:next w:val="Normal"/>
    <w:uiPriority w:val="37"/>
    <w:unhideWhenUsed/>
    <w:rsid w:val="00CC1DFD"/>
    <w:pPr>
      <w:tabs>
        <w:tab w:val="left" w:pos="620"/>
      </w:tabs>
      <w:ind w:left="624" w:hanging="624"/>
    </w:pPr>
  </w:style>
  <w:style w:type="paragraph" w:styleId="BalloonText">
    <w:name w:val="Balloon Text"/>
    <w:basedOn w:val="Normal"/>
    <w:link w:val="BalloonTextChar"/>
    <w:semiHidden/>
    <w:rsid w:val="006F0503"/>
    <w:rPr>
      <w:rFonts w:ascii="Tahoma" w:hAnsi="Tahoma" w:cs="Tahoma"/>
      <w:sz w:val="16"/>
      <w:szCs w:val="16"/>
    </w:rPr>
  </w:style>
  <w:style w:type="character" w:customStyle="1" w:styleId="BalloonTextChar">
    <w:name w:val="Balloon Text Char"/>
    <w:basedOn w:val="DefaultParagraphFont"/>
    <w:link w:val="BalloonText"/>
    <w:semiHidden/>
    <w:rsid w:val="00CC1DFD"/>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CC1DFD"/>
    <w:rPr>
      <w:sz w:val="18"/>
      <w:szCs w:val="18"/>
    </w:rPr>
  </w:style>
  <w:style w:type="paragraph" w:styleId="CommentText">
    <w:name w:val="annotation text"/>
    <w:basedOn w:val="Normal"/>
    <w:link w:val="CommentTextChar"/>
    <w:uiPriority w:val="99"/>
    <w:semiHidden/>
    <w:unhideWhenUsed/>
    <w:rsid w:val="00CC1DFD"/>
  </w:style>
  <w:style w:type="character" w:customStyle="1" w:styleId="CommentTextChar">
    <w:name w:val="Comment Text Char"/>
    <w:basedOn w:val="DefaultParagraphFont"/>
    <w:link w:val="CommentText"/>
    <w:uiPriority w:val="99"/>
    <w:semiHidden/>
    <w:rsid w:val="00CC1DFD"/>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semiHidden/>
    <w:unhideWhenUsed/>
    <w:rsid w:val="00CC1DFD"/>
    <w:rPr>
      <w:b/>
      <w:bCs/>
      <w:sz w:val="20"/>
    </w:rPr>
  </w:style>
  <w:style w:type="character" w:customStyle="1" w:styleId="CommentSubjectChar">
    <w:name w:val="Comment Subject Char"/>
    <w:basedOn w:val="CommentTextChar"/>
    <w:link w:val="CommentSubject"/>
    <w:uiPriority w:val="99"/>
    <w:semiHidden/>
    <w:rsid w:val="00CC1DFD"/>
    <w:rPr>
      <w:rFonts w:ascii="Times New Roman" w:eastAsia="Times New Roman" w:hAnsi="Times New Roman" w:cs="Times New Roman"/>
      <w:b/>
      <w:bCs/>
      <w:sz w:val="20"/>
      <w:szCs w:val="20"/>
    </w:rPr>
  </w:style>
  <w:style w:type="table" w:styleId="TableGrid">
    <w:name w:val="Table Grid"/>
    <w:basedOn w:val="TableNormal"/>
    <w:uiPriority w:val="39"/>
    <w:rsid w:val="00CC1D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C1DFD"/>
    <w:rPr>
      <w:color w:val="808080"/>
    </w:rPr>
  </w:style>
  <w:style w:type="paragraph" w:styleId="NormalWeb">
    <w:name w:val="Normal (Web)"/>
    <w:basedOn w:val="Normal"/>
    <w:uiPriority w:val="99"/>
    <w:unhideWhenUsed/>
    <w:rsid w:val="00CC1DFD"/>
    <w:pPr>
      <w:spacing w:before="100" w:beforeAutospacing="1" w:after="100" w:afterAutospacing="1"/>
    </w:pPr>
  </w:style>
  <w:style w:type="character" w:styleId="Hyperlink">
    <w:name w:val="Hyperlink"/>
    <w:rsid w:val="006F0503"/>
    <w:rPr>
      <w:color w:val="0000FF"/>
      <w:u w:val="single"/>
    </w:rPr>
  </w:style>
  <w:style w:type="character" w:styleId="FollowedHyperlink">
    <w:name w:val="FollowedHyperlink"/>
    <w:rsid w:val="006F0503"/>
    <w:rPr>
      <w:color w:val="800080"/>
      <w:u w:val="single"/>
    </w:rPr>
  </w:style>
  <w:style w:type="character" w:customStyle="1" w:styleId="UnresolvedMention1">
    <w:name w:val="Unresolved Mention1"/>
    <w:basedOn w:val="DefaultParagraphFont"/>
    <w:uiPriority w:val="99"/>
    <w:semiHidden/>
    <w:unhideWhenUsed/>
    <w:rsid w:val="00CC1DFD"/>
    <w:rPr>
      <w:color w:val="605E5C"/>
      <w:shd w:val="clear" w:color="auto" w:fill="E1DFDD"/>
    </w:rPr>
  </w:style>
  <w:style w:type="character" w:styleId="HTMLCode">
    <w:name w:val="HTML Code"/>
    <w:basedOn w:val="DefaultParagraphFont"/>
    <w:uiPriority w:val="99"/>
    <w:semiHidden/>
    <w:unhideWhenUsed/>
    <w:rsid w:val="00CC1DFD"/>
    <w:rPr>
      <w:rFonts w:ascii="Courier New" w:eastAsia="Times New Roman" w:hAnsi="Courier New" w:cs="Courier New"/>
      <w:sz w:val="20"/>
      <w:szCs w:val="20"/>
    </w:rPr>
  </w:style>
  <w:style w:type="paragraph" w:styleId="Revision">
    <w:name w:val="Revision"/>
    <w:hidden/>
    <w:uiPriority w:val="99"/>
    <w:semiHidden/>
    <w:rsid w:val="00CC1DFD"/>
    <w:rPr>
      <w:rFonts w:ascii="Times New Roman" w:eastAsia="Times New Roman" w:hAnsi="Times New Roman" w:cs="Times New Roman"/>
    </w:rPr>
  </w:style>
  <w:style w:type="paragraph" w:customStyle="1" w:styleId="BATitle">
    <w:name w:val="BA_Title"/>
    <w:basedOn w:val="Normal"/>
    <w:next w:val="BBAuthorName"/>
    <w:rsid w:val="006F0503"/>
    <w:pPr>
      <w:spacing w:before="720" w:after="360" w:line="480" w:lineRule="auto"/>
      <w:jc w:val="center"/>
    </w:pPr>
    <w:rPr>
      <w:rFonts w:ascii="Times New Roman" w:hAnsi="Times New Roman"/>
      <w:sz w:val="44"/>
    </w:rPr>
  </w:style>
  <w:style w:type="paragraph" w:customStyle="1" w:styleId="BBAuthorName">
    <w:name w:val="BB_Author_Name"/>
    <w:basedOn w:val="Normal"/>
    <w:next w:val="BCAuthorAddress"/>
    <w:rsid w:val="006F0503"/>
    <w:pPr>
      <w:spacing w:after="240" w:line="480" w:lineRule="auto"/>
      <w:jc w:val="center"/>
    </w:pPr>
    <w:rPr>
      <w:i/>
    </w:rPr>
  </w:style>
  <w:style w:type="paragraph" w:customStyle="1" w:styleId="BCAuthorAddress">
    <w:name w:val="BC_Author_Address"/>
    <w:basedOn w:val="Normal"/>
    <w:next w:val="BIEmailAddress"/>
    <w:rsid w:val="006F0503"/>
    <w:pPr>
      <w:spacing w:after="240" w:line="480" w:lineRule="auto"/>
      <w:jc w:val="center"/>
    </w:pPr>
  </w:style>
  <w:style w:type="paragraph" w:styleId="BodyText">
    <w:name w:val="Body Text"/>
    <w:basedOn w:val="Normal"/>
    <w:link w:val="BodyTextChar"/>
    <w:rsid w:val="006F0503"/>
    <w:pPr>
      <w:jc w:val="center"/>
    </w:pPr>
    <w:rPr>
      <w:b/>
      <w:sz w:val="40"/>
    </w:rPr>
  </w:style>
  <w:style w:type="character" w:customStyle="1" w:styleId="BodyTextChar">
    <w:name w:val="Body Text Char"/>
    <w:basedOn w:val="DefaultParagraphFont"/>
    <w:link w:val="BodyText"/>
    <w:rsid w:val="00CF4A63"/>
    <w:rPr>
      <w:rFonts w:ascii="Times" w:eastAsia="Times New Roman" w:hAnsi="Times" w:cs="Times New Roman"/>
      <w:b/>
      <w:sz w:val="40"/>
      <w:szCs w:val="20"/>
      <w:lang w:eastAsia="en-US"/>
    </w:rPr>
  </w:style>
  <w:style w:type="paragraph" w:styleId="FootnoteText">
    <w:name w:val="footnote text"/>
    <w:basedOn w:val="Normal"/>
    <w:next w:val="TFReferencesSection"/>
    <w:link w:val="FootnoteTextChar"/>
    <w:semiHidden/>
    <w:rsid w:val="006F0503"/>
  </w:style>
  <w:style w:type="character" w:customStyle="1" w:styleId="FootnoteTextChar">
    <w:name w:val="Footnote Text Char"/>
    <w:basedOn w:val="DefaultParagraphFont"/>
    <w:link w:val="FootnoteText"/>
    <w:semiHidden/>
    <w:rsid w:val="00CF4A63"/>
    <w:rPr>
      <w:rFonts w:ascii="Times" w:eastAsia="Times New Roman" w:hAnsi="Times" w:cs="Times New Roman"/>
      <w:szCs w:val="20"/>
      <w:lang w:eastAsia="en-US"/>
    </w:rPr>
  </w:style>
  <w:style w:type="paragraph" w:customStyle="1" w:styleId="TFReferencesSection">
    <w:name w:val="TF_References_Section"/>
    <w:basedOn w:val="Normal"/>
    <w:rsid w:val="006F0503"/>
    <w:pPr>
      <w:spacing w:line="480" w:lineRule="auto"/>
      <w:ind w:firstLine="187"/>
    </w:pPr>
  </w:style>
  <w:style w:type="paragraph" w:customStyle="1" w:styleId="TAMainText">
    <w:name w:val="TA_Main_Text"/>
    <w:basedOn w:val="Normal"/>
    <w:rsid w:val="006F0503"/>
    <w:pPr>
      <w:spacing w:after="0" w:line="480" w:lineRule="auto"/>
      <w:ind w:firstLine="202"/>
    </w:pPr>
  </w:style>
  <w:style w:type="paragraph" w:customStyle="1" w:styleId="BIEmailAddress">
    <w:name w:val="BI_Email_Address"/>
    <w:basedOn w:val="Normal"/>
    <w:next w:val="AIReceivedDate"/>
    <w:rsid w:val="006F0503"/>
    <w:pPr>
      <w:spacing w:line="480" w:lineRule="auto"/>
    </w:pPr>
  </w:style>
  <w:style w:type="paragraph" w:customStyle="1" w:styleId="AIReceivedDate">
    <w:name w:val="AI_Received_Date"/>
    <w:basedOn w:val="Normal"/>
    <w:next w:val="BDAbstract"/>
    <w:rsid w:val="006F0503"/>
    <w:pPr>
      <w:spacing w:after="240" w:line="480" w:lineRule="auto"/>
    </w:pPr>
    <w:rPr>
      <w:b/>
    </w:rPr>
  </w:style>
  <w:style w:type="paragraph" w:customStyle="1" w:styleId="BDAbstract">
    <w:name w:val="BD_Abstract"/>
    <w:basedOn w:val="Normal"/>
    <w:next w:val="TAMainText"/>
    <w:rsid w:val="006F0503"/>
    <w:pPr>
      <w:spacing w:before="360" w:after="360" w:line="480" w:lineRule="auto"/>
    </w:pPr>
  </w:style>
  <w:style w:type="paragraph" w:customStyle="1" w:styleId="TDAcknowledgments">
    <w:name w:val="TD_Acknowledgments"/>
    <w:basedOn w:val="Normal"/>
    <w:next w:val="Normal"/>
    <w:rsid w:val="006F0503"/>
    <w:pPr>
      <w:spacing w:before="200" w:line="480" w:lineRule="auto"/>
      <w:ind w:firstLine="202"/>
    </w:pPr>
  </w:style>
  <w:style w:type="paragraph" w:customStyle="1" w:styleId="TESupportingInformation">
    <w:name w:val="TE_Supporting_Information"/>
    <w:basedOn w:val="Normal"/>
    <w:next w:val="Normal"/>
    <w:rsid w:val="006F0503"/>
    <w:pPr>
      <w:spacing w:line="480" w:lineRule="auto"/>
      <w:ind w:firstLine="187"/>
    </w:pPr>
  </w:style>
  <w:style w:type="paragraph" w:customStyle="1" w:styleId="VCSchemeTitle">
    <w:name w:val="VC_Scheme_Title"/>
    <w:basedOn w:val="Normal"/>
    <w:next w:val="Normal"/>
    <w:rsid w:val="006F0503"/>
    <w:pPr>
      <w:spacing w:line="480" w:lineRule="auto"/>
    </w:pPr>
  </w:style>
  <w:style w:type="paragraph" w:customStyle="1" w:styleId="VDTableTitle">
    <w:name w:val="VD_Table_Title"/>
    <w:basedOn w:val="Normal"/>
    <w:next w:val="Normal"/>
    <w:rsid w:val="006F0503"/>
    <w:pPr>
      <w:spacing w:line="480" w:lineRule="auto"/>
    </w:pPr>
  </w:style>
  <w:style w:type="paragraph" w:customStyle="1" w:styleId="VAFigureCaption">
    <w:name w:val="VA_Figure_Caption"/>
    <w:basedOn w:val="Normal"/>
    <w:next w:val="Normal"/>
    <w:rsid w:val="006F0503"/>
    <w:pPr>
      <w:spacing w:line="480" w:lineRule="auto"/>
    </w:pPr>
  </w:style>
  <w:style w:type="paragraph" w:customStyle="1" w:styleId="VBChartTitle">
    <w:name w:val="VB_Chart_Title"/>
    <w:basedOn w:val="Normal"/>
    <w:next w:val="Normal"/>
    <w:rsid w:val="006F0503"/>
    <w:pPr>
      <w:spacing w:line="480" w:lineRule="auto"/>
    </w:pPr>
  </w:style>
  <w:style w:type="paragraph" w:customStyle="1" w:styleId="FETableFootnote">
    <w:name w:val="FE_Table_Footnote"/>
    <w:basedOn w:val="Normal"/>
    <w:next w:val="Normal"/>
    <w:rsid w:val="006F0503"/>
    <w:pPr>
      <w:ind w:firstLine="187"/>
    </w:pPr>
  </w:style>
  <w:style w:type="paragraph" w:customStyle="1" w:styleId="FCChartFootnote">
    <w:name w:val="FC_Chart_Footnote"/>
    <w:basedOn w:val="Normal"/>
    <w:next w:val="Normal"/>
    <w:rsid w:val="006F0503"/>
    <w:pPr>
      <w:ind w:firstLine="187"/>
    </w:pPr>
  </w:style>
  <w:style w:type="paragraph" w:customStyle="1" w:styleId="FDSchemeFootnote">
    <w:name w:val="FD_Scheme_Footnote"/>
    <w:basedOn w:val="Normal"/>
    <w:next w:val="Normal"/>
    <w:rsid w:val="006F0503"/>
    <w:pPr>
      <w:ind w:firstLine="187"/>
    </w:pPr>
  </w:style>
  <w:style w:type="paragraph" w:customStyle="1" w:styleId="TCTableBody">
    <w:name w:val="TC_Table_Body"/>
    <w:basedOn w:val="Normal"/>
    <w:rsid w:val="006F0503"/>
  </w:style>
  <w:style w:type="paragraph" w:customStyle="1" w:styleId="AFTitleRunningHead">
    <w:name w:val="AF_Title_Running_Head"/>
    <w:basedOn w:val="Normal"/>
    <w:next w:val="TAMainText"/>
    <w:rsid w:val="006F0503"/>
    <w:pPr>
      <w:spacing w:line="480" w:lineRule="auto"/>
    </w:pPr>
  </w:style>
  <w:style w:type="paragraph" w:customStyle="1" w:styleId="BEAuthorBiography">
    <w:name w:val="BE_Author_Biography"/>
    <w:basedOn w:val="Normal"/>
    <w:rsid w:val="006F0503"/>
    <w:pPr>
      <w:spacing w:line="480" w:lineRule="auto"/>
    </w:pPr>
  </w:style>
  <w:style w:type="paragraph" w:customStyle="1" w:styleId="FACorrespondingAuthorFootnote">
    <w:name w:val="FA_Corresponding_Author_Footnote"/>
    <w:basedOn w:val="Normal"/>
    <w:next w:val="TAMainText"/>
    <w:rsid w:val="006F0503"/>
    <w:pPr>
      <w:spacing w:line="480" w:lineRule="auto"/>
    </w:pPr>
  </w:style>
  <w:style w:type="paragraph" w:customStyle="1" w:styleId="SNSynopsisTOC">
    <w:name w:val="SN_Synopsis_TOC"/>
    <w:basedOn w:val="Normal"/>
    <w:rsid w:val="006F0503"/>
    <w:pPr>
      <w:spacing w:line="480" w:lineRule="auto"/>
    </w:pPr>
  </w:style>
  <w:style w:type="paragraph" w:styleId="Footer">
    <w:name w:val="footer"/>
    <w:basedOn w:val="Normal"/>
    <w:link w:val="FooterChar"/>
    <w:rsid w:val="006F0503"/>
    <w:pPr>
      <w:tabs>
        <w:tab w:val="center" w:pos="4320"/>
        <w:tab w:val="right" w:pos="8640"/>
      </w:tabs>
    </w:pPr>
  </w:style>
  <w:style w:type="character" w:customStyle="1" w:styleId="FooterChar">
    <w:name w:val="Footer Char"/>
    <w:basedOn w:val="DefaultParagraphFont"/>
    <w:link w:val="Footer"/>
    <w:rsid w:val="00CF4A63"/>
    <w:rPr>
      <w:rFonts w:ascii="Times" w:eastAsia="Times New Roman" w:hAnsi="Times" w:cs="Times New Roman"/>
      <w:szCs w:val="20"/>
      <w:lang w:eastAsia="en-US"/>
    </w:rPr>
  </w:style>
  <w:style w:type="paragraph" w:customStyle="1" w:styleId="BGKeywords">
    <w:name w:val="BG_Keywords"/>
    <w:basedOn w:val="Normal"/>
    <w:rsid w:val="006F0503"/>
    <w:pPr>
      <w:spacing w:line="480" w:lineRule="auto"/>
    </w:pPr>
  </w:style>
  <w:style w:type="paragraph" w:customStyle="1" w:styleId="BHBriefs">
    <w:name w:val="BH_Briefs"/>
    <w:basedOn w:val="Normal"/>
    <w:rsid w:val="006F0503"/>
    <w:pPr>
      <w:spacing w:line="480" w:lineRule="auto"/>
    </w:pPr>
  </w:style>
  <w:style w:type="character" w:styleId="PageNumber">
    <w:name w:val="page number"/>
    <w:basedOn w:val="DefaultParagraphFont"/>
    <w:rsid w:val="006F0503"/>
  </w:style>
  <w:style w:type="paragraph" w:customStyle="1" w:styleId="StyleFACorrespondingAuthorFootnote7pt">
    <w:name w:val="Style FA_Corresponding_Author_Footnote + 7 pt"/>
    <w:basedOn w:val="Normal"/>
    <w:next w:val="BGKeywords"/>
    <w:link w:val="StyleFACorrespondingAuthorFootnote7ptChar"/>
    <w:autoRedefine/>
    <w:rsid w:val="006F0503"/>
    <w:pPr>
      <w:spacing w:after="0"/>
      <w:jc w:val="left"/>
    </w:pPr>
    <w:rPr>
      <w:rFonts w:ascii="Arno Pro" w:hAnsi="Arno Pro"/>
      <w:kern w:val="20"/>
      <w:sz w:val="18"/>
    </w:rPr>
  </w:style>
  <w:style w:type="character" w:customStyle="1" w:styleId="StyleFACorrespondingAuthorFootnote7ptChar">
    <w:name w:val="Style FA_Corresponding_Author_Footnote + 7 pt Char"/>
    <w:link w:val="StyleFACorrespondingAuthorFootnote7pt"/>
    <w:rsid w:val="006F0503"/>
    <w:rPr>
      <w:rFonts w:ascii="Arno Pro" w:eastAsia="Times New Roman" w:hAnsi="Arno Pro" w:cs="Times New Roman"/>
      <w:kern w:val="20"/>
      <w:sz w:val="18"/>
      <w:szCs w:val="20"/>
      <w:lang w:eastAsia="en-US"/>
    </w:rPr>
  </w:style>
  <w:style w:type="paragraph" w:customStyle="1" w:styleId="FAAuthorInfoSubtitle">
    <w:name w:val="FA_Author_Info_Subtitle"/>
    <w:basedOn w:val="Normal"/>
    <w:link w:val="FAAuthorInfoSubtitleChar"/>
    <w:autoRedefine/>
    <w:rsid w:val="006F0503"/>
    <w:pPr>
      <w:spacing w:before="120" w:after="60" w:line="480" w:lineRule="auto"/>
      <w:jc w:val="left"/>
    </w:pPr>
    <w:rPr>
      <w:b/>
    </w:rPr>
  </w:style>
  <w:style w:type="character" w:customStyle="1" w:styleId="FAAuthorInfoSubtitleChar">
    <w:name w:val="FA_Author_Info_Subtitle Char"/>
    <w:link w:val="FAAuthorInfoSubtitle"/>
    <w:rsid w:val="006F0503"/>
    <w:rPr>
      <w:rFonts w:ascii="Times" w:eastAsia="Times New Roman" w:hAnsi="Times" w:cs="Times New Roman"/>
      <w:b/>
      <w:szCs w:val="20"/>
      <w:lang w:eastAsia="en-US"/>
    </w:rPr>
  </w:style>
  <w:style w:type="paragraph" w:customStyle="1" w:styleId="Default">
    <w:name w:val="Default"/>
    <w:rsid w:val="006F0503"/>
    <w:pPr>
      <w:autoSpaceDE w:val="0"/>
      <w:autoSpaceDN w:val="0"/>
      <w:adjustRightInd w:val="0"/>
    </w:pPr>
    <w:rPr>
      <w:rFonts w:ascii="Symbol" w:eastAsia="Times New Roman" w:hAnsi="Symbol" w:cs="Symbol"/>
      <w:color w:val="000000"/>
      <w:lang w:eastAsia="en-US"/>
    </w:rPr>
  </w:style>
  <w:style w:type="paragraph" w:styleId="Header">
    <w:name w:val="header"/>
    <w:basedOn w:val="Normal"/>
    <w:link w:val="HeaderChar"/>
    <w:uiPriority w:val="99"/>
    <w:unhideWhenUsed/>
    <w:rsid w:val="00213A9F"/>
    <w:pPr>
      <w:tabs>
        <w:tab w:val="center" w:pos="4680"/>
        <w:tab w:val="right" w:pos="9360"/>
      </w:tabs>
      <w:spacing w:after="0"/>
    </w:pPr>
  </w:style>
  <w:style w:type="character" w:customStyle="1" w:styleId="HeaderChar">
    <w:name w:val="Header Char"/>
    <w:basedOn w:val="DefaultParagraphFont"/>
    <w:link w:val="Header"/>
    <w:uiPriority w:val="99"/>
    <w:rsid w:val="00213A9F"/>
    <w:rPr>
      <w:rFonts w:ascii="Times" w:eastAsia="Times New Roman" w:hAnsi="Times" w:cs="Times New Roman"/>
      <w:szCs w:val="20"/>
      <w:lang w:eastAsia="en-US"/>
    </w:rPr>
  </w:style>
  <w:style w:type="character" w:styleId="LineNumber">
    <w:name w:val="line number"/>
    <w:basedOn w:val="DefaultParagraphFont"/>
    <w:uiPriority w:val="99"/>
    <w:semiHidden/>
    <w:unhideWhenUsed/>
    <w:rsid w:val="00213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3150539">
      <w:bodyDiv w:val="1"/>
      <w:marLeft w:val="0"/>
      <w:marRight w:val="0"/>
      <w:marTop w:val="0"/>
      <w:marBottom w:val="0"/>
      <w:divBdr>
        <w:top w:val="none" w:sz="0" w:space="0" w:color="auto"/>
        <w:left w:val="none" w:sz="0" w:space="0" w:color="auto"/>
        <w:bottom w:val="none" w:sz="0" w:space="0" w:color="auto"/>
        <w:right w:val="none" w:sz="0" w:space="0" w:color="auto"/>
      </w:divBdr>
    </w:div>
    <w:div w:id="1438401082">
      <w:bodyDiv w:val="1"/>
      <w:marLeft w:val="0"/>
      <w:marRight w:val="0"/>
      <w:marTop w:val="0"/>
      <w:marBottom w:val="0"/>
      <w:divBdr>
        <w:top w:val="none" w:sz="0" w:space="0" w:color="auto"/>
        <w:left w:val="none" w:sz="0" w:space="0" w:color="auto"/>
        <w:bottom w:val="none" w:sz="0" w:space="0" w:color="auto"/>
        <w:right w:val="none" w:sz="0" w:space="0" w:color="auto"/>
      </w:divBdr>
    </w:div>
    <w:div w:id="1549805482">
      <w:bodyDiv w:val="1"/>
      <w:marLeft w:val="0"/>
      <w:marRight w:val="0"/>
      <w:marTop w:val="0"/>
      <w:marBottom w:val="0"/>
      <w:divBdr>
        <w:top w:val="none" w:sz="0" w:space="0" w:color="auto"/>
        <w:left w:val="none" w:sz="0" w:space="0" w:color="auto"/>
        <w:bottom w:val="none" w:sz="0" w:space="0" w:color="auto"/>
        <w:right w:val="none" w:sz="0" w:space="0" w:color="auto"/>
      </w:divBdr>
    </w:div>
    <w:div w:id="164353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ozonematters.com" TargetMode="External"/><Relationship Id="rId18" Type="http://schemas.openxmlformats.org/officeDocument/2006/relationships/image" Target="media/image8.tif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tiff"/><Relationship Id="rId7" Type="http://schemas.openxmlformats.org/officeDocument/2006/relationships/endnotes" Target="endnotes.xml"/><Relationship Id="rId12" Type="http://schemas.openxmlformats.org/officeDocument/2006/relationships/hyperlink" Target="https://a.atmos.washington.edu/wrfrt/ensembles/info.html" TargetMode="External"/><Relationship Id="rId17" Type="http://schemas.openxmlformats.org/officeDocument/2006/relationships/image" Target="media/image7.tiff"/><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tiff"/><Relationship Id="rId20" Type="http://schemas.openxmlformats.org/officeDocument/2006/relationships/image" Target="media/image10.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image" Target="media/image13.tiff"/><Relationship Id="rId10" Type="http://schemas.openxmlformats.org/officeDocument/2006/relationships/image" Target="media/image2.emf"/><Relationship Id="rId19" Type="http://schemas.openxmlformats.org/officeDocument/2006/relationships/image" Target="media/image9.tiff"/><Relationship Id="rId4" Type="http://schemas.openxmlformats.org/officeDocument/2006/relationships/settings" Target="settings.xml"/><Relationship Id="rId9" Type="http://schemas.openxmlformats.org/officeDocument/2006/relationships/hyperlink" Target="http://lar.wsu.edu/airpact/" TargetMode="External"/><Relationship Id="rId14" Type="http://schemas.openxmlformats.org/officeDocument/2006/relationships/image" Target="media/image4.tiff"/><Relationship Id="rId22" Type="http://schemas.openxmlformats.org/officeDocument/2006/relationships/image" Target="media/image12.tiff"/><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ankai/Library/Group%20Containers/UBF8T346G9.Office/User%20Content.localized/Templates.localized/Template%20for%20Electronic%20Submission%20to%20ACS%20Journal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8623C-C319-B648-B64A-DD6FDDAA8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for Electronic Submission to ACS Journals.dotx</Template>
  <TotalTime>178</TotalTime>
  <Pages>25</Pages>
  <Words>15058</Words>
  <Characters>85835</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Fan</dc:creator>
  <cp:keywords/>
  <dc:description/>
  <cp:lastModifiedBy>Kai Fan</cp:lastModifiedBy>
  <cp:revision>15</cp:revision>
  <dcterms:created xsi:type="dcterms:W3CDTF">2020-04-21T16:13:00Z</dcterms:created>
  <dcterms:modified xsi:type="dcterms:W3CDTF">2020-05-11T21:34:00Z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zotero-version="5.0.86-beta.12+e406e04f5"&gt;&lt;session id="m7OOXDTG"/&gt;&lt;style id="http://www.zotero.org/styles/environmental-science-and-technology" hasBibliography="1" bibliographyStyleHasBeenSet="1"/&gt;&lt;prefs&gt;&lt;pref name="fieldType" value</vt:lpwstr>
  </property>
  <property fmtid="{D5CDD505-2E9C-101B-9397-08002B2CF9AE}" pid="3" name="ZOTERO_PREF_2">
    <vt:lpwstr>="Field"/&gt;&lt;/prefs&gt;&lt;/data&gt;</vt:lpwstr>
  </property>
</Properties>
</file>